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bookmarkStart w:id="0" w:name="_GoBack"/>
      <w:bookmarkEnd w:id="0"/>
      <w:r w:rsidRPr="001549D3">
        <w:t>Supplementary Material</w:t>
      </w:r>
    </w:p>
    <w:p w14:paraId="1104D196" w14:textId="15B55106" w:rsidR="00817DD6" w:rsidRPr="001549D3" w:rsidRDefault="00A559F5" w:rsidP="0001436A">
      <w:pPr>
        <w:pStyle w:val="Title"/>
      </w:pPr>
      <w:r>
        <w:t>Phase 1 Trial with the Cell-Based Immune Primer Ilixadencel, Alone and Combined with Sorafenib, in Advanced Hepatocellular Carcinoma</w:t>
      </w:r>
    </w:p>
    <w:p w14:paraId="4498C88B" w14:textId="77777777" w:rsidR="00A559F5" w:rsidRPr="00E729EB" w:rsidRDefault="00A559F5" w:rsidP="00A559F5">
      <w:pPr>
        <w:pStyle w:val="AuthorList"/>
        <w:rPr>
          <w:lang w:val="pl-PL"/>
        </w:rPr>
      </w:pPr>
      <w:r w:rsidRPr="00E729EB">
        <w:rPr>
          <w:lang w:val="pl-PL"/>
        </w:rPr>
        <w:t>Magnus Rizell</w:t>
      </w:r>
      <w:r w:rsidRPr="00E729EB">
        <w:rPr>
          <w:vertAlign w:val="superscript"/>
          <w:lang w:val="pl-PL"/>
        </w:rPr>
        <w:t>1,2</w:t>
      </w:r>
      <w:r w:rsidRPr="00E729EB">
        <w:rPr>
          <w:lang w:val="pl-PL"/>
        </w:rPr>
        <w:t>, Malin Sternby Eilard</w:t>
      </w:r>
      <w:r w:rsidRPr="00E729EB">
        <w:rPr>
          <w:vertAlign w:val="superscript"/>
          <w:lang w:val="pl-PL"/>
        </w:rPr>
        <w:t>1,2</w:t>
      </w:r>
      <w:r w:rsidRPr="00E729EB">
        <w:rPr>
          <w:lang w:val="pl-PL"/>
        </w:rPr>
        <w:t>, Mats Andersson</w:t>
      </w:r>
      <w:r w:rsidRPr="00E729EB">
        <w:rPr>
          <w:vertAlign w:val="superscript"/>
          <w:lang w:val="pl-PL"/>
        </w:rPr>
        <w:t>3,4</w:t>
      </w:r>
      <w:r w:rsidRPr="00E729EB">
        <w:rPr>
          <w:lang w:val="pl-PL"/>
        </w:rPr>
        <w:t>, Bengt Andersson</w:t>
      </w:r>
      <w:r w:rsidRPr="00E729EB">
        <w:rPr>
          <w:vertAlign w:val="superscript"/>
          <w:lang w:val="pl-PL"/>
        </w:rPr>
        <w:t>5</w:t>
      </w:r>
      <w:r w:rsidRPr="00E729EB">
        <w:rPr>
          <w:lang w:val="pl-PL"/>
        </w:rPr>
        <w:t>,</w:t>
      </w:r>
    </w:p>
    <w:p w14:paraId="34525A88" w14:textId="77777777" w:rsidR="00A559F5" w:rsidRPr="00E729EB" w:rsidRDefault="00A559F5" w:rsidP="00A559F5">
      <w:pPr>
        <w:pStyle w:val="AuthorList"/>
        <w:rPr>
          <w:vertAlign w:val="superscript"/>
          <w:lang w:val="pl-PL"/>
        </w:rPr>
      </w:pPr>
      <w:r w:rsidRPr="00E729EB">
        <w:rPr>
          <w:lang w:val="pl-PL"/>
        </w:rPr>
        <w:t>Alex Karlsson-Parra</w:t>
      </w:r>
      <w:r w:rsidRPr="00E729EB">
        <w:rPr>
          <w:vertAlign w:val="superscript"/>
          <w:lang w:val="pl-PL"/>
        </w:rPr>
        <w:t>6,7</w:t>
      </w:r>
      <w:r w:rsidRPr="00E729EB">
        <w:rPr>
          <w:lang w:val="pl-PL"/>
        </w:rPr>
        <w:t>, and Peter Suenaert</w:t>
      </w:r>
      <w:r w:rsidRPr="00E729EB">
        <w:rPr>
          <w:vertAlign w:val="superscript"/>
          <w:lang w:val="pl-PL"/>
        </w:rPr>
        <w:t>6*</w:t>
      </w:r>
    </w:p>
    <w:p w14:paraId="232AFF55" w14:textId="4108A773" w:rsidR="00A559F5" w:rsidRPr="000E18E9" w:rsidRDefault="002868E2" w:rsidP="00A559F5">
      <w:pPr>
        <w:spacing w:before="0" w:after="0"/>
        <w:jc w:val="both"/>
        <w:outlineLvl w:val="0"/>
        <w:rPr>
          <w:rFonts w:eastAsia="Times New Roman" w:cs="Times New Roman"/>
          <w:color w:val="0000FF" w:themeColor="hyperlink"/>
          <w:szCs w:val="24"/>
          <w:u w:val="single"/>
        </w:rPr>
      </w:pPr>
      <w:r w:rsidRPr="00994A3D">
        <w:rPr>
          <w:rFonts w:cs="Times New Roman"/>
          <w:b/>
        </w:rPr>
        <w:t xml:space="preserve">* Correspondence: </w:t>
      </w:r>
      <w:r w:rsidR="00A559F5">
        <w:rPr>
          <w:rFonts w:cs="Times New Roman"/>
        </w:rPr>
        <w:t>Peter Suenaert, MD, PhD</w:t>
      </w:r>
      <w:r w:rsidR="00CB5C2A">
        <w:rPr>
          <w:rFonts w:cs="Times New Roman"/>
        </w:rPr>
        <w:t>;</w:t>
      </w:r>
      <w:r w:rsidR="00A559F5">
        <w:rPr>
          <w:rFonts w:cs="Times New Roman"/>
        </w:rPr>
        <w:t xml:space="preserve"> </w:t>
      </w:r>
      <w:hyperlink r:id="rId8" w:history="1">
        <w:r w:rsidR="00A559F5" w:rsidRPr="000E18E9">
          <w:rPr>
            <w:rFonts w:eastAsia="Times New Roman" w:cs="Times New Roman"/>
            <w:color w:val="0000FF" w:themeColor="hyperlink"/>
            <w:szCs w:val="24"/>
            <w:u w:val="single"/>
          </w:rPr>
          <w:t>peter.suenaert@immunicum.com</w:t>
        </w:r>
      </w:hyperlink>
    </w:p>
    <w:p w14:paraId="22E71CE7" w14:textId="5BCC0742" w:rsidR="00246C58" w:rsidRPr="00246C58" w:rsidRDefault="00654E8F" w:rsidP="00246C58">
      <w:pPr>
        <w:pStyle w:val="Heading1"/>
      </w:pPr>
      <w:r w:rsidRPr="00994A3D">
        <w:t xml:space="preserve">Supplementary </w:t>
      </w:r>
      <w:r w:rsidR="00246C58">
        <w:t xml:space="preserve">Panel S1. </w:t>
      </w:r>
      <w:r w:rsidR="00246C58" w:rsidRPr="00246C58">
        <w:t>Complete selection criteria for the trial (NCT01974661)</w:t>
      </w:r>
    </w:p>
    <w:p w14:paraId="40EA50B7" w14:textId="77777777" w:rsidR="00246C58" w:rsidRPr="00246C58" w:rsidRDefault="00246C58" w:rsidP="00246C58">
      <w:pPr>
        <w:rPr>
          <w:b/>
        </w:rPr>
      </w:pPr>
      <w:r w:rsidRPr="00246C58">
        <w:rPr>
          <w:b/>
        </w:rPr>
        <w:t>Inclusion Criteria</w:t>
      </w:r>
    </w:p>
    <w:p w14:paraId="1B5F1C48" w14:textId="77777777" w:rsidR="00246C58" w:rsidRPr="00AA3EC7" w:rsidRDefault="00246C58" w:rsidP="00246C58">
      <w:r w:rsidRPr="00AA3EC7">
        <w:t>1 Be informed of the nature of the study and have provided written informed consent.</w:t>
      </w:r>
    </w:p>
    <w:p w14:paraId="2ACCB77F" w14:textId="77777777" w:rsidR="00246C58" w:rsidRPr="00AA3EC7" w:rsidRDefault="00246C58" w:rsidP="00246C58">
      <w:r w:rsidRPr="00AA3EC7">
        <w:t>2 At least 18 years of age.</w:t>
      </w:r>
    </w:p>
    <w:p w14:paraId="0AA8459A" w14:textId="77777777" w:rsidR="00246C58" w:rsidRPr="00AA3EC7" w:rsidRDefault="00246C58" w:rsidP="00246C58">
      <w:r w:rsidRPr="00AA3EC7">
        <w:t>3 Diagnosis of hepatocellular carcinoma according to European Association for the Study of the Liver criteria or pathology.</w:t>
      </w:r>
    </w:p>
    <w:p w14:paraId="7482DCD7" w14:textId="77777777" w:rsidR="00246C58" w:rsidRPr="00AA3EC7" w:rsidRDefault="00246C58" w:rsidP="00246C58">
      <w:r w:rsidRPr="00AA3EC7">
        <w:t>4 Radiologically measurable liver tumor(s), i.e at least 20 mm in longest uni-dimensional diameter as measured by CT/MRI.</w:t>
      </w:r>
    </w:p>
    <w:p w14:paraId="5B5F1146" w14:textId="77777777" w:rsidR="00246C58" w:rsidRPr="00AA3EC7" w:rsidRDefault="00246C58" w:rsidP="00246C58">
      <w:r w:rsidRPr="00AA3EC7">
        <w:t>5 Not eligible for curatively aiming treatment or transarterial chemoembolization (TACE). Tumor stage B or C according to the Barcelona Clinic Liver Cancer.</w:t>
      </w:r>
    </w:p>
    <w:p w14:paraId="69269D4B" w14:textId="13C191E3" w:rsidR="00246C58" w:rsidRDefault="00246C58" w:rsidP="00246C58">
      <w:r w:rsidRPr="00AA3EC7">
        <w:t>6 Amendment 3: Tumor stage A, B or C according to the Barcelona Clinic Liver Cancer classification and eligible for sorafenib treatment or having ongoing sorafenib treatment for not more than 4 weeks at the time for inclusion OR eligible for TACE or having received not more than 1 previous TACE treatment.</w:t>
      </w:r>
    </w:p>
    <w:p w14:paraId="05133AF3" w14:textId="77777777" w:rsidR="00246C58" w:rsidRPr="00246C58" w:rsidRDefault="00246C58" w:rsidP="00246C58">
      <w:pPr>
        <w:rPr>
          <w:b/>
        </w:rPr>
      </w:pPr>
      <w:r w:rsidRPr="00246C58">
        <w:rPr>
          <w:b/>
        </w:rPr>
        <w:t>Exclusion Criteria</w:t>
      </w:r>
    </w:p>
    <w:p w14:paraId="4DC93419" w14:textId="77777777" w:rsidR="00246C58" w:rsidRPr="007849BC" w:rsidRDefault="00246C58" w:rsidP="00246C58">
      <w:r w:rsidRPr="007849BC">
        <w:t>1 Performance status &gt; Eastern Cooperative Oncology Group 2.</w:t>
      </w:r>
    </w:p>
    <w:p w14:paraId="3AE08949" w14:textId="77777777" w:rsidR="00246C58" w:rsidRPr="007849BC" w:rsidRDefault="00246C58" w:rsidP="00246C58">
      <w:r w:rsidRPr="007849BC">
        <w:t>2 Liver function according to Child-Pugh &gt;7 points.</w:t>
      </w:r>
    </w:p>
    <w:p w14:paraId="52FF8611" w14:textId="77777777" w:rsidR="00246C58" w:rsidRPr="007849BC" w:rsidRDefault="00246C58" w:rsidP="00246C58">
      <w:r w:rsidRPr="007849BC">
        <w:t>3 Known major reaction/adverse event in connection with previously made vaccination (e.g. asthma, anaphylaxia or other serious reaction).</w:t>
      </w:r>
    </w:p>
    <w:p w14:paraId="2FC71E22" w14:textId="77777777" w:rsidR="00246C58" w:rsidRPr="007849BC" w:rsidRDefault="00246C58" w:rsidP="00246C58">
      <w:r w:rsidRPr="007849BC">
        <w:t>4 Known major reaction/adverse event in connection with previous transfusions of blood products.</w:t>
      </w:r>
    </w:p>
    <w:p w14:paraId="04DBBDAB" w14:textId="77777777" w:rsidR="00246C58" w:rsidRPr="007849BC" w:rsidRDefault="00246C58" w:rsidP="00FB3E71">
      <w:r w:rsidRPr="007849BC">
        <w:t xml:space="preserve">5 Active autoimmune disease requiring treatment with systemic immunosuppressive agents, e.g. inflammatory bowel disease, multiple sclerosis, sarcoidosis, psoriasis, autoimmune hemolytic </w:t>
      </w:r>
      <w:r w:rsidRPr="007849BC">
        <w:lastRenderedPageBreak/>
        <w:t>anemia, rheumatoid arthritis, systemic lupus erythematosus, vasculitis, Sjögren's syndrome, scleroderma, autoimmune hepatitis, and other rheumatological diseases.</w:t>
      </w:r>
    </w:p>
    <w:p w14:paraId="7D080F40" w14:textId="77777777" w:rsidR="00246C58" w:rsidRPr="007849BC" w:rsidRDefault="00246C58" w:rsidP="00FB3E71">
      <w:r w:rsidRPr="007849BC">
        <w:t>6 Tested positive for HIV.</w:t>
      </w:r>
    </w:p>
    <w:p w14:paraId="393E0B0D" w14:textId="77777777" w:rsidR="00246C58" w:rsidRPr="007849BC" w:rsidRDefault="00246C58" w:rsidP="00FB3E71">
      <w:r w:rsidRPr="007849BC">
        <w:t>7 Active virus disease (hepatitis B virus and hepatitis C virus) requiring antiviral treatment.</w:t>
      </w:r>
    </w:p>
    <w:p w14:paraId="1C3AD4DB" w14:textId="77777777" w:rsidR="00246C58" w:rsidRPr="007849BC" w:rsidRDefault="00246C58" w:rsidP="00FB3E71">
      <w:r w:rsidRPr="007849BC">
        <w:t>8 Ongoing infection that requires treatment with antibiotics or antiviral medication.</w:t>
      </w:r>
    </w:p>
    <w:p w14:paraId="180494F3" w14:textId="77777777" w:rsidR="00246C58" w:rsidRPr="007849BC" w:rsidRDefault="00246C58" w:rsidP="00FB3E71">
      <w:r w:rsidRPr="007849BC">
        <w:t>9 Immunosuppression (within 28 days) prior to the first injection of ilixadencel. Inhaled, intranasal and local steroids accepted.</w:t>
      </w:r>
    </w:p>
    <w:p w14:paraId="02D2FB62" w14:textId="77777777" w:rsidR="00246C58" w:rsidRPr="007849BC" w:rsidRDefault="00246C58" w:rsidP="00FB3E71">
      <w:r w:rsidRPr="007849BC">
        <w:t>10 Patients with prior history of malignancy other than hepatocellular carcinoma, within the preceding 3 years OR with relapse after complete response, except for 5 years follow-up of adequately treated in situ carcinoma without recurrence or non-melanoma skin cancer.</w:t>
      </w:r>
    </w:p>
    <w:p w14:paraId="73028E8E" w14:textId="77777777" w:rsidR="00246C58" w:rsidRPr="007849BC" w:rsidRDefault="00246C58" w:rsidP="00FB3E71">
      <w:r w:rsidRPr="007849BC">
        <w:t>11 Inadequate laboratory parameters, i.e: a. P-Prothrombin complex &gt;1.4; b. Platelet count &lt;75 x109/L; c. Leukocyte count &lt;3.0 x 109/L; d. P-APT time outside normal limit.</w:t>
      </w:r>
    </w:p>
    <w:p w14:paraId="4423C105" w14:textId="77777777" w:rsidR="00246C58" w:rsidRPr="007849BC" w:rsidRDefault="00246C58" w:rsidP="00FB3E71">
      <w:r w:rsidRPr="007849BC">
        <w:t>12 Previous organ transplantation.</w:t>
      </w:r>
    </w:p>
    <w:p w14:paraId="2AB0A8B8" w14:textId="77777777" w:rsidR="00246C58" w:rsidRPr="007849BC" w:rsidRDefault="00246C58" w:rsidP="00FB3E71">
      <w:r w:rsidRPr="007849BC">
        <w:t>13 Women of Childbearing Potential refusing to use adequate contraception (oral or injectable contraceptives, hormone releasing intrauterine device) throughout the study period.</w:t>
      </w:r>
    </w:p>
    <w:p w14:paraId="564574C2" w14:textId="77777777" w:rsidR="00246C58" w:rsidRPr="007849BC" w:rsidRDefault="00246C58" w:rsidP="00FB3E71">
      <w:r w:rsidRPr="007849BC">
        <w:t>14 Pregnant or lactating women.</w:t>
      </w:r>
    </w:p>
    <w:p w14:paraId="419D0F1E" w14:textId="77777777" w:rsidR="00246C58" w:rsidRPr="007849BC" w:rsidRDefault="00246C58" w:rsidP="00FB3E71">
      <w:r w:rsidRPr="007849BC">
        <w:t>15 Life expectancy less than 3 months.</w:t>
      </w:r>
    </w:p>
    <w:p w14:paraId="4159C72B" w14:textId="77777777" w:rsidR="00246C58" w:rsidRPr="007849BC" w:rsidRDefault="00246C58" w:rsidP="00FB3E71">
      <w:r w:rsidRPr="007849BC">
        <w:t>16 Anti-tumor treatment (within 28 days) prior to the first injection of ilixadencel, except sorafenib or TACE for patients included according to Amendment 3.</w:t>
      </w:r>
    </w:p>
    <w:p w14:paraId="2C3A8B39" w14:textId="77777777" w:rsidR="00246C58" w:rsidRPr="007849BC" w:rsidRDefault="00246C58" w:rsidP="00FB3E71">
      <w:r w:rsidRPr="007849BC">
        <w:t>17 For patients included according to Amendment 3: Previous systemic anti-cancer treatment.</w:t>
      </w:r>
    </w:p>
    <w:p w14:paraId="5CFBD1F0" w14:textId="77777777" w:rsidR="00246C58" w:rsidRPr="007849BC" w:rsidRDefault="00246C58" w:rsidP="00FB3E71">
      <w:r w:rsidRPr="007849BC">
        <w:t>18 Investigational treatment (within 28 days) prior to the first injection of ilixadencel.</w:t>
      </w:r>
    </w:p>
    <w:p w14:paraId="43B1C1EC" w14:textId="77777777" w:rsidR="00246C58" w:rsidRPr="007849BC" w:rsidRDefault="00246C58" w:rsidP="00FB3E71">
      <w:r w:rsidRPr="007849BC">
        <w:t>19 Known blood dyscrasia (bleeding complication),</w:t>
      </w:r>
    </w:p>
    <w:p w14:paraId="15695D7E" w14:textId="77777777" w:rsidR="00246C58" w:rsidRPr="007849BC" w:rsidRDefault="00246C58" w:rsidP="00FB3E71">
      <w:r w:rsidRPr="007849BC">
        <w:t>20 Known malignancy in central nervous system.</w:t>
      </w:r>
    </w:p>
    <w:p w14:paraId="06346DB0" w14:textId="57D2FB79" w:rsidR="003731A2" w:rsidRDefault="00246C58" w:rsidP="00246C58">
      <w:r w:rsidRPr="007849BC">
        <w:t>21 Any reason that, in the opinion of the investigator, contraindicates that the patient participates in the study.</w:t>
      </w:r>
    </w:p>
    <w:p w14:paraId="54063F2D" w14:textId="77777777" w:rsidR="003731A2" w:rsidRDefault="003731A2">
      <w:pPr>
        <w:spacing w:before="0" w:after="200" w:line="276" w:lineRule="auto"/>
      </w:pPr>
      <w:r>
        <w:br w:type="page"/>
      </w:r>
    </w:p>
    <w:p w14:paraId="21D8C18B" w14:textId="32388284" w:rsidR="002324C8" w:rsidRPr="002324C8" w:rsidRDefault="00654E8F" w:rsidP="002324C8">
      <w:pPr>
        <w:pStyle w:val="Heading1"/>
      </w:pPr>
      <w:r w:rsidRPr="00994A3D">
        <w:lastRenderedPageBreak/>
        <w:t xml:space="preserve">Supplementary Figures </w:t>
      </w:r>
    </w:p>
    <w:p w14:paraId="3F4F6C73" w14:textId="617C32A4" w:rsidR="00592A21" w:rsidRPr="007849BC" w:rsidRDefault="003C1BC9" w:rsidP="00592A21">
      <w:r>
        <w:rPr>
          <w:noProof/>
        </w:rPr>
        <w:drawing>
          <wp:inline distT="0" distB="0" distL="0" distR="0" wp14:anchorId="2DFE0015" wp14:editId="420A33B3">
            <wp:extent cx="3820885" cy="2811538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81213 Fig S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44" cy="283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AA818" w14:textId="7A7EB813" w:rsidR="00FB3E71" w:rsidRPr="005D3283" w:rsidRDefault="00FB3E71" w:rsidP="00FB3E71">
      <w:pPr>
        <w:rPr>
          <w:b/>
        </w:rPr>
      </w:pPr>
      <w:bookmarkStart w:id="1" w:name="_Hlk525033945"/>
      <w:r w:rsidRPr="00592A21">
        <w:rPr>
          <w:b/>
        </w:rPr>
        <w:t xml:space="preserve">Supplementary Figure S1. Waterfall plot with change in target-lesion dimensions. </w:t>
      </w:r>
      <w:r w:rsidRPr="007849BC">
        <w:t>Tumor measurement was done in</w:t>
      </w:r>
      <w:r w:rsidR="00AF281C">
        <w:t xml:space="preserve"> 14</w:t>
      </w:r>
      <w:r w:rsidRPr="007849BC">
        <w:t xml:space="preserve"> </w:t>
      </w:r>
      <w:r w:rsidR="00AF281C">
        <w:t xml:space="preserve">of 17 </w:t>
      </w:r>
      <w:r w:rsidRPr="007849BC">
        <w:t>patients (3 HCC</w:t>
      </w:r>
      <w:r w:rsidR="00AF281C">
        <w:t xml:space="preserve"> patients clinically progressed before first </w:t>
      </w:r>
      <w:r w:rsidR="00DC471D">
        <w:t>re-evaluation</w:t>
      </w:r>
      <w:r w:rsidRPr="007849BC">
        <w:t xml:space="preserve">) evaluable by CT/MRI at baseline, 3 months and 6 months after the first vaccination, and then every 3 months </w:t>
      </w:r>
      <w:r w:rsidR="00AF281C">
        <w:t xml:space="preserve">or </w:t>
      </w:r>
      <w:r w:rsidRPr="007849BC">
        <w:t xml:space="preserve">until disease progression using the mRECIST criteria. </w:t>
      </w:r>
      <w:r w:rsidR="00782017">
        <w:t xml:space="preserve">One of the 14 patients was not evaluable for mRECIST and is not represented in the figure.  </w:t>
      </w:r>
      <w:r w:rsidR="002324C8">
        <w:t>T</w:t>
      </w:r>
      <w:r w:rsidRPr="007849BC">
        <w:t>reatment</w:t>
      </w:r>
      <w:r w:rsidR="002324C8">
        <w:t xml:space="preserve"> with respect to doses</w:t>
      </w:r>
      <w:r w:rsidRPr="007849BC">
        <w:t xml:space="preserve"> indicated in different colours</w:t>
      </w:r>
      <w:r w:rsidR="002324C8">
        <w:t xml:space="preserve"> and patterns</w:t>
      </w:r>
      <w:r w:rsidRPr="007849BC">
        <w:t>.</w:t>
      </w:r>
      <w:r w:rsidR="002324C8">
        <w:t xml:space="preserve"> </w:t>
      </w:r>
    </w:p>
    <w:p w14:paraId="170739DB" w14:textId="77777777" w:rsidR="00592A21" w:rsidRDefault="00592A21" w:rsidP="00592A21">
      <w:pPr>
        <w:rPr>
          <w:b/>
        </w:rPr>
      </w:pPr>
    </w:p>
    <w:p w14:paraId="27FEB43F" w14:textId="79F46C2A" w:rsidR="00592A21" w:rsidRPr="00ED1151" w:rsidRDefault="00592A21" w:rsidP="00AD6454">
      <w:pPr>
        <w:rPr>
          <w:b/>
        </w:rPr>
      </w:pPr>
      <w:bookmarkStart w:id="2" w:name="_Hlk525034030"/>
      <w:bookmarkEnd w:id="1"/>
      <w:r w:rsidRPr="00592A21">
        <w:rPr>
          <w:b/>
        </w:rPr>
        <w:t>Panel A: Overall survival</w:t>
      </w:r>
    </w:p>
    <w:bookmarkEnd w:id="2"/>
    <w:p w14:paraId="2974B98C" w14:textId="60CFA190" w:rsidR="00592A21" w:rsidRDefault="00592A21" w:rsidP="00592A21">
      <w:pPr>
        <w:spacing w:line="480" w:lineRule="auto"/>
        <w:rPr>
          <w:rFonts w:ascii="Arial" w:hAnsi="Arial" w:cs="Arial"/>
        </w:rPr>
      </w:pPr>
      <w:r w:rsidRPr="002A3314">
        <w:rPr>
          <w:rFonts w:ascii="Arial" w:hAnsi="Arial" w:cs="Arial"/>
          <w:noProof/>
          <w:lang w:eastAsia="fr-BE"/>
        </w:rPr>
        <w:drawing>
          <wp:inline distT="0" distB="0" distL="0" distR="0" wp14:anchorId="187609A6" wp14:editId="70DFD887">
            <wp:extent cx="3686740" cy="3009900"/>
            <wp:effectExtent l="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-M O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375" cy="305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DCB67" w14:textId="77777777" w:rsidR="00592A21" w:rsidRPr="00592A21" w:rsidRDefault="00592A21" w:rsidP="00592A21">
      <w:pPr>
        <w:rPr>
          <w:b/>
        </w:rPr>
      </w:pPr>
      <w:r w:rsidRPr="00592A21">
        <w:rPr>
          <w:b/>
        </w:rPr>
        <w:lastRenderedPageBreak/>
        <w:t>Panel B: Time to progression</w:t>
      </w:r>
    </w:p>
    <w:p w14:paraId="49F2CF42" w14:textId="5CBAC6E6" w:rsidR="00592A21" w:rsidRDefault="009D4653" w:rsidP="00592A21">
      <w:pPr>
        <w:spacing w:line="480" w:lineRule="auto"/>
        <w:rPr>
          <w:rFonts w:ascii="Arial" w:hAnsi="Arial" w:cs="Arial"/>
        </w:rPr>
      </w:pPr>
      <w:r w:rsidRPr="002A3314">
        <w:rPr>
          <w:rFonts w:ascii="Arial" w:hAnsi="Arial" w:cs="Arial"/>
          <w:noProof/>
          <w:lang w:eastAsia="fr-BE"/>
        </w:rPr>
        <w:drawing>
          <wp:inline distT="0" distB="0" distL="0" distR="0" wp14:anchorId="2F8B45F1" wp14:editId="1FE15587">
            <wp:extent cx="3635211" cy="2895600"/>
            <wp:effectExtent l="0" t="0" r="381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-M TT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6300" cy="291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4D378" w14:textId="747FB4DB" w:rsidR="00994A3D" w:rsidRPr="001549D3" w:rsidRDefault="00ED1151" w:rsidP="005D3283">
      <w:pPr>
        <w:rPr>
          <w:rFonts w:cs="Times New Roman"/>
          <w:szCs w:val="24"/>
        </w:rPr>
      </w:pPr>
      <w:r w:rsidRPr="00592A21">
        <w:rPr>
          <w:b/>
        </w:rPr>
        <w:t>Supplementary Figure S2. Kaplan-Meier curves for patients with hepatocellular carcinoma (N=17).</w:t>
      </w:r>
      <w:r>
        <w:rPr>
          <w:b/>
        </w:rPr>
        <w:t xml:space="preserve"> </w:t>
      </w:r>
      <w:r w:rsidRPr="007849BC">
        <w:t>Overall survival (OS)</w:t>
      </w:r>
      <w:r>
        <w:t xml:space="preserve"> (</w:t>
      </w:r>
      <w:r w:rsidRPr="005D3283">
        <w:rPr>
          <w:b/>
        </w:rPr>
        <w:t>Panel A</w:t>
      </w:r>
      <w:r>
        <w:t>)</w:t>
      </w:r>
      <w:r w:rsidRPr="007849BC">
        <w:t>, measured as number of days from first dose of ilixadencel, and time to progression (TTP)</w:t>
      </w:r>
      <w:r>
        <w:t xml:space="preserve"> (</w:t>
      </w:r>
      <w:r w:rsidRPr="005D3283">
        <w:rPr>
          <w:b/>
        </w:rPr>
        <w:t>Panel B</w:t>
      </w:r>
      <w:r>
        <w:t>)</w:t>
      </w:r>
      <w:r w:rsidRPr="007849BC">
        <w:t>, measured as number of days from first dose of ilixadencel until radiologically proven progression according to mRECIST for all the patients with hepatocellular carcinoma are presented as Kaplan-Meier curves together with the respective median values.</w:t>
      </w:r>
    </w:p>
    <w:p w14:paraId="5B12B45C" w14:textId="779E0B61" w:rsidR="00ED1151" w:rsidRDefault="00ED1151" w:rsidP="00ED1151">
      <w:pPr>
        <w:rPr>
          <w:b/>
        </w:rPr>
      </w:pPr>
      <w:r w:rsidRPr="002A3314">
        <w:rPr>
          <w:rFonts w:ascii="Arial" w:hAnsi="Arial" w:cs="Arial"/>
          <w:noProof/>
          <w:lang w:val="pl-PL"/>
        </w:rPr>
        <w:lastRenderedPageBreak/>
        <w:drawing>
          <wp:inline distT="0" distB="0" distL="0" distR="0" wp14:anchorId="05277FE7" wp14:editId="5762778A">
            <wp:extent cx="4330700" cy="521970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 aug2018_final Fig 2.tif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F5EF6" w14:textId="478B55F8" w:rsidR="009D4653" w:rsidRPr="00ED1151" w:rsidRDefault="009D4653" w:rsidP="00ED1151">
      <w:pPr>
        <w:rPr>
          <w:b/>
        </w:rPr>
      </w:pPr>
      <w:r w:rsidRPr="009D4653">
        <w:rPr>
          <w:b/>
        </w:rPr>
        <w:t>Supplementary Figure S3. Cytokine production in the mixed leukocyte reaction.</w:t>
      </w:r>
      <w:r w:rsidR="00ED1151">
        <w:rPr>
          <w:b/>
        </w:rPr>
        <w:t xml:space="preserve"> </w:t>
      </w:r>
      <w:r w:rsidRPr="007849BC">
        <w:t>Cytokine production in supernatants harvested after 5 days of co-culture between ilixadencel and allogeneic PBMCs (mixed leukocyte reaction) from five different donors. The effect of ilixadencel on allogeneic PBMCs was assessed in combination with sunitinib (0.1μg/mL), sorafenib (1 μg/mL) or anti-PD-1 antibody (aPD1; 20 μg/mL), and compared to control (Ctrl), containing ilixadencel and allogeneic PBMCs. Supernatants were harvested from cultured cells and analyzed for the production of (</w:t>
      </w:r>
      <w:r w:rsidR="00ED1151" w:rsidRPr="005D3283">
        <w:rPr>
          <w:b/>
        </w:rPr>
        <w:t>A</w:t>
      </w:r>
      <w:r w:rsidRPr="007849BC">
        <w:t>) IL-1b and (</w:t>
      </w:r>
      <w:r w:rsidR="00ED1151" w:rsidRPr="005D3283">
        <w:rPr>
          <w:b/>
        </w:rPr>
        <w:t>B</w:t>
      </w:r>
      <w:r w:rsidRPr="007849BC">
        <w:t>) IL-2 using a multiplex analyzer. Bars represent mean ± standard deviation (n=5) and signiﬁcance levels, calculated by Student´s t-test, were accepted when *P &lt; 0.05,</w:t>
      </w:r>
      <w:r w:rsidR="00D64807">
        <w:t xml:space="preserve"> and</w:t>
      </w:r>
      <w:r w:rsidRPr="007849BC">
        <w:t xml:space="preserve"> **P &lt; 0.01.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09C63" w14:textId="77777777" w:rsidR="00502748" w:rsidRDefault="00502748" w:rsidP="00117666">
      <w:pPr>
        <w:spacing w:after="0"/>
      </w:pPr>
      <w:r>
        <w:separator/>
      </w:r>
    </w:p>
  </w:endnote>
  <w:endnote w:type="continuationSeparator" w:id="0">
    <w:p w14:paraId="6D8EBD7E" w14:textId="77777777" w:rsidR="00502748" w:rsidRDefault="00502748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454D8" w14:textId="77777777" w:rsidR="00502748" w:rsidRDefault="00502748" w:rsidP="00117666">
      <w:pPr>
        <w:spacing w:after="0"/>
      </w:pPr>
      <w:r>
        <w:separator/>
      </w:r>
    </w:p>
  </w:footnote>
  <w:footnote w:type="continuationSeparator" w:id="0">
    <w:p w14:paraId="6B91230A" w14:textId="77777777" w:rsidR="00502748" w:rsidRDefault="00502748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54A7E2AF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="001549D3" w:rsidRPr="009151AA">
      <w:rPr>
        <w:rFonts w:cs="Times New Roman"/>
      </w:rPr>
      <w:t>Supplementary Material</w:t>
    </w:r>
    <w:r w:rsidR="00FB3E71">
      <w:rPr>
        <w:rFonts w:cs="Times New Roman"/>
      </w:rPr>
      <w:t>: Phase 1 Ilixadencel</w:t>
    </w:r>
    <w:r w:rsidR="00DA18BC">
      <w:rPr>
        <w:rFonts w:cs="Times New Roman"/>
      </w:rPr>
      <w:t xml:space="preserve"> in HCC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865C4" w14:textId="1FC7396A" w:rsidR="00FB3E71" w:rsidRPr="00FB3E71" w:rsidRDefault="00FB3E71" w:rsidP="005D3283">
    <w:pPr>
      <w:rPr>
        <w:rFonts w:cs="Times New Roman"/>
      </w:rPr>
    </w:pPr>
    <w:r>
      <w:tab/>
    </w: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t>Supplementary Material</w:t>
    </w:r>
    <w:r>
      <w:rPr>
        <w:rFonts w:cs="Times New Roman"/>
      </w:rPr>
      <w:t>: Phase 1 Ilixadencel</w:t>
    </w:r>
    <w:r w:rsidR="00DA18BC">
      <w:rPr>
        <w:rFonts w:cs="Times New Roman"/>
      </w:rPr>
      <w:t xml:space="preserve"> HCC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068D"/>
    <w:rsid w:val="00077D53"/>
    <w:rsid w:val="00105FD9"/>
    <w:rsid w:val="00117666"/>
    <w:rsid w:val="001549D3"/>
    <w:rsid w:val="00160065"/>
    <w:rsid w:val="00177D84"/>
    <w:rsid w:val="002324C8"/>
    <w:rsid w:val="00246C58"/>
    <w:rsid w:val="00267D18"/>
    <w:rsid w:val="002868E2"/>
    <w:rsid w:val="002869C3"/>
    <w:rsid w:val="002936E4"/>
    <w:rsid w:val="002B4A57"/>
    <w:rsid w:val="002C74CA"/>
    <w:rsid w:val="002E38B5"/>
    <w:rsid w:val="003544FB"/>
    <w:rsid w:val="003731A2"/>
    <w:rsid w:val="003C1BC9"/>
    <w:rsid w:val="003D2F2D"/>
    <w:rsid w:val="00401590"/>
    <w:rsid w:val="00447801"/>
    <w:rsid w:val="00452E9C"/>
    <w:rsid w:val="004735C8"/>
    <w:rsid w:val="0049175B"/>
    <w:rsid w:val="004947A6"/>
    <w:rsid w:val="004961FF"/>
    <w:rsid w:val="00502748"/>
    <w:rsid w:val="005140BB"/>
    <w:rsid w:val="00517A89"/>
    <w:rsid w:val="005250F2"/>
    <w:rsid w:val="00585DC3"/>
    <w:rsid w:val="00592A21"/>
    <w:rsid w:val="00593EEA"/>
    <w:rsid w:val="005A5EEE"/>
    <w:rsid w:val="005D3283"/>
    <w:rsid w:val="006375C7"/>
    <w:rsid w:val="00654E8F"/>
    <w:rsid w:val="00660D05"/>
    <w:rsid w:val="006820B1"/>
    <w:rsid w:val="006B7D14"/>
    <w:rsid w:val="006D12A3"/>
    <w:rsid w:val="00701727"/>
    <w:rsid w:val="0070566C"/>
    <w:rsid w:val="00714C50"/>
    <w:rsid w:val="00725A7D"/>
    <w:rsid w:val="007501BE"/>
    <w:rsid w:val="00782017"/>
    <w:rsid w:val="00790BB3"/>
    <w:rsid w:val="007C206C"/>
    <w:rsid w:val="00817DD6"/>
    <w:rsid w:val="0083759F"/>
    <w:rsid w:val="00853A3C"/>
    <w:rsid w:val="00885156"/>
    <w:rsid w:val="009151AA"/>
    <w:rsid w:val="0093429D"/>
    <w:rsid w:val="00943573"/>
    <w:rsid w:val="00970F7D"/>
    <w:rsid w:val="00994A3D"/>
    <w:rsid w:val="009C2B12"/>
    <w:rsid w:val="009D4653"/>
    <w:rsid w:val="00A174D9"/>
    <w:rsid w:val="00A559F5"/>
    <w:rsid w:val="00AA4D24"/>
    <w:rsid w:val="00AB6715"/>
    <w:rsid w:val="00AD2100"/>
    <w:rsid w:val="00AD6454"/>
    <w:rsid w:val="00AF0B57"/>
    <w:rsid w:val="00AF281C"/>
    <w:rsid w:val="00B1671E"/>
    <w:rsid w:val="00B25EB8"/>
    <w:rsid w:val="00B37F4D"/>
    <w:rsid w:val="00C11350"/>
    <w:rsid w:val="00C52A7B"/>
    <w:rsid w:val="00C56BAF"/>
    <w:rsid w:val="00C679AA"/>
    <w:rsid w:val="00C75972"/>
    <w:rsid w:val="00CB5C2A"/>
    <w:rsid w:val="00CD066B"/>
    <w:rsid w:val="00CE4FEE"/>
    <w:rsid w:val="00D64807"/>
    <w:rsid w:val="00D77175"/>
    <w:rsid w:val="00DA18BC"/>
    <w:rsid w:val="00DB59C3"/>
    <w:rsid w:val="00DC259A"/>
    <w:rsid w:val="00DC471D"/>
    <w:rsid w:val="00DE23E8"/>
    <w:rsid w:val="00DE30E9"/>
    <w:rsid w:val="00DF775E"/>
    <w:rsid w:val="00E52377"/>
    <w:rsid w:val="00E64E17"/>
    <w:rsid w:val="00E82452"/>
    <w:rsid w:val="00E84843"/>
    <w:rsid w:val="00E866C9"/>
    <w:rsid w:val="00EA3D3C"/>
    <w:rsid w:val="00EC090A"/>
    <w:rsid w:val="00ED1151"/>
    <w:rsid w:val="00ED20B5"/>
    <w:rsid w:val="00EE6344"/>
    <w:rsid w:val="00F46900"/>
    <w:rsid w:val="00F61D89"/>
    <w:rsid w:val="00FB3E71"/>
    <w:rsid w:val="00FC57D8"/>
    <w:rsid w:val="00FD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uenaert@immunicum.com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tif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D90357D-F563-0440-B157-94170ABE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1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Heimann</dc:creator>
  <cp:lastModifiedBy>Peter Suenaert</cp:lastModifiedBy>
  <cp:revision>2</cp:revision>
  <cp:lastPrinted>2013-10-03T12:51:00Z</cp:lastPrinted>
  <dcterms:created xsi:type="dcterms:W3CDTF">2019-01-11T08:19:00Z</dcterms:created>
  <dcterms:modified xsi:type="dcterms:W3CDTF">2019-01-11T08:19:00Z</dcterms:modified>
</cp:coreProperties>
</file>