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DFCC0" w14:textId="02A08799" w:rsidR="00645D53" w:rsidRPr="00681334" w:rsidRDefault="00645D53" w:rsidP="00681334">
      <w:pPr>
        <w:pStyle w:val="Heading1"/>
        <w:jc w:val="left"/>
        <w:rPr>
          <w:sz w:val="56"/>
        </w:rPr>
      </w:pPr>
      <w:bookmarkStart w:id="0" w:name="_GoBack"/>
      <w:bookmarkEnd w:id="0"/>
      <w:r w:rsidRPr="00681334">
        <w:rPr>
          <w:sz w:val="56"/>
        </w:rPr>
        <w:t xml:space="preserve">Supplementary </w:t>
      </w:r>
      <w:r w:rsidR="00D46E3D" w:rsidRPr="00681334">
        <w:rPr>
          <w:sz w:val="56"/>
        </w:rPr>
        <w:t>information</w:t>
      </w:r>
    </w:p>
    <w:p w14:paraId="14FB9064" w14:textId="77777777" w:rsidR="00681334" w:rsidRDefault="00681334" w:rsidP="00681334"/>
    <w:p w14:paraId="792D976E" w14:textId="0671BFAB" w:rsidR="00681334" w:rsidRDefault="00681334" w:rsidP="00681334">
      <w:pPr>
        <w:rPr>
          <w:b/>
          <w:sz w:val="32"/>
        </w:rPr>
      </w:pPr>
      <w:r w:rsidRPr="00681334">
        <w:rPr>
          <w:b/>
          <w:sz w:val="32"/>
        </w:rPr>
        <w:t>Entorhinal neurons exhibit cue locking in rodent VR</w:t>
      </w:r>
    </w:p>
    <w:p w14:paraId="157A2CC5" w14:textId="77777777" w:rsidR="00681334" w:rsidRPr="00A53589" w:rsidRDefault="00681334" w:rsidP="00681334">
      <w:bookmarkStart w:id="1" w:name="OLE_LINK23"/>
      <w:bookmarkStart w:id="2" w:name="OLE_LINK25"/>
      <w:r w:rsidRPr="00A53589">
        <w:t>Giulio Casali</w:t>
      </w:r>
      <w:r w:rsidRPr="00A53589">
        <w:rPr>
          <w:vertAlign w:val="superscript"/>
        </w:rPr>
        <w:t>1</w:t>
      </w:r>
      <w:r w:rsidRPr="00A53589">
        <w:t>*, Sarah Shipley</w:t>
      </w:r>
      <w:r w:rsidRPr="00A53589">
        <w:rPr>
          <w:vertAlign w:val="superscript"/>
        </w:rPr>
        <w:t>1</w:t>
      </w:r>
      <w:r w:rsidRPr="00A53589">
        <w:t xml:space="preserve">, </w:t>
      </w:r>
      <w:bookmarkStart w:id="3" w:name="OLE_LINK24"/>
      <w:r w:rsidRPr="00A53589">
        <w:t>Charlie Dowell</w:t>
      </w:r>
      <w:r w:rsidRPr="00A53589">
        <w:rPr>
          <w:vertAlign w:val="superscript"/>
        </w:rPr>
        <w:t>1</w:t>
      </w:r>
      <w:r w:rsidRPr="00A53589">
        <w:t>, Robin Hayman</w:t>
      </w:r>
      <w:r w:rsidRPr="00A53589">
        <w:rPr>
          <w:vertAlign w:val="superscript"/>
        </w:rPr>
        <w:t>1,2</w:t>
      </w:r>
      <w:r w:rsidRPr="00A53589">
        <w:t>, Caswell Barry</w:t>
      </w:r>
      <w:r w:rsidRPr="00A53589">
        <w:rPr>
          <w:vertAlign w:val="superscript"/>
        </w:rPr>
        <w:t>1</w:t>
      </w:r>
      <w:r w:rsidRPr="00A53589">
        <w:t>*</w:t>
      </w:r>
    </w:p>
    <w:p w14:paraId="0B14466E" w14:textId="77777777" w:rsidR="00681334" w:rsidRPr="00A53589" w:rsidRDefault="00681334" w:rsidP="00681334">
      <w:bookmarkStart w:id="4" w:name="OLE_LINK26"/>
      <w:bookmarkEnd w:id="1"/>
      <w:r w:rsidRPr="00A53589">
        <w:rPr>
          <w:vertAlign w:val="superscript"/>
        </w:rPr>
        <w:t>1</w:t>
      </w:r>
      <w:r w:rsidRPr="00A53589">
        <w:t xml:space="preserve"> Department of Cell and Developmental Biology, University College London, London, UK.</w:t>
      </w:r>
    </w:p>
    <w:p w14:paraId="23DE9AAB" w14:textId="77777777" w:rsidR="00681334" w:rsidRPr="00A53589" w:rsidRDefault="00681334" w:rsidP="00681334">
      <w:r w:rsidRPr="00A53589">
        <w:rPr>
          <w:vertAlign w:val="superscript"/>
        </w:rPr>
        <w:t xml:space="preserve">2 </w:t>
      </w:r>
      <w:r w:rsidRPr="00A53589">
        <w:t>Institute of Neurology, University College London, London, UK.</w:t>
      </w:r>
    </w:p>
    <w:p w14:paraId="2DE04825" w14:textId="77777777" w:rsidR="00681334" w:rsidRPr="00A53589" w:rsidRDefault="00681334" w:rsidP="00681334">
      <w:pPr>
        <w:ind w:left="720" w:firstLine="0"/>
      </w:pPr>
      <w:r w:rsidRPr="00A53589">
        <w:t xml:space="preserve">*Lead contact and corresponding authors: Giulio </w:t>
      </w:r>
      <w:proofErr w:type="spellStart"/>
      <w:r w:rsidRPr="00A53589">
        <w:t>Casali</w:t>
      </w:r>
      <w:proofErr w:type="spellEnd"/>
      <w:r w:rsidRPr="00A53589">
        <w:t xml:space="preserve"> (</w:t>
      </w:r>
      <w:hyperlink r:id="rId7" w:history="1">
        <w:r w:rsidRPr="00A53589">
          <w:rPr>
            <w:rStyle w:val="Hyperlink"/>
          </w:rPr>
          <w:t>g.casali@ucl.ac.uk</w:t>
        </w:r>
      </w:hyperlink>
      <w:r w:rsidRPr="00A53589">
        <w:t>) and Caswell Barry (</w:t>
      </w:r>
      <w:hyperlink r:id="rId8" w:history="1">
        <w:r w:rsidRPr="00A53589">
          <w:rPr>
            <w:rStyle w:val="Hyperlink"/>
            <w:szCs w:val="24"/>
          </w:rPr>
          <w:t>caswell.barry@ucl.ac.uk</w:t>
        </w:r>
      </w:hyperlink>
      <w:r w:rsidRPr="00A53589">
        <w:t>)</w:t>
      </w:r>
      <w:bookmarkEnd w:id="2"/>
      <w:bookmarkEnd w:id="3"/>
      <w:bookmarkEnd w:id="4"/>
    </w:p>
    <w:p w14:paraId="18064C93" w14:textId="05A3B715" w:rsidR="00681334" w:rsidRPr="00681334" w:rsidRDefault="00681334" w:rsidP="00681334">
      <w:pPr>
        <w:pStyle w:val="Heading2"/>
      </w:pPr>
      <w:r>
        <w:lastRenderedPageBreak/>
        <w:t>Supplementary Figures</w:t>
      </w:r>
    </w:p>
    <w:p w14:paraId="4A16C936" w14:textId="77777777" w:rsidR="00D608D4" w:rsidRPr="0014784B" w:rsidRDefault="00D608D4" w:rsidP="0014784B"/>
    <w:p w14:paraId="7DD4E19D" w14:textId="77777777" w:rsidR="00645D53" w:rsidRPr="00645D53" w:rsidRDefault="00645D53" w:rsidP="00645D53"/>
    <w:p w14:paraId="6AE0437C" w14:textId="77777777" w:rsidR="00645D53" w:rsidRPr="00645D53" w:rsidRDefault="00645D53" w:rsidP="00645D53">
      <w:pPr>
        <w:keepNext/>
      </w:pPr>
      <w:r w:rsidRPr="00645D53">
        <w:rPr>
          <w:noProof/>
        </w:rPr>
        <w:drawing>
          <wp:inline distT="0" distB="0" distL="0" distR="0" wp14:anchorId="5B1A02E1" wp14:editId="0FED4C7B">
            <wp:extent cx="6188710" cy="2200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Figur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8710" cy="2200275"/>
                    </a:xfrm>
                    <a:prstGeom prst="rect">
                      <a:avLst/>
                    </a:prstGeom>
                  </pic:spPr>
                </pic:pic>
              </a:graphicData>
            </a:graphic>
          </wp:inline>
        </w:drawing>
      </w:r>
    </w:p>
    <w:p w14:paraId="3889EB33" w14:textId="77777777" w:rsidR="00645D53" w:rsidRPr="00645D53" w:rsidRDefault="00645D53" w:rsidP="00645D53">
      <w:pPr>
        <w:spacing w:after="200" w:line="240" w:lineRule="auto"/>
        <w:ind w:firstLine="0"/>
        <w:rPr>
          <w:b/>
          <w:iCs/>
        </w:rPr>
      </w:pPr>
      <w:r w:rsidRPr="00645D53">
        <w:rPr>
          <w:b/>
          <w:iCs/>
        </w:rPr>
        <w:t xml:space="preserve">Supp. Fig </w:t>
      </w:r>
      <w:r w:rsidRPr="00645D53">
        <w:rPr>
          <w:b/>
          <w:iCs/>
        </w:rPr>
        <w:fldChar w:fldCharType="begin"/>
      </w:r>
      <w:r w:rsidRPr="00645D53">
        <w:rPr>
          <w:b/>
          <w:iCs/>
        </w:rPr>
        <w:instrText xml:space="preserve"> SEQ Supp._Fig \* ARABIC </w:instrText>
      </w:r>
      <w:r w:rsidRPr="00645D53">
        <w:rPr>
          <w:b/>
          <w:iCs/>
        </w:rPr>
        <w:fldChar w:fldCharType="separate"/>
      </w:r>
      <w:r w:rsidR="00D81F43">
        <w:rPr>
          <w:b/>
          <w:iCs/>
          <w:noProof/>
        </w:rPr>
        <w:t>1</w:t>
      </w:r>
      <w:r w:rsidRPr="00645D53">
        <w:rPr>
          <w:b/>
          <w:iCs/>
        </w:rPr>
        <w:fldChar w:fldCharType="end"/>
      </w:r>
    </w:p>
    <w:p w14:paraId="1E10E6CF" w14:textId="32E2CA0C" w:rsidR="00645D53" w:rsidRDefault="00645D53" w:rsidP="00645D53">
      <w:pPr>
        <w:spacing w:after="200" w:line="240" w:lineRule="auto"/>
        <w:ind w:firstLine="0"/>
        <w:rPr>
          <w:iCs/>
        </w:rPr>
      </w:pPr>
      <w:r w:rsidRPr="00645D53">
        <w:rPr>
          <w:iCs/>
        </w:rPr>
        <w:t>Example histology, showing superficial mEC recording locations in mice m3193 and m3194.</w:t>
      </w:r>
    </w:p>
    <w:p w14:paraId="4AAA5E5F" w14:textId="77777777" w:rsidR="00681334" w:rsidRDefault="00681334" w:rsidP="00645D53">
      <w:pPr>
        <w:spacing w:after="200" w:line="240" w:lineRule="auto"/>
        <w:ind w:firstLine="0"/>
        <w:rPr>
          <w:iCs/>
        </w:rPr>
      </w:pPr>
    </w:p>
    <w:p w14:paraId="30010166" w14:textId="77777777" w:rsidR="00681334" w:rsidRDefault="00681334" w:rsidP="00645D53">
      <w:pPr>
        <w:spacing w:after="200" w:line="240" w:lineRule="auto"/>
        <w:ind w:firstLine="0"/>
        <w:rPr>
          <w:iCs/>
        </w:rPr>
      </w:pPr>
    </w:p>
    <w:p w14:paraId="416DF0D2" w14:textId="77777777" w:rsidR="006D5235" w:rsidRPr="00645D53" w:rsidRDefault="006D5235" w:rsidP="00645D53">
      <w:pPr>
        <w:spacing w:after="200" w:line="240" w:lineRule="auto"/>
        <w:ind w:firstLine="0"/>
        <w:rPr>
          <w:iCs/>
        </w:rPr>
      </w:pPr>
    </w:p>
    <w:p w14:paraId="0BC2DB3E" w14:textId="1CB0FFB6" w:rsidR="00645D53" w:rsidRPr="00645D53" w:rsidRDefault="006D5235" w:rsidP="0014784B">
      <w:pPr>
        <w:ind w:firstLine="0"/>
      </w:pPr>
      <w:r>
        <w:rPr>
          <w:noProof/>
        </w:rPr>
        <w:drawing>
          <wp:inline distT="0" distB="0" distL="0" distR="0" wp14:anchorId="5FA9EFBC" wp14:editId="2EC8FC9A">
            <wp:extent cx="6188406" cy="28738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Fig2.png"/>
                    <pic:cNvPicPr/>
                  </pic:nvPicPr>
                  <pic:blipFill rotWithShape="1">
                    <a:blip r:embed="rId10" cstate="print">
                      <a:extLst>
                        <a:ext uri="{28A0092B-C50C-407E-A947-70E740481C1C}">
                          <a14:useLocalDpi xmlns:a14="http://schemas.microsoft.com/office/drawing/2010/main" val="0"/>
                        </a:ext>
                      </a:extLst>
                    </a:blip>
                    <a:srcRect t="8004" b="59166"/>
                    <a:stretch/>
                  </pic:blipFill>
                  <pic:spPr bwMode="auto">
                    <a:xfrm>
                      <a:off x="0" y="0"/>
                      <a:ext cx="6188710" cy="2873970"/>
                    </a:xfrm>
                    <a:prstGeom prst="rect">
                      <a:avLst/>
                    </a:prstGeom>
                    <a:ln>
                      <a:noFill/>
                    </a:ln>
                    <a:extLst>
                      <a:ext uri="{53640926-AAD7-44D8-BBD7-CCE9431645EC}">
                        <a14:shadowObscured xmlns:a14="http://schemas.microsoft.com/office/drawing/2010/main"/>
                      </a:ext>
                    </a:extLst>
                  </pic:spPr>
                </pic:pic>
              </a:graphicData>
            </a:graphic>
          </wp:inline>
        </w:drawing>
      </w:r>
    </w:p>
    <w:p w14:paraId="66D46711" w14:textId="77777777" w:rsidR="00645D53" w:rsidRPr="00645D53" w:rsidRDefault="00645D53" w:rsidP="00F71D8E">
      <w:pPr>
        <w:ind w:firstLine="0"/>
        <w:rPr>
          <w:b/>
          <w:iCs/>
        </w:rPr>
      </w:pPr>
      <w:bookmarkStart w:id="5" w:name="_Ref529814291"/>
      <w:r w:rsidRPr="00645D53">
        <w:rPr>
          <w:b/>
          <w:iCs/>
        </w:rPr>
        <w:t xml:space="preserve">Supp. Fig </w:t>
      </w:r>
      <w:r w:rsidRPr="00645D53">
        <w:rPr>
          <w:b/>
          <w:iCs/>
        </w:rPr>
        <w:fldChar w:fldCharType="begin"/>
      </w:r>
      <w:r w:rsidRPr="00645D53">
        <w:rPr>
          <w:b/>
          <w:iCs/>
        </w:rPr>
        <w:instrText xml:space="preserve"> SEQ Supp._Fig \* ARABIC </w:instrText>
      </w:r>
      <w:r w:rsidRPr="00645D53">
        <w:rPr>
          <w:b/>
          <w:iCs/>
        </w:rPr>
        <w:fldChar w:fldCharType="separate"/>
      </w:r>
      <w:r w:rsidR="00D81F43">
        <w:rPr>
          <w:b/>
          <w:iCs/>
          <w:noProof/>
        </w:rPr>
        <w:t>2</w:t>
      </w:r>
      <w:r w:rsidRPr="00645D53">
        <w:rPr>
          <w:b/>
          <w:iCs/>
        </w:rPr>
        <w:fldChar w:fldCharType="end"/>
      </w:r>
      <w:bookmarkEnd w:id="5"/>
    </w:p>
    <w:p w14:paraId="7D82DF79" w14:textId="45974126" w:rsidR="00645D53" w:rsidRDefault="00645D53" w:rsidP="00645D53">
      <w:pPr>
        <w:spacing w:after="200" w:line="240" w:lineRule="auto"/>
        <w:ind w:firstLine="0"/>
        <w:rPr>
          <w:iCs/>
        </w:rPr>
      </w:pPr>
      <w:r w:rsidRPr="00645D53">
        <w:rPr>
          <w:iCs/>
        </w:rPr>
        <w:t xml:space="preserve">First person perspective view of </w:t>
      </w:r>
      <w:r w:rsidR="006D5235">
        <w:rPr>
          <w:iCs/>
        </w:rPr>
        <w:t xml:space="preserve">the three </w:t>
      </w:r>
      <w:r w:rsidRPr="00645D53">
        <w:rPr>
          <w:iCs/>
        </w:rPr>
        <w:t>VR environments A, B, C</w:t>
      </w:r>
      <w:r w:rsidR="006D5235">
        <w:rPr>
          <w:iCs/>
        </w:rPr>
        <w:t xml:space="preserve"> from the first third of the track (</w:t>
      </w:r>
      <w:r w:rsidR="006D5235" w:rsidRPr="0014784B">
        <w:rPr>
          <w:i/>
          <w:iCs/>
        </w:rPr>
        <w:t>top</w:t>
      </w:r>
      <w:r w:rsidR="006D5235">
        <w:rPr>
          <w:iCs/>
        </w:rPr>
        <w:t>) and last third (</w:t>
      </w:r>
      <w:r w:rsidR="006D5235" w:rsidRPr="0014784B">
        <w:rPr>
          <w:i/>
          <w:iCs/>
        </w:rPr>
        <w:t>bottom</w:t>
      </w:r>
      <w:r w:rsidR="006D5235">
        <w:rPr>
          <w:iCs/>
        </w:rPr>
        <w:t>) where the extra objects are placed to signal the reward area followed by the black tunnel at the end of the track.</w:t>
      </w:r>
      <w:r w:rsidRPr="00645D53">
        <w:rPr>
          <w:iCs/>
        </w:rPr>
        <w:t xml:space="preserve"> Note the differences in the position, colour, and width of the repetitive visual cues across VR environments. </w:t>
      </w:r>
    </w:p>
    <w:p w14:paraId="39FE4094" w14:textId="2A04B48F" w:rsidR="00721912" w:rsidRDefault="006536CC" w:rsidP="0014784B">
      <w:pPr>
        <w:keepNext/>
        <w:spacing w:after="200" w:line="240" w:lineRule="auto"/>
        <w:rPr>
          <w:b/>
          <w:iCs/>
          <w:noProof/>
        </w:rPr>
      </w:pPr>
      <w:bookmarkStart w:id="6" w:name="_Ref529814758"/>
      <w:r>
        <w:rPr>
          <w:b/>
          <w:iCs/>
          <w:noProof/>
        </w:rPr>
        <w:lastRenderedPageBreak/>
        <w:drawing>
          <wp:inline distT="0" distB="0" distL="0" distR="0" wp14:anchorId="1C9464EA" wp14:editId="2BAE9A66">
            <wp:extent cx="6188710" cy="451171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 Fig 3C.png"/>
                    <pic:cNvPicPr/>
                  </pic:nvPicPr>
                  <pic:blipFill rotWithShape="1">
                    <a:blip r:embed="rId11" cstate="print">
                      <a:extLst>
                        <a:ext uri="{28A0092B-C50C-407E-A947-70E740481C1C}">
                          <a14:useLocalDpi xmlns:a14="http://schemas.microsoft.com/office/drawing/2010/main" val="0"/>
                        </a:ext>
                      </a:extLst>
                    </a:blip>
                    <a:srcRect t="1029" b="47609"/>
                    <a:stretch/>
                  </pic:blipFill>
                  <pic:spPr bwMode="auto">
                    <a:xfrm>
                      <a:off x="0" y="0"/>
                      <a:ext cx="6188710" cy="4511710"/>
                    </a:xfrm>
                    <a:prstGeom prst="rect">
                      <a:avLst/>
                    </a:prstGeom>
                    <a:ln>
                      <a:noFill/>
                    </a:ln>
                    <a:extLst>
                      <a:ext uri="{53640926-AAD7-44D8-BBD7-CCE9431645EC}">
                        <a14:shadowObscured xmlns:a14="http://schemas.microsoft.com/office/drawing/2010/main"/>
                      </a:ext>
                    </a:extLst>
                  </pic:spPr>
                </pic:pic>
              </a:graphicData>
            </a:graphic>
          </wp:inline>
        </w:drawing>
      </w:r>
    </w:p>
    <w:p w14:paraId="44B82E8B" w14:textId="14AFC105" w:rsidR="00721912" w:rsidRDefault="00721912" w:rsidP="00721912">
      <w:pPr>
        <w:spacing w:after="200" w:line="240" w:lineRule="auto"/>
        <w:ind w:firstLine="0"/>
        <w:rPr>
          <w:b/>
          <w:iCs/>
        </w:rPr>
      </w:pPr>
      <w:r w:rsidRPr="00645D53">
        <w:rPr>
          <w:b/>
          <w:iCs/>
        </w:rPr>
        <w:t xml:space="preserve">Supp. Fig </w:t>
      </w:r>
      <w:r w:rsidRPr="00645D53">
        <w:rPr>
          <w:b/>
          <w:iCs/>
        </w:rPr>
        <w:fldChar w:fldCharType="begin"/>
      </w:r>
      <w:r w:rsidRPr="00645D53">
        <w:rPr>
          <w:b/>
          <w:iCs/>
        </w:rPr>
        <w:instrText xml:space="preserve"> SEQ Supp._Fig \* ARABIC </w:instrText>
      </w:r>
      <w:r w:rsidRPr="00645D53">
        <w:rPr>
          <w:b/>
          <w:iCs/>
        </w:rPr>
        <w:fldChar w:fldCharType="separate"/>
      </w:r>
      <w:r w:rsidR="00D81F43">
        <w:rPr>
          <w:b/>
          <w:iCs/>
          <w:noProof/>
        </w:rPr>
        <w:t>3</w:t>
      </w:r>
      <w:r w:rsidRPr="00645D53">
        <w:rPr>
          <w:b/>
          <w:iCs/>
        </w:rPr>
        <w:fldChar w:fldCharType="end"/>
      </w:r>
    </w:p>
    <w:p w14:paraId="0E5B20C1" w14:textId="53312894" w:rsidR="005D5FE5" w:rsidRDefault="0025348E" w:rsidP="006F5E82">
      <w:pPr>
        <w:spacing w:after="200" w:line="240" w:lineRule="auto"/>
        <w:ind w:firstLine="0"/>
        <w:rPr>
          <w:iCs/>
        </w:rPr>
      </w:pPr>
      <w:r>
        <w:rPr>
          <w:iCs/>
        </w:rPr>
        <w:t>Mouse behavioural performances in VR.</w:t>
      </w:r>
    </w:p>
    <w:p w14:paraId="43401217" w14:textId="4D717E7F" w:rsidR="003D05CB" w:rsidRDefault="006F5E82" w:rsidP="006F5E82">
      <w:pPr>
        <w:spacing w:after="200" w:line="240" w:lineRule="auto"/>
        <w:ind w:firstLine="0"/>
      </w:pPr>
      <w:proofErr w:type="gramStart"/>
      <w:r w:rsidRPr="006F5E82">
        <w:rPr>
          <w:b/>
          <w:iCs/>
        </w:rPr>
        <w:t>A</w:t>
      </w:r>
      <w:proofErr w:type="gramEnd"/>
      <w:r>
        <w:rPr>
          <w:iCs/>
        </w:rPr>
        <w:t xml:space="preserve"> </w:t>
      </w:r>
      <w:r w:rsidR="005D5FE5">
        <w:rPr>
          <w:iCs/>
        </w:rPr>
        <w:t>Overall m</w:t>
      </w:r>
      <w:r>
        <w:rPr>
          <w:iCs/>
        </w:rPr>
        <w:t>ean</w:t>
      </w:r>
      <w:r w:rsidR="005162E6">
        <w:rPr>
          <w:iCs/>
        </w:rPr>
        <w:t xml:space="preserve"> (black line)</w:t>
      </w:r>
      <w:r>
        <w:rPr>
          <w:iCs/>
        </w:rPr>
        <w:t xml:space="preserve"> ± S.E.M. </w:t>
      </w:r>
      <w:r w:rsidR="005162E6">
        <w:rPr>
          <w:iCs/>
        </w:rPr>
        <w:t>(grey shade</w:t>
      </w:r>
      <w:r w:rsidR="00D10F4D">
        <w:rPr>
          <w:iCs/>
        </w:rPr>
        <w:t>d</w:t>
      </w:r>
      <w:r w:rsidR="005162E6">
        <w:rPr>
          <w:iCs/>
        </w:rPr>
        <w:t xml:space="preserve"> area) showing </w:t>
      </w:r>
      <w:r w:rsidR="003D05CB">
        <w:rPr>
          <w:iCs/>
        </w:rPr>
        <w:t>dwell time</w:t>
      </w:r>
      <w:r w:rsidR="0080159C">
        <w:rPr>
          <w:iCs/>
        </w:rPr>
        <w:t xml:space="preserve"> (proportion of trial spent in each bin</w:t>
      </w:r>
      <w:r w:rsidR="00A92AFF">
        <w:rPr>
          <w:iCs/>
        </w:rPr>
        <w:t xml:space="preserve"> 10 cm wide</w:t>
      </w:r>
      <w:r w:rsidR="0080159C">
        <w:rPr>
          <w:iCs/>
        </w:rPr>
        <w:t>)</w:t>
      </w:r>
      <w:r>
        <w:rPr>
          <w:iCs/>
        </w:rPr>
        <w:t xml:space="preserve"> across the</w:t>
      </w:r>
      <w:r w:rsidR="001C7EB5">
        <w:rPr>
          <w:iCs/>
        </w:rPr>
        <w:t xml:space="preserve"> entire</w:t>
      </w:r>
      <w:r>
        <w:rPr>
          <w:iCs/>
        </w:rPr>
        <w:t xml:space="preserve"> length of the track</w:t>
      </w:r>
      <w:r w:rsidR="0004593C">
        <w:rPr>
          <w:iCs/>
        </w:rPr>
        <w:t xml:space="preserve"> (1000 cm)</w:t>
      </w:r>
      <w:r>
        <w:rPr>
          <w:iCs/>
        </w:rPr>
        <w:t xml:space="preserve"> averaged across 3 VR environments. The pink area </w:t>
      </w:r>
      <w:r w:rsidR="00D46E3D">
        <w:rPr>
          <w:iCs/>
        </w:rPr>
        <w:t>shows</w:t>
      </w:r>
      <w:r>
        <w:rPr>
          <w:iCs/>
        </w:rPr>
        <w:t xml:space="preserve"> the reward area</w:t>
      </w:r>
      <w:r w:rsidR="0004593C">
        <w:rPr>
          <w:iCs/>
        </w:rPr>
        <w:t xml:space="preserve"> (</w:t>
      </w:r>
      <w:r w:rsidR="00A92AFF">
        <w:rPr>
          <w:iCs/>
        </w:rPr>
        <w:t>800-950</w:t>
      </w:r>
      <w:r w:rsidR="0004593C">
        <w:rPr>
          <w:iCs/>
        </w:rPr>
        <w:t xml:space="preserve"> cm)</w:t>
      </w:r>
      <w:r>
        <w:rPr>
          <w:iCs/>
        </w:rPr>
        <w:t xml:space="preserve"> and the </w:t>
      </w:r>
      <w:r w:rsidR="0004593C">
        <w:rPr>
          <w:iCs/>
        </w:rPr>
        <w:t xml:space="preserve">turquoise </w:t>
      </w:r>
      <w:r>
        <w:rPr>
          <w:iCs/>
        </w:rPr>
        <w:t>line</w:t>
      </w:r>
      <w:r w:rsidR="005D5FE5">
        <w:rPr>
          <w:iCs/>
        </w:rPr>
        <w:t xml:space="preserve"> </w:t>
      </w:r>
      <w:r>
        <w:rPr>
          <w:iCs/>
        </w:rPr>
        <w:t xml:space="preserve">the </w:t>
      </w:r>
      <w:r w:rsidR="005D5FE5">
        <w:rPr>
          <w:iCs/>
        </w:rPr>
        <w:t xml:space="preserve">fixed </w:t>
      </w:r>
      <w:r>
        <w:rPr>
          <w:iCs/>
        </w:rPr>
        <w:t>location</w:t>
      </w:r>
      <w:r w:rsidR="005D5FE5">
        <w:rPr>
          <w:iCs/>
        </w:rPr>
        <w:t xml:space="preserve"> where the reward </w:t>
      </w:r>
      <w:r w:rsidR="00D46E3D">
        <w:rPr>
          <w:iCs/>
        </w:rPr>
        <w:t>was delivered</w:t>
      </w:r>
      <w:r w:rsidR="0004593C">
        <w:rPr>
          <w:iCs/>
        </w:rPr>
        <w:t xml:space="preserve"> (875 cm)</w:t>
      </w:r>
      <w:r w:rsidR="005D5FE5">
        <w:rPr>
          <w:iCs/>
        </w:rPr>
        <w:t xml:space="preserve">. </w:t>
      </w:r>
      <w:r w:rsidR="00B60C51">
        <w:rPr>
          <w:iCs/>
        </w:rPr>
        <w:t>A</w:t>
      </w:r>
      <w:r w:rsidR="00014025">
        <w:t xml:space="preserve">nimals anticipated the reward, </w:t>
      </w:r>
      <w:r w:rsidR="00966EE2">
        <w:t>preferring</w:t>
      </w:r>
      <w:r w:rsidR="00014025">
        <w:t xml:space="preserve"> the bins immediately before </w:t>
      </w:r>
      <w:r w:rsidR="00014025" w:rsidRPr="00B06758">
        <w:t>the</w:t>
      </w:r>
      <w:r w:rsidR="00014025">
        <w:t xml:space="preserve"> reward (</w:t>
      </w:r>
      <w:bookmarkStart w:id="7" w:name="_Hlk531618843"/>
      <w:r w:rsidR="00014025">
        <w:t xml:space="preserve">mean ± SEM proportion of session spent per bin (%): reward area prior to reward = 1.46 ± 0.03 %, non-reward area = 0.92 ± 0.04 %, two-tailed unpaired t-test: </w:t>
      </w:r>
      <w:r w:rsidR="00014025" w:rsidRPr="007A4885">
        <w:rPr>
          <w:i/>
        </w:rPr>
        <w:t>t</w:t>
      </w:r>
      <w:r w:rsidR="00014025">
        <w:rPr>
          <w:vertAlign w:val="subscript"/>
        </w:rPr>
        <w:t>86</w:t>
      </w:r>
      <w:r w:rsidR="00014025">
        <w:t xml:space="preserve"> = -4.24, </w:t>
      </w:r>
      <w:r w:rsidR="00014025" w:rsidRPr="007A4885">
        <w:rPr>
          <w:i/>
        </w:rPr>
        <w:t>P</w:t>
      </w:r>
      <w:r w:rsidR="00014025">
        <w:t xml:space="preserve"> = </w:t>
      </w:r>
      <w:bookmarkEnd w:id="7"/>
      <w:r w:rsidR="00014025">
        <w:t>5.54 e</w:t>
      </w:r>
      <w:r w:rsidR="00014025" w:rsidRPr="00B06758">
        <w:rPr>
          <w:vertAlign w:val="superscript"/>
        </w:rPr>
        <w:t>-05</w:t>
      </w:r>
      <w:r w:rsidR="00014025">
        <w:t xml:space="preserve">). </w:t>
      </w:r>
      <w:r w:rsidR="00014025" w:rsidRPr="00B06758">
        <w:t>Moreover, animals spent significant</w:t>
      </w:r>
      <w:r w:rsidR="00D10F4D">
        <w:t>ly</w:t>
      </w:r>
      <w:r w:rsidR="00014025" w:rsidRPr="00B06758">
        <w:t xml:space="preserve"> more time in the portion of the reward area preceding the reward location (800-875 cm) than after (875-950 cm) = mean ± SEM</w:t>
      </w:r>
      <w:r w:rsidR="00014025">
        <w:t>:</w:t>
      </w:r>
      <w:r w:rsidR="00014025" w:rsidRPr="00B06758">
        <w:t xml:space="preserve"> reward area prior to reward = 1.17 ± 0.04 %, two-tailed t-test: </w:t>
      </w:r>
      <w:r w:rsidR="00014025" w:rsidRPr="00B06758">
        <w:rPr>
          <w:i/>
        </w:rPr>
        <w:t>t</w:t>
      </w:r>
      <w:r w:rsidR="00014025" w:rsidRPr="00B06758">
        <w:rPr>
          <w:i/>
          <w:vertAlign w:val="subscript"/>
        </w:rPr>
        <w:t>7</w:t>
      </w:r>
      <w:r w:rsidR="00014025" w:rsidRPr="00B06758">
        <w:t xml:space="preserve"> = -9.68, </w:t>
      </w:r>
      <w:r w:rsidR="00014025" w:rsidRPr="00B06758">
        <w:rPr>
          <w:i/>
        </w:rPr>
        <w:t>P</w:t>
      </w:r>
      <w:r w:rsidR="00014025" w:rsidRPr="00B06758">
        <w:t xml:space="preserve"> = 2.66 e</w:t>
      </w:r>
      <w:r w:rsidR="00014025" w:rsidRPr="00B06758">
        <w:rPr>
          <w:vertAlign w:val="superscript"/>
        </w:rPr>
        <w:t>-05</w:t>
      </w:r>
      <w:r w:rsidR="00014025">
        <w:t>.</w:t>
      </w:r>
    </w:p>
    <w:p w14:paraId="13986A7D" w14:textId="0FB87A5E" w:rsidR="00014025" w:rsidRDefault="003D05CB" w:rsidP="006F5E82">
      <w:pPr>
        <w:spacing w:after="200" w:line="240" w:lineRule="auto"/>
        <w:ind w:firstLine="0"/>
        <w:rPr>
          <w:iCs/>
        </w:rPr>
      </w:pPr>
      <w:r w:rsidRPr="0014784B">
        <w:rPr>
          <w:b/>
          <w:iCs/>
        </w:rPr>
        <w:t>B</w:t>
      </w:r>
      <w:r w:rsidR="00D46E3D">
        <w:rPr>
          <w:b/>
          <w:iCs/>
        </w:rPr>
        <w:t xml:space="preserve"> </w:t>
      </w:r>
      <w:r w:rsidR="001C7EB5">
        <w:rPr>
          <w:iCs/>
        </w:rPr>
        <w:t>Individual e</w:t>
      </w:r>
      <w:r w:rsidR="00D46E3D">
        <w:rPr>
          <w:iCs/>
        </w:rPr>
        <w:t xml:space="preserve">xamples of </w:t>
      </w:r>
      <w:r>
        <w:rPr>
          <w:iCs/>
        </w:rPr>
        <w:t>behavioural performances exhibited</w:t>
      </w:r>
      <w:r w:rsidR="00D46E3D">
        <w:rPr>
          <w:iCs/>
        </w:rPr>
        <w:t xml:space="preserve"> from </w:t>
      </w:r>
      <w:r>
        <w:rPr>
          <w:iCs/>
        </w:rPr>
        <w:t>different</w:t>
      </w:r>
      <w:r w:rsidR="00D46E3D">
        <w:rPr>
          <w:iCs/>
        </w:rPr>
        <w:t xml:space="preserve"> animals</w:t>
      </w:r>
      <w:r w:rsidR="001C7EB5">
        <w:rPr>
          <w:iCs/>
        </w:rPr>
        <w:t xml:space="preserve"> m3504 (</w:t>
      </w:r>
      <w:r w:rsidR="001C7EB5" w:rsidRPr="001D04CF">
        <w:rPr>
          <w:i/>
          <w:iCs/>
        </w:rPr>
        <w:t>top</w:t>
      </w:r>
      <w:r w:rsidR="001C7EB5">
        <w:rPr>
          <w:iCs/>
        </w:rPr>
        <w:t>) and m3193 (</w:t>
      </w:r>
      <w:r w:rsidR="001C7EB5" w:rsidRPr="001D04CF">
        <w:rPr>
          <w:i/>
          <w:iCs/>
        </w:rPr>
        <w:t>bottom</w:t>
      </w:r>
      <w:r w:rsidR="001C7EB5" w:rsidRPr="0014784B">
        <w:rPr>
          <w:iCs/>
        </w:rPr>
        <w:t>)</w:t>
      </w:r>
      <w:r w:rsidR="001C7EB5">
        <w:rPr>
          <w:iCs/>
        </w:rPr>
        <w:t xml:space="preserve"> </w:t>
      </w:r>
      <w:r w:rsidR="00417D88">
        <w:rPr>
          <w:iCs/>
        </w:rPr>
        <w:t xml:space="preserve">in VR </w:t>
      </w:r>
      <w:r w:rsidR="001C7EB5">
        <w:rPr>
          <w:iCs/>
        </w:rPr>
        <w:t>environment</w:t>
      </w:r>
      <w:r w:rsidR="00417D88">
        <w:rPr>
          <w:iCs/>
        </w:rPr>
        <w:t xml:space="preserve"> C</w:t>
      </w:r>
      <w:r w:rsidR="001C7EB5">
        <w:rPr>
          <w:iCs/>
        </w:rPr>
        <w:t xml:space="preserve"> with</w:t>
      </w:r>
      <w:r w:rsidR="00D46E3D">
        <w:rPr>
          <w:iCs/>
        </w:rPr>
        <w:t xml:space="preserve"> co-recorded cue-locking cells</w:t>
      </w:r>
      <w:r w:rsidR="001C7EB5">
        <w:rPr>
          <w:iCs/>
        </w:rPr>
        <w:t>.</w:t>
      </w:r>
      <w:r w:rsidR="00217F46">
        <w:rPr>
          <w:iCs/>
        </w:rPr>
        <w:t xml:space="preserve"> </w:t>
      </w:r>
      <w:r w:rsidR="00D46E3D">
        <w:rPr>
          <w:iCs/>
        </w:rPr>
        <w:t>(</w:t>
      </w:r>
      <w:r w:rsidR="00D46E3D" w:rsidRPr="0014784B">
        <w:rPr>
          <w:i/>
          <w:iCs/>
        </w:rPr>
        <w:t>Left</w:t>
      </w:r>
      <w:r w:rsidR="00D46E3D">
        <w:rPr>
          <w:iCs/>
        </w:rPr>
        <w:t xml:space="preserve">) </w:t>
      </w:r>
      <w:r w:rsidR="00157D9D">
        <w:rPr>
          <w:iCs/>
        </w:rPr>
        <w:t>R</w:t>
      </w:r>
      <w:r w:rsidR="001C7EB5">
        <w:rPr>
          <w:iCs/>
        </w:rPr>
        <w:t>elative dwell time (</w:t>
      </w:r>
      <w:r w:rsidR="00157D9D">
        <w:rPr>
          <w:iCs/>
        </w:rPr>
        <w:t>black line</w:t>
      </w:r>
      <w:r w:rsidR="001C7EB5">
        <w:rPr>
          <w:iCs/>
        </w:rPr>
        <w:t xml:space="preserve">) spent by the animal </w:t>
      </w:r>
      <w:r w:rsidR="00D46E3D">
        <w:rPr>
          <w:iCs/>
        </w:rPr>
        <w:t>across</w:t>
      </w:r>
      <w:r w:rsidR="000E22F2">
        <w:rPr>
          <w:iCs/>
        </w:rPr>
        <w:t xml:space="preserve"> the</w:t>
      </w:r>
      <w:r w:rsidR="00D46E3D">
        <w:rPr>
          <w:iCs/>
        </w:rPr>
        <w:t xml:space="preserve"> </w:t>
      </w:r>
      <w:r w:rsidR="001C7EB5">
        <w:rPr>
          <w:iCs/>
        </w:rPr>
        <w:t xml:space="preserve">track </w:t>
      </w:r>
      <w:r w:rsidR="00157D9D">
        <w:rPr>
          <w:iCs/>
        </w:rPr>
        <w:t>length. Despite different level</w:t>
      </w:r>
      <w:r w:rsidR="000E22F2">
        <w:rPr>
          <w:iCs/>
        </w:rPr>
        <w:t>s</w:t>
      </w:r>
      <w:r w:rsidR="00157D9D">
        <w:rPr>
          <w:iCs/>
        </w:rPr>
        <w:t xml:space="preserve"> of behavioural performance, cue-locking cells did not show qualitative changes in their firing responses.</w:t>
      </w:r>
      <w:r w:rsidR="001C7EB5">
        <w:rPr>
          <w:iCs/>
        </w:rPr>
        <w:t xml:space="preserve"> </w:t>
      </w:r>
      <w:r w:rsidR="00122DAE">
        <w:rPr>
          <w:iCs/>
        </w:rPr>
        <w:t>(</w:t>
      </w:r>
      <w:r w:rsidR="00122DAE" w:rsidRPr="0014784B">
        <w:rPr>
          <w:i/>
          <w:iCs/>
        </w:rPr>
        <w:t>Right</w:t>
      </w:r>
      <w:r w:rsidR="00122DAE">
        <w:rPr>
          <w:iCs/>
        </w:rPr>
        <w:t xml:space="preserve">) </w:t>
      </w:r>
      <w:r w:rsidR="000E22F2">
        <w:rPr>
          <w:iCs/>
        </w:rPr>
        <w:t>All co</w:t>
      </w:r>
      <w:r w:rsidR="006E48C9">
        <w:rPr>
          <w:iCs/>
        </w:rPr>
        <w:t>-recorded cue-locking cells</w:t>
      </w:r>
      <w:r w:rsidR="00AD10B4">
        <w:rPr>
          <w:iCs/>
        </w:rPr>
        <w:t xml:space="preserve"> </w:t>
      </w:r>
      <w:r w:rsidR="006E48C9">
        <w:rPr>
          <w:iCs/>
        </w:rPr>
        <w:t>from both sessions</w:t>
      </w:r>
      <w:r w:rsidR="00157D9D">
        <w:rPr>
          <w:iCs/>
        </w:rPr>
        <w:t xml:space="preserve"> (m3504: </w:t>
      </w:r>
      <w:r w:rsidR="00157D9D" w:rsidRPr="007068D3">
        <w:rPr>
          <w:i/>
          <w:iCs/>
        </w:rPr>
        <w:t>n</w:t>
      </w:r>
      <w:r w:rsidR="00157D9D">
        <w:rPr>
          <w:iCs/>
        </w:rPr>
        <w:t xml:space="preserve"> = 16, m3193: </w:t>
      </w:r>
      <w:r w:rsidR="00157D9D" w:rsidRPr="007068D3">
        <w:rPr>
          <w:i/>
          <w:iCs/>
        </w:rPr>
        <w:t>n</w:t>
      </w:r>
      <w:r w:rsidR="00157D9D">
        <w:rPr>
          <w:iCs/>
        </w:rPr>
        <w:t xml:space="preserve"> = 14) </w:t>
      </w:r>
      <w:r w:rsidR="00105193">
        <w:rPr>
          <w:iCs/>
        </w:rPr>
        <w:t>shown</w:t>
      </w:r>
      <w:r w:rsidR="006E48C9">
        <w:rPr>
          <w:iCs/>
        </w:rPr>
        <w:t xml:space="preserve"> by color-coded lines representing mean firing rate across position</w:t>
      </w:r>
      <w:r w:rsidR="000E22F2">
        <w:rPr>
          <w:iCs/>
        </w:rPr>
        <w:t>s</w:t>
      </w:r>
      <w:r w:rsidR="006E48C9">
        <w:rPr>
          <w:iCs/>
        </w:rPr>
        <w:t xml:space="preserve"> in </w:t>
      </w:r>
      <w:r w:rsidR="000E22F2">
        <w:rPr>
          <w:iCs/>
        </w:rPr>
        <w:t>the</w:t>
      </w:r>
      <w:r w:rsidR="006E48C9">
        <w:rPr>
          <w:iCs/>
        </w:rPr>
        <w:t xml:space="preserve"> VR environment with the</w:t>
      </w:r>
      <w:r w:rsidR="000E22F2">
        <w:rPr>
          <w:iCs/>
        </w:rPr>
        <w:t xml:space="preserve"> position</w:t>
      </w:r>
      <w:r w:rsidR="008D502E">
        <w:rPr>
          <w:iCs/>
        </w:rPr>
        <w:t>s</w:t>
      </w:r>
      <w:r w:rsidR="000E22F2">
        <w:rPr>
          <w:iCs/>
        </w:rPr>
        <w:t xml:space="preserve"> of the</w:t>
      </w:r>
      <w:r w:rsidR="006E48C9">
        <w:rPr>
          <w:iCs/>
        </w:rPr>
        <w:t xml:space="preserve"> regularly-repeating cues</w:t>
      </w:r>
      <w:r w:rsidR="000E22F2">
        <w:rPr>
          <w:iCs/>
        </w:rPr>
        <w:t xml:space="preserve"> shown</w:t>
      </w:r>
      <w:r w:rsidR="006E48C9">
        <w:rPr>
          <w:iCs/>
        </w:rPr>
        <w:t xml:space="preserve"> in the background.</w:t>
      </w:r>
      <w:r w:rsidR="00014025">
        <w:rPr>
          <w:iCs/>
        </w:rPr>
        <w:t xml:space="preserve"> </w:t>
      </w:r>
    </w:p>
    <w:p w14:paraId="58F6FA1F" w14:textId="003DF3AB" w:rsidR="00417D88" w:rsidRDefault="00014025" w:rsidP="006F5E82">
      <w:pPr>
        <w:spacing w:after="200" w:line="240" w:lineRule="auto"/>
        <w:ind w:firstLine="0"/>
        <w:rPr>
          <w:iCs/>
        </w:rPr>
      </w:pPr>
      <w:r>
        <w:rPr>
          <w:iCs/>
        </w:rPr>
        <w:t>Next</w:t>
      </w:r>
      <w:r w:rsidRPr="00014025">
        <w:rPr>
          <w:iCs/>
        </w:rPr>
        <w:t>, we asked if individual performance</w:t>
      </w:r>
      <w:r>
        <w:rPr>
          <w:iCs/>
        </w:rPr>
        <w:t>s</w:t>
      </w:r>
      <w:r w:rsidRPr="00014025">
        <w:rPr>
          <w:iCs/>
        </w:rPr>
        <w:t xml:space="preserve"> </w:t>
      </w:r>
      <w:r w:rsidR="0050654C">
        <w:rPr>
          <w:iCs/>
        </w:rPr>
        <w:t>modulated mEC</w:t>
      </w:r>
      <w:r w:rsidRPr="00014025">
        <w:rPr>
          <w:iCs/>
        </w:rPr>
        <w:t xml:space="preserve"> cue</w:t>
      </w:r>
      <w:r w:rsidR="00840F9A">
        <w:rPr>
          <w:iCs/>
        </w:rPr>
        <w:t>-</w:t>
      </w:r>
      <w:r w:rsidRPr="00014025">
        <w:rPr>
          <w:iCs/>
        </w:rPr>
        <w:t xml:space="preserve">locking cells. Firstly, we quantified behavioural performances by </w:t>
      </w:r>
      <w:r w:rsidR="00417D88">
        <w:t xml:space="preserve">dividing the relative dwell time in the reward area preceding the reward location by the dwell time on the track prior to the reward area, both of which </w:t>
      </w:r>
      <w:r w:rsidR="000E22F2">
        <w:t xml:space="preserve">were </w:t>
      </w:r>
      <w:r w:rsidR="00417D88">
        <w:t xml:space="preserve">normalized by their </w:t>
      </w:r>
      <w:r w:rsidR="00430BC9">
        <w:t xml:space="preserve">length </w:t>
      </w:r>
      <w:r w:rsidR="00417D88">
        <w:t>relative to the whole track</w:t>
      </w:r>
      <w:r w:rsidRPr="00014025">
        <w:rPr>
          <w:iCs/>
        </w:rPr>
        <w:t>.</w:t>
      </w:r>
    </w:p>
    <w:p w14:paraId="2ABD5B35" w14:textId="333B231E" w:rsidR="00014025" w:rsidRDefault="00417D88" w:rsidP="006F5E82">
      <w:pPr>
        <w:spacing w:after="200" w:line="240" w:lineRule="auto"/>
        <w:ind w:firstLine="0"/>
        <w:rPr>
          <w:iCs/>
        </w:rPr>
      </w:pPr>
      <w:r>
        <w:lastRenderedPageBreak/>
        <w:t xml:space="preserve">The mean ± SEM behavioural </w:t>
      </w:r>
      <w:r w:rsidRPr="00E8132E">
        <w:t xml:space="preserve">score </w:t>
      </w:r>
      <w:r>
        <w:t>was</w:t>
      </w:r>
      <w:r w:rsidRPr="00E8132E">
        <w:t xml:space="preserve"> </w:t>
      </w:r>
      <w:r>
        <w:t>1</w:t>
      </w:r>
      <w:r w:rsidRPr="00E8132E">
        <w:t>.</w:t>
      </w:r>
      <w:r>
        <w:t>76</w:t>
      </w:r>
      <w:r w:rsidRPr="00E8132E">
        <w:t xml:space="preserve"> </w:t>
      </w:r>
      <w:r w:rsidRPr="00B84FD9">
        <w:t>± </w:t>
      </w:r>
      <w:r>
        <w:t>0</w:t>
      </w:r>
      <w:r w:rsidRPr="00E8132E">
        <w:t>.2</w:t>
      </w:r>
      <w:r>
        <w:t xml:space="preserve">0, which was significantly different from 1 as expected by chance (one-paired t-test, </w:t>
      </w:r>
      <w:r w:rsidRPr="00B84FD9">
        <w:rPr>
          <w:i/>
        </w:rPr>
        <w:t>t</w:t>
      </w:r>
      <w:r w:rsidRPr="00B84FD9">
        <w:rPr>
          <w:vertAlign w:val="subscript"/>
        </w:rPr>
        <w:t>11</w:t>
      </w:r>
      <w:r>
        <w:t xml:space="preserve"> = 3.69, </w:t>
      </w:r>
      <w:r w:rsidRPr="00B84FD9">
        <w:rPr>
          <w:i/>
        </w:rPr>
        <w:t>P</w:t>
      </w:r>
      <w:r>
        <w:t xml:space="preserve"> = 0.0036).</w:t>
      </w:r>
      <w:r w:rsidR="00430BC9">
        <w:rPr>
          <w:iCs/>
        </w:rPr>
        <w:t xml:space="preserve"> </w:t>
      </w:r>
      <w:r>
        <w:t xml:space="preserve">Sessions were divided into two groups - “best” and “worst” - depending on whether the behavioural score was above or below the median (1.78). Finally, we assessed the periodicity of cue-locking cells in these two groups using a prominence measure extracted from the spatial autocorrelogram (see methods) finding no </w:t>
      </w:r>
      <w:r w:rsidRPr="00E8132E">
        <w:t>difference: mean ± SEM</w:t>
      </w:r>
      <w:r>
        <w:t>,</w:t>
      </w:r>
      <w:r w:rsidRPr="00E8132E">
        <w:t xml:space="preserve"> </w:t>
      </w:r>
      <w:r>
        <w:t>periodicity</w:t>
      </w:r>
      <w:r w:rsidRPr="00E8132E">
        <w:t xml:space="preserve"> score in best sessions = 0.28 </w:t>
      </w:r>
      <w:r w:rsidRPr="00B84FD9">
        <w:t>± </w:t>
      </w:r>
      <w:r w:rsidRPr="00E8132E">
        <w:t xml:space="preserve">0.03, worst sessions = 0.20 </w:t>
      </w:r>
      <w:r w:rsidRPr="00B84FD9">
        <w:t>± </w:t>
      </w:r>
      <w:r w:rsidRPr="00E8132E">
        <w:t>0.01, un-paired t</w:t>
      </w:r>
      <w:r w:rsidR="00430BC9">
        <w:t>-</w:t>
      </w:r>
      <w:r w:rsidRPr="00E8132E">
        <w:t xml:space="preserve">test, </w:t>
      </w:r>
      <w:r w:rsidRPr="00B84FD9">
        <w:rPr>
          <w:i/>
        </w:rPr>
        <w:t>t</w:t>
      </w:r>
      <w:r w:rsidRPr="00B84FD9">
        <w:rPr>
          <w:vertAlign w:val="subscript"/>
        </w:rPr>
        <w:t>2</w:t>
      </w:r>
      <w:r w:rsidRPr="00E8132E">
        <w:rPr>
          <w:vertAlign w:val="subscript"/>
        </w:rPr>
        <w:t xml:space="preserve">7 </w:t>
      </w:r>
      <w:r w:rsidRPr="00B84FD9">
        <w:t>=</w:t>
      </w:r>
      <w:r w:rsidRPr="00E8132E">
        <w:t xml:space="preserve"> 1.44, </w:t>
      </w:r>
      <w:r w:rsidRPr="00B84FD9">
        <w:rPr>
          <w:i/>
        </w:rPr>
        <w:t>P</w:t>
      </w:r>
      <w:r w:rsidRPr="00E8132E">
        <w:t xml:space="preserve"> = 0.1</w:t>
      </w:r>
      <w:r>
        <w:t>6</w:t>
      </w:r>
    </w:p>
    <w:p w14:paraId="6A3EE453" w14:textId="6D813E90" w:rsidR="00721912" w:rsidRDefault="00721912" w:rsidP="00645D53">
      <w:pPr>
        <w:keepNext/>
        <w:spacing w:after="200" w:line="240" w:lineRule="auto"/>
        <w:ind w:firstLine="0"/>
        <w:rPr>
          <w:b/>
          <w:iCs/>
          <w:noProof/>
        </w:rPr>
      </w:pPr>
      <w:r>
        <w:rPr>
          <w:b/>
          <w:iCs/>
          <w:noProof/>
        </w:rPr>
        <w:lastRenderedPageBreak/>
        <w:drawing>
          <wp:inline distT="0" distB="0" distL="0" distR="0" wp14:anchorId="124A068D" wp14:editId="4249C313">
            <wp:extent cx="5704764" cy="78383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Figure1.png"/>
                    <pic:cNvPicPr/>
                  </pic:nvPicPr>
                  <pic:blipFill rotWithShape="1">
                    <a:blip r:embed="rId12" cstate="print">
                      <a:extLst>
                        <a:ext uri="{28A0092B-C50C-407E-A947-70E740481C1C}">
                          <a14:useLocalDpi xmlns:a14="http://schemas.microsoft.com/office/drawing/2010/main" val="0"/>
                        </a:ext>
                      </a:extLst>
                    </a:blip>
                    <a:srcRect t="1764" b="1102"/>
                    <a:stretch/>
                  </pic:blipFill>
                  <pic:spPr bwMode="auto">
                    <a:xfrm>
                      <a:off x="0" y="0"/>
                      <a:ext cx="5707817" cy="7842541"/>
                    </a:xfrm>
                    <a:prstGeom prst="rect">
                      <a:avLst/>
                    </a:prstGeom>
                    <a:ln>
                      <a:noFill/>
                    </a:ln>
                    <a:extLst>
                      <a:ext uri="{53640926-AAD7-44D8-BBD7-CCE9431645EC}">
                        <a14:shadowObscured xmlns:a14="http://schemas.microsoft.com/office/drawing/2010/main"/>
                      </a:ext>
                    </a:extLst>
                  </pic:spPr>
                </pic:pic>
              </a:graphicData>
            </a:graphic>
          </wp:inline>
        </w:drawing>
      </w:r>
    </w:p>
    <w:p w14:paraId="20C41F2B" w14:textId="148BE1BF" w:rsidR="00645D53" w:rsidRPr="00645D53" w:rsidRDefault="00645D53" w:rsidP="00645D53">
      <w:pPr>
        <w:keepNext/>
        <w:spacing w:after="200" w:line="240" w:lineRule="auto"/>
        <w:ind w:firstLine="0"/>
        <w:rPr>
          <w:iCs/>
        </w:rPr>
      </w:pPr>
      <w:r w:rsidRPr="00645D53">
        <w:rPr>
          <w:b/>
          <w:iCs/>
        </w:rPr>
        <w:t xml:space="preserve">Supp. Fig </w:t>
      </w:r>
      <w:r w:rsidRPr="00645D53">
        <w:rPr>
          <w:b/>
          <w:iCs/>
        </w:rPr>
        <w:fldChar w:fldCharType="begin"/>
      </w:r>
      <w:r w:rsidRPr="00645D53">
        <w:rPr>
          <w:b/>
          <w:iCs/>
        </w:rPr>
        <w:instrText xml:space="preserve"> SEQ Supp._Fig \* ARABIC </w:instrText>
      </w:r>
      <w:r w:rsidRPr="00645D53">
        <w:rPr>
          <w:b/>
          <w:iCs/>
        </w:rPr>
        <w:fldChar w:fldCharType="separate"/>
      </w:r>
      <w:r w:rsidR="00D81F43">
        <w:rPr>
          <w:b/>
          <w:iCs/>
          <w:noProof/>
        </w:rPr>
        <w:t>4</w:t>
      </w:r>
      <w:r w:rsidRPr="00645D53">
        <w:rPr>
          <w:b/>
          <w:iCs/>
        </w:rPr>
        <w:fldChar w:fldCharType="end"/>
      </w:r>
      <w:bookmarkEnd w:id="6"/>
    </w:p>
    <w:p w14:paraId="1EEC71FD" w14:textId="420BF708" w:rsidR="00645D53" w:rsidRPr="00645D53" w:rsidRDefault="00645D53" w:rsidP="00645D53">
      <w:pPr>
        <w:spacing w:after="200" w:line="240" w:lineRule="auto"/>
        <w:ind w:firstLine="0"/>
        <w:rPr>
          <w:iCs/>
        </w:rPr>
      </w:pPr>
      <w:r w:rsidRPr="00645D53">
        <w:rPr>
          <w:iCs/>
        </w:rPr>
        <w:t>Spatial ratemaps and polar plots of grid cells (</w:t>
      </w:r>
      <w:r w:rsidRPr="00645D53">
        <w:rPr>
          <w:i/>
        </w:rPr>
        <w:t>top</w:t>
      </w:r>
      <w:r w:rsidRPr="00645D53">
        <w:rPr>
          <w:iCs/>
        </w:rPr>
        <w:t>) and cue-locking cells (</w:t>
      </w:r>
      <w:r w:rsidRPr="00645D53">
        <w:rPr>
          <w:i/>
        </w:rPr>
        <w:t>bottom</w:t>
      </w:r>
      <w:r w:rsidRPr="00645D53">
        <w:rPr>
          <w:iCs/>
        </w:rPr>
        <w:t xml:space="preserve">) recorded in the open field with peak firing rate of both rate maps and polar plots represented in the top left corner in red. Grid scores </w:t>
      </w:r>
      <w:r w:rsidRPr="00645D53">
        <w:rPr>
          <w:iCs/>
        </w:rPr>
        <w:lastRenderedPageBreak/>
        <w:t xml:space="preserve">and Rayleigh vector length obtained from the corresponding ratemaps and polar plots are shown in the top </w:t>
      </w:r>
      <w:r w:rsidR="002313BC" w:rsidRPr="00645D53">
        <w:rPr>
          <w:iCs/>
          <w:noProof/>
        </w:rPr>
        <w:drawing>
          <wp:anchor distT="0" distB="0" distL="114300" distR="114300" simplePos="0" relativeHeight="251662336" behindDoc="0" locked="0" layoutInCell="1" allowOverlap="1" wp14:anchorId="36EEBFF9" wp14:editId="7DF705A0">
            <wp:simplePos x="0" y="0"/>
            <wp:positionH relativeFrom="margin">
              <wp:posOffset>-3810</wp:posOffset>
            </wp:positionH>
            <wp:positionV relativeFrom="margin">
              <wp:posOffset>629920</wp:posOffset>
            </wp:positionV>
            <wp:extent cx="6188075" cy="735838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Fig5_1.png"/>
                    <pic:cNvPicPr/>
                  </pic:nvPicPr>
                  <pic:blipFill rotWithShape="1">
                    <a:blip r:embed="rId13"/>
                    <a:srcRect t="8052" b="7815"/>
                    <a:stretch/>
                  </pic:blipFill>
                  <pic:spPr bwMode="auto">
                    <a:xfrm>
                      <a:off x="0" y="0"/>
                      <a:ext cx="6188075" cy="73583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45D53">
        <w:rPr>
          <w:iCs/>
        </w:rPr>
        <w:t>right co</w:t>
      </w:r>
      <w:r w:rsidRPr="00645D53">
        <w:t>rner of each cell.</w:t>
      </w:r>
      <w:r w:rsidRPr="00645D53" w:rsidDel="004F4B69">
        <w:t xml:space="preserve"> </w:t>
      </w:r>
    </w:p>
    <w:p w14:paraId="6FDDC7AE" w14:textId="68272D91" w:rsidR="00645D53" w:rsidRPr="00645D53" w:rsidRDefault="00645D53" w:rsidP="00645D53">
      <w:pPr>
        <w:spacing w:after="200" w:line="240" w:lineRule="auto"/>
        <w:ind w:firstLine="0"/>
        <w:rPr>
          <w:b/>
          <w:iCs/>
        </w:rPr>
      </w:pPr>
      <w:bookmarkStart w:id="8" w:name="_Ref529813959"/>
      <w:r w:rsidRPr="00645D53">
        <w:rPr>
          <w:b/>
          <w:iCs/>
        </w:rPr>
        <w:t xml:space="preserve">Supp. Fig </w:t>
      </w:r>
      <w:r w:rsidRPr="00645D53">
        <w:rPr>
          <w:b/>
          <w:iCs/>
        </w:rPr>
        <w:fldChar w:fldCharType="begin"/>
      </w:r>
      <w:r w:rsidRPr="00645D53">
        <w:rPr>
          <w:b/>
          <w:iCs/>
        </w:rPr>
        <w:instrText xml:space="preserve"> SEQ Supp._Fig \* ARABIC </w:instrText>
      </w:r>
      <w:r w:rsidRPr="00645D53">
        <w:rPr>
          <w:b/>
          <w:iCs/>
        </w:rPr>
        <w:fldChar w:fldCharType="separate"/>
      </w:r>
      <w:r w:rsidR="00D81F43">
        <w:rPr>
          <w:b/>
          <w:iCs/>
          <w:noProof/>
        </w:rPr>
        <w:t>5</w:t>
      </w:r>
      <w:r w:rsidRPr="00645D53">
        <w:rPr>
          <w:b/>
          <w:iCs/>
        </w:rPr>
        <w:fldChar w:fldCharType="end"/>
      </w:r>
      <w:bookmarkEnd w:id="8"/>
    </w:p>
    <w:p w14:paraId="4E1326EE" w14:textId="7C9BD75D" w:rsidR="00645D53" w:rsidRPr="00645D53" w:rsidRDefault="00645D53" w:rsidP="00645D53">
      <w:pPr>
        <w:spacing w:after="200" w:line="240" w:lineRule="auto"/>
        <w:ind w:firstLine="0"/>
        <w:rPr>
          <w:iCs/>
        </w:rPr>
      </w:pPr>
      <w:r w:rsidRPr="00645D53">
        <w:rPr>
          <w:iCs/>
        </w:rPr>
        <w:t xml:space="preserve">Rate maps (red lines) of 16 representative examples of periodic cells recorded across VR environments A-C (this page and the one following). </w:t>
      </w:r>
    </w:p>
    <w:p w14:paraId="4FC946AF" w14:textId="77777777" w:rsidR="00645D53" w:rsidRPr="00645D53" w:rsidRDefault="00645D53" w:rsidP="00645D53">
      <w:pPr>
        <w:keepNext/>
      </w:pPr>
      <w:r w:rsidRPr="00645D53">
        <w:rPr>
          <w:noProof/>
        </w:rPr>
        <w:lastRenderedPageBreak/>
        <w:drawing>
          <wp:anchor distT="0" distB="0" distL="114300" distR="114300" simplePos="0" relativeHeight="251663360" behindDoc="0" locked="0" layoutInCell="1" allowOverlap="1" wp14:anchorId="53BC9183" wp14:editId="4CAC8783">
            <wp:simplePos x="0" y="0"/>
            <wp:positionH relativeFrom="margin">
              <wp:posOffset>0</wp:posOffset>
            </wp:positionH>
            <wp:positionV relativeFrom="margin">
              <wp:posOffset>-302895</wp:posOffset>
            </wp:positionV>
            <wp:extent cx="6188710" cy="87471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Fig5_2.png"/>
                    <pic:cNvPicPr/>
                  </pic:nvPicPr>
                  <pic:blipFill>
                    <a:blip r:embed="rId14"/>
                    <a:stretch>
                      <a:fillRect/>
                    </a:stretch>
                  </pic:blipFill>
                  <pic:spPr>
                    <a:xfrm>
                      <a:off x="0" y="0"/>
                      <a:ext cx="6188710" cy="8747125"/>
                    </a:xfrm>
                    <a:prstGeom prst="rect">
                      <a:avLst/>
                    </a:prstGeom>
                  </pic:spPr>
                </pic:pic>
              </a:graphicData>
            </a:graphic>
          </wp:anchor>
        </w:drawing>
      </w:r>
    </w:p>
    <w:p w14:paraId="77A999B0" w14:textId="489DF014" w:rsidR="00645D53" w:rsidRPr="00645D53" w:rsidRDefault="002313BC" w:rsidP="00645D53">
      <w:pPr>
        <w:spacing w:after="200" w:line="240" w:lineRule="auto"/>
        <w:ind w:firstLine="0"/>
        <w:rPr>
          <w:b/>
          <w:iCs/>
        </w:rPr>
      </w:pPr>
      <w:bookmarkStart w:id="9" w:name="_Ref529814850"/>
      <w:bookmarkStart w:id="10" w:name="_Ref521598607"/>
      <w:r w:rsidRPr="00645D53">
        <w:rPr>
          <w:b/>
          <w:iCs/>
          <w:noProof/>
        </w:rPr>
        <w:lastRenderedPageBreak/>
        <w:drawing>
          <wp:anchor distT="0" distB="0" distL="114300" distR="114300" simplePos="0" relativeHeight="251660288" behindDoc="0" locked="0" layoutInCell="1" allowOverlap="1" wp14:anchorId="71269766" wp14:editId="6B19AD11">
            <wp:simplePos x="0" y="0"/>
            <wp:positionH relativeFrom="margin">
              <wp:posOffset>-3810</wp:posOffset>
            </wp:positionH>
            <wp:positionV relativeFrom="margin">
              <wp:posOffset>61595</wp:posOffset>
            </wp:positionV>
            <wp:extent cx="6188075" cy="756158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Fig6_1.png"/>
                    <pic:cNvPicPr/>
                  </pic:nvPicPr>
                  <pic:blipFill rotWithShape="1">
                    <a:blip r:embed="rId15"/>
                    <a:srcRect t="8808" b="4729"/>
                    <a:stretch/>
                  </pic:blipFill>
                  <pic:spPr bwMode="auto">
                    <a:xfrm>
                      <a:off x="0" y="0"/>
                      <a:ext cx="6188075" cy="75615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45D53" w:rsidRPr="00645D53">
        <w:rPr>
          <w:b/>
          <w:iCs/>
        </w:rPr>
        <w:t xml:space="preserve">Supp. Fig </w:t>
      </w:r>
      <w:r w:rsidR="00645D53" w:rsidRPr="00645D53">
        <w:rPr>
          <w:b/>
          <w:iCs/>
        </w:rPr>
        <w:fldChar w:fldCharType="begin"/>
      </w:r>
      <w:r w:rsidR="00645D53" w:rsidRPr="00645D53">
        <w:rPr>
          <w:b/>
          <w:iCs/>
        </w:rPr>
        <w:instrText xml:space="preserve"> SEQ Supp._Fig \* ARABIC </w:instrText>
      </w:r>
      <w:r w:rsidR="00645D53" w:rsidRPr="00645D53">
        <w:rPr>
          <w:b/>
          <w:iCs/>
        </w:rPr>
        <w:fldChar w:fldCharType="separate"/>
      </w:r>
      <w:r w:rsidR="00D81F43">
        <w:rPr>
          <w:b/>
          <w:iCs/>
          <w:noProof/>
        </w:rPr>
        <w:t>6</w:t>
      </w:r>
      <w:r w:rsidR="00645D53" w:rsidRPr="00645D53">
        <w:rPr>
          <w:b/>
          <w:iCs/>
        </w:rPr>
        <w:fldChar w:fldCharType="end"/>
      </w:r>
      <w:bookmarkEnd w:id="9"/>
    </w:p>
    <w:p w14:paraId="4079E747" w14:textId="154DC949" w:rsidR="00645D53" w:rsidRPr="00645D53" w:rsidRDefault="00645D53" w:rsidP="00645D53">
      <w:pPr>
        <w:spacing w:after="200" w:line="240" w:lineRule="auto"/>
        <w:ind w:firstLine="0"/>
        <w:rPr>
          <w:iCs/>
        </w:rPr>
      </w:pPr>
      <w:r w:rsidRPr="00645D53">
        <w:rPr>
          <w:iCs/>
        </w:rPr>
        <w:t xml:space="preserve">Spatial tuning curves (blue lines) of the same 16 representative examples of periodic cells shown in </w:t>
      </w:r>
      <w:r w:rsidRPr="00645D53">
        <w:rPr>
          <w:iCs/>
        </w:rPr>
        <w:fldChar w:fldCharType="begin"/>
      </w:r>
      <w:r w:rsidRPr="00645D53">
        <w:rPr>
          <w:iCs/>
        </w:rPr>
        <w:instrText xml:space="preserve"> REF _Ref529813959 \h </w:instrText>
      </w:r>
      <w:r w:rsidRPr="00645D53">
        <w:rPr>
          <w:iCs/>
        </w:rPr>
      </w:r>
      <w:r w:rsidRPr="00645D53">
        <w:rPr>
          <w:iCs/>
        </w:rPr>
        <w:fldChar w:fldCharType="separate"/>
      </w:r>
      <w:r w:rsidR="00D81F43" w:rsidRPr="00645D53">
        <w:rPr>
          <w:b/>
          <w:iCs/>
        </w:rPr>
        <w:t xml:space="preserve">Supp. Fig </w:t>
      </w:r>
      <w:r w:rsidR="00D81F43">
        <w:rPr>
          <w:b/>
          <w:iCs/>
          <w:noProof/>
        </w:rPr>
        <w:t>5</w:t>
      </w:r>
      <w:r w:rsidRPr="00645D53">
        <w:rPr>
          <w:iCs/>
        </w:rPr>
        <w:fldChar w:fldCharType="end"/>
      </w:r>
      <w:r w:rsidRPr="00645D53">
        <w:rPr>
          <w:iCs/>
        </w:rPr>
        <w:t xml:space="preserve">  calculated as the mean firing rate map over the repeating units for each individual VR environment A-C (this page and the one following). </w:t>
      </w:r>
    </w:p>
    <w:p w14:paraId="1FAA6FD4" w14:textId="3A5FACB2" w:rsidR="00645D53" w:rsidRDefault="00645D53" w:rsidP="0014784B">
      <w:pPr>
        <w:pStyle w:val="Caption"/>
      </w:pPr>
      <w:r w:rsidRPr="00645D53">
        <w:rPr>
          <w:noProof/>
        </w:rPr>
        <w:lastRenderedPageBreak/>
        <w:drawing>
          <wp:anchor distT="0" distB="0" distL="114300" distR="114300" simplePos="0" relativeHeight="251661312" behindDoc="0" locked="0" layoutInCell="1" allowOverlap="1" wp14:anchorId="23D876DD" wp14:editId="3516CC8C">
            <wp:simplePos x="0" y="0"/>
            <wp:positionH relativeFrom="margin">
              <wp:posOffset>0</wp:posOffset>
            </wp:positionH>
            <wp:positionV relativeFrom="margin">
              <wp:posOffset>-577215</wp:posOffset>
            </wp:positionV>
            <wp:extent cx="6188710" cy="874712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pFig6_2.png"/>
                    <pic:cNvPicPr/>
                  </pic:nvPicPr>
                  <pic:blipFill>
                    <a:blip r:embed="rId16"/>
                    <a:stretch>
                      <a:fillRect/>
                    </a:stretch>
                  </pic:blipFill>
                  <pic:spPr>
                    <a:xfrm>
                      <a:off x="0" y="0"/>
                      <a:ext cx="6188710" cy="8747125"/>
                    </a:xfrm>
                    <a:prstGeom prst="rect">
                      <a:avLst/>
                    </a:prstGeom>
                  </pic:spPr>
                </pic:pic>
              </a:graphicData>
            </a:graphic>
          </wp:anchor>
        </w:drawing>
      </w:r>
      <w:bookmarkEnd w:id="10"/>
    </w:p>
    <w:p w14:paraId="6988C438" w14:textId="0DBD6D17" w:rsidR="0090089B" w:rsidRPr="0014784B" w:rsidRDefault="0090089B" w:rsidP="003E06AE">
      <w:pPr>
        <w:pStyle w:val="Heading2"/>
      </w:pPr>
      <w:r w:rsidRPr="00966EE2">
        <w:lastRenderedPageBreak/>
        <w:t>Methods</w:t>
      </w:r>
    </w:p>
    <w:p w14:paraId="6890D41B" w14:textId="77777777" w:rsidR="00645D53" w:rsidRPr="00D608D4" w:rsidRDefault="00645D53" w:rsidP="003E06AE">
      <w:pPr>
        <w:pStyle w:val="Heading3"/>
      </w:pPr>
      <w:r w:rsidRPr="00D608D4">
        <w:t xml:space="preserve">Subjects  </w:t>
      </w:r>
    </w:p>
    <w:p w14:paraId="17260393" w14:textId="6AB3948A" w:rsidR="00645D53" w:rsidRPr="00645D53" w:rsidRDefault="00645D53" w:rsidP="00645D53">
      <w:pPr>
        <w:rPr>
          <w:b/>
          <w:szCs w:val="24"/>
        </w:rPr>
      </w:pPr>
      <w:r w:rsidRPr="00645D53">
        <w:t xml:space="preserve">Four male C57BL/6J mice aged 7-10 weeks and weighing 25-30 grams at time of surgery were used in this study. Surgeries took place after at least 1 week of habituation in the holding room. All mice were implanted with </w:t>
      </w:r>
      <w:proofErr w:type="spellStart"/>
      <w:r w:rsidRPr="00645D53">
        <w:t>microdrives</w:t>
      </w:r>
      <w:proofErr w:type="spellEnd"/>
      <w:r w:rsidRPr="00645D53">
        <w:t xml:space="preserve"> housing 8 tetrodes in left MEC (M.L. = 3.2 mm from Lambda, A.P. = 0.4 mm anterior the edge of the sinus). One mouse had </w:t>
      </w:r>
      <w:r w:rsidR="00AB5E55">
        <w:t xml:space="preserve">an </w:t>
      </w:r>
      <w:r w:rsidRPr="00645D53">
        <w:t xml:space="preserve">additional </w:t>
      </w:r>
      <w:proofErr w:type="spellStart"/>
      <w:r w:rsidRPr="00645D53">
        <w:t>microdrive</w:t>
      </w:r>
      <w:proofErr w:type="spellEnd"/>
      <w:r w:rsidRPr="00645D53">
        <w:t xml:space="preserve"> implanted in the right HPC (M.L. = 1.8 mm from Bregma, A.P. = 2.0 mm posterior of Bregma). During recovery (1 week from surgery) animals had </w:t>
      </w:r>
      <w:r w:rsidRPr="00AB5E55">
        <w:rPr>
          <w:i/>
        </w:rPr>
        <w:t xml:space="preserve">ad libitum </w:t>
      </w:r>
      <w:r w:rsidRPr="00645D53">
        <w:t xml:space="preserve">access to food and water and meloxicam (Metacam </w:t>
      </w:r>
      <w:proofErr w:type="gramStart"/>
      <w:r w:rsidRPr="00645D53">
        <w:t>dogs</w:t>
      </w:r>
      <w:proofErr w:type="gramEnd"/>
      <w:r w:rsidRPr="00645D53">
        <w:t xml:space="preserve"> dosage, 0.1 ml) dissolved in soya milk. Experimentation commenced 7-10 days since surgical operation and coincided with </w:t>
      </w:r>
      <w:r w:rsidR="00AB5E55">
        <w:t xml:space="preserve">the </w:t>
      </w:r>
      <w:r w:rsidRPr="00645D53">
        <w:t xml:space="preserve">food deprivation regime during which body weight was daily monitored. A minimum weight was set as 90% of the original weight and increased by 0.5 grams per week since start of food deprivation. During food deprivation, </w:t>
      </w:r>
      <w:r w:rsidRPr="00645D53">
        <w:rPr>
          <w:i/>
        </w:rPr>
        <w:t>ad libitum</w:t>
      </w:r>
      <w:r w:rsidRPr="00645D53">
        <w:t xml:space="preserve"> access to water was maintained.</w:t>
      </w:r>
      <w:r w:rsidRPr="00645D53">
        <w:rPr>
          <w:b/>
          <w:szCs w:val="24"/>
        </w:rPr>
        <w:t xml:space="preserve"> </w:t>
      </w:r>
      <w:r w:rsidRPr="00645D53">
        <w:t>All procedures were licensed by the UK Home Office following the revised ASPA regulations (2013) modified by the European Directive 2010/63/EU.</w:t>
      </w:r>
    </w:p>
    <w:p w14:paraId="2863EA3B" w14:textId="77777777" w:rsidR="00645D53" w:rsidRPr="00645D53" w:rsidRDefault="00645D53" w:rsidP="003E06AE">
      <w:pPr>
        <w:pStyle w:val="Heading3"/>
      </w:pPr>
      <w:proofErr w:type="spellStart"/>
      <w:r w:rsidRPr="00645D53">
        <w:t>Microdrives</w:t>
      </w:r>
      <w:proofErr w:type="spellEnd"/>
      <w:r w:rsidRPr="00645D53">
        <w:t xml:space="preserve"> and single-unit recording</w:t>
      </w:r>
    </w:p>
    <w:p w14:paraId="1C1DAC62" w14:textId="5DBEF704" w:rsidR="00645D53" w:rsidRPr="00645D53" w:rsidRDefault="00645D53" w:rsidP="00645D53">
      <w:r w:rsidRPr="00645D53">
        <w:t xml:space="preserve">Extracellular recordings were conducted using </w:t>
      </w:r>
      <w:proofErr w:type="spellStart"/>
      <w:r w:rsidRPr="00645D53">
        <w:t>Axona</w:t>
      </w:r>
      <w:proofErr w:type="spellEnd"/>
      <w:r w:rsidRPr="00645D53">
        <w:t xml:space="preserve"> (Ltd, UK) </w:t>
      </w:r>
      <w:proofErr w:type="spellStart"/>
      <w:r w:rsidRPr="00645D53">
        <w:t>microdrives</w:t>
      </w:r>
      <w:proofErr w:type="spellEnd"/>
      <w:r w:rsidRPr="00645D53">
        <w:t xml:space="preserve"> </w:t>
      </w:r>
      <w:r w:rsidR="00AB5E55">
        <w:t>housing</w:t>
      </w:r>
      <w:r w:rsidRPr="00645D53">
        <w:t xml:space="preserve"> bundles of 8 tetrodes, each composed of four twisted 17μm polyimide-coated platinum-iridium (90%/10%) wires (California Fine Wire, CA) and attached to two 16-channel </w:t>
      </w:r>
      <w:proofErr w:type="spellStart"/>
      <w:r w:rsidRPr="00645D53">
        <w:t>omnetics</w:t>
      </w:r>
      <w:proofErr w:type="spellEnd"/>
      <w:r w:rsidRPr="00645D53">
        <w:t xml:space="preserve"> connectors compatible with 32-channel </w:t>
      </w:r>
      <w:proofErr w:type="spellStart"/>
      <w:r w:rsidRPr="00645D53">
        <w:t>Axona</w:t>
      </w:r>
      <w:proofErr w:type="spellEnd"/>
      <w:r w:rsidRPr="00645D53">
        <w:t xml:space="preserve"> </w:t>
      </w:r>
      <w:proofErr w:type="spellStart"/>
      <w:r w:rsidRPr="00645D53">
        <w:t>headstages</w:t>
      </w:r>
      <w:proofErr w:type="spellEnd"/>
      <w:r w:rsidRPr="00645D53">
        <w:t xml:space="preserve"> (</w:t>
      </w:r>
      <w:proofErr w:type="spellStart"/>
      <w:r w:rsidRPr="00645D53">
        <w:t>Axona</w:t>
      </w:r>
      <w:proofErr w:type="spellEnd"/>
      <w:r w:rsidRPr="00645D53">
        <w:t xml:space="preserve">, </w:t>
      </w:r>
      <w:proofErr w:type="spellStart"/>
      <w:r w:rsidRPr="00645D53">
        <w:t>Ltd,UK</w:t>
      </w:r>
      <w:proofErr w:type="spellEnd"/>
      <w:r w:rsidRPr="00645D53">
        <w:t xml:space="preserve">). </w:t>
      </w:r>
    </w:p>
    <w:p w14:paraId="396AE200" w14:textId="456BCA74" w:rsidR="00645D53" w:rsidRPr="00645D53" w:rsidRDefault="00645D53" w:rsidP="00645D53">
      <w:r w:rsidRPr="00645D53">
        <w:t xml:space="preserve">On recording days, each mouse was brought into the screening room and connected to the recording apparatus (Axona, Ltd, UK) via a </w:t>
      </w:r>
      <w:proofErr w:type="spellStart"/>
      <w:r w:rsidRPr="00645D53">
        <w:t>litz</w:t>
      </w:r>
      <w:proofErr w:type="spellEnd"/>
      <w:r w:rsidRPr="00645D53">
        <w:t xml:space="preserve">-wire cable connecting the </w:t>
      </w:r>
      <w:proofErr w:type="spellStart"/>
      <w:r w:rsidRPr="00645D53">
        <w:t>headstage</w:t>
      </w:r>
      <w:proofErr w:type="spellEnd"/>
      <w:r w:rsidRPr="00645D53">
        <w:t xml:space="preserve"> to the preamplifier. Local field potential (LFP) activity was recorded from 1-8 electrodes, sampled at 250 Hz and bandpass filtered between 0</w:t>
      </w:r>
      <w:r w:rsidR="00AB5E55">
        <w:t>.33</w:t>
      </w:r>
      <w:r w:rsidRPr="00645D53">
        <w:t xml:space="preserve"> and 475 Hz. To detect single-unit activity, </w:t>
      </w:r>
      <w:proofErr w:type="spellStart"/>
      <w:r w:rsidRPr="00645D53">
        <w:t>DacqUSB</w:t>
      </w:r>
      <w:proofErr w:type="spellEnd"/>
      <w:r w:rsidRPr="00645D53">
        <w:t xml:space="preserve"> software (</w:t>
      </w:r>
      <w:proofErr w:type="spellStart"/>
      <w:r w:rsidRPr="00645D53">
        <w:t>Axona</w:t>
      </w:r>
      <w:proofErr w:type="spellEnd"/>
      <w:r w:rsidRPr="00645D53">
        <w:t xml:space="preserve">, Ltd, UK) was used in the spike-filtered mode. The signal recorded from each electrode was amplified 8000-38000 times, bandpass filtered between 500 Hz and 7 kHz and sampled at </w:t>
      </w:r>
      <w:r w:rsidR="00AB5E55">
        <w:t>50</w:t>
      </w:r>
      <w:r w:rsidRPr="00645D53">
        <w:t> kHz. Spikes were recorded if the voltage signal passed an arbitrary threshold set individually for each individual electrode by the experimenter and it was fixed across RW and VR sessions. During RW navigation, the animal</w:t>
      </w:r>
      <w:r w:rsidR="00AB5E55">
        <w:t>’s</w:t>
      </w:r>
      <w:r w:rsidRPr="00645D53">
        <w:t xml:space="preserve"> instantaneous position was detected using an infra-red camera (sampling rate = 50 Hz) tracking an array of small LEDs placed on the head-stage and synchronized with the neural signal. </w:t>
      </w:r>
    </w:p>
    <w:p w14:paraId="546CEEE5" w14:textId="77777777" w:rsidR="00645D53" w:rsidRPr="00645D53" w:rsidRDefault="00645D53" w:rsidP="003E06AE">
      <w:pPr>
        <w:pStyle w:val="Heading3"/>
      </w:pPr>
      <w:r w:rsidRPr="00645D53">
        <w:t>Experimental apparatus</w:t>
      </w:r>
    </w:p>
    <w:p w14:paraId="7215994F" w14:textId="77777777" w:rsidR="00645D53" w:rsidRPr="00D608D4" w:rsidRDefault="00645D53" w:rsidP="003E06AE">
      <w:pPr>
        <w:pStyle w:val="Heading4"/>
      </w:pPr>
      <w:r w:rsidRPr="00D608D4">
        <w:t>VR</w:t>
      </w:r>
    </w:p>
    <w:p w14:paraId="41A76EE6" w14:textId="347A292F" w:rsidR="00645D53" w:rsidRPr="00645D53" w:rsidRDefault="00645D53" w:rsidP="00645D53">
      <w:r w:rsidRPr="00645D53">
        <w:lastRenderedPageBreak/>
        <w:t xml:space="preserve">Briefly, the VR apparatus consisted of a Styrofoam wheel with head fixation post, lick detector with custom-made reward tube and 4 </w:t>
      </w:r>
      <w:proofErr w:type="spellStart"/>
      <w:r w:rsidRPr="00645D53">
        <w:t>Iiyama</w:t>
      </w:r>
      <w:proofErr w:type="spellEnd"/>
      <w:r w:rsidRPr="00645D53">
        <w:t xml:space="preserve"> </w:t>
      </w:r>
      <w:proofErr w:type="spellStart"/>
      <w:r w:rsidRPr="00645D53">
        <w:t>ProLife</w:t>
      </w:r>
      <w:proofErr w:type="spellEnd"/>
      <w:r w:rsidRPr="00645D53">
        <w:t xml:space="preserve"> E1980SD LCD monitors - one placed directly in front of the animals, one on either side and one directly above (</w:t>
      </w:r>
      <w:r w:rsidRPr="00645D53">
        <w:fldChar w:fldCharType="begin"/>
      </w:r>
      <w:r w:rsidRPr="00645D53">
        <w:instrText xml:space="preserve"> REF _Ref529814193 \h </w:instrText>
      </w:r>
      <w:r w:rsidRPr="00645D53">
        <w:fldChar w:fldCharType="separate"/>
      </w:r>
      <w:r w:rsidR="00D81F43" w:rsidRPr="00645D53">
        <w:rPr>
          <w:b/>
          <w:iCs/>
        </w:rPr>
        <w:t xml:space="preserve">Supp. Fig </w:t>
      </w:r>
      <w:r w:rsidR="00D81F43">
        <w:rPr>
          <w:b/>
          <w:iCs/>
          <w:noProof/>
        </w:rPr>
        <w:t>7</w:t>
      </w:r>
      <w:r w:rsidRPr="00645D53">
        <w:fldChar w:fldCharType="end"/>
      </w:r>
      <w:r w:rsidRPr="00645D53">
        <w:rPr>
          <w:b/>
        </w:rPr>
        <w:t>A</w:t>
      </w:r>
      <w:r w:rsidRPr="00645D53">
        <w:t>). This configuration provides a theoretical field of view spanning 270</w:t>
      </w:r>
      <m:oMath>
        <m:r>
          <w:rPr>
            <w:rFonts w:ascii="Cambria Math" w:hAnsi="Cambria Math"/>
          </w:rPr>
          <m:t>°</m:t>
        </m:r>
      </m:oMath>
      <w:r w:rsidRPr="00645D53">
        <w:t xml:space="preserve"> horizontally and 180</w:t>
      </w:r>
      <m:oMath>
        <m:r>
          <w:rPr>
            <w:rFonts w:ascii="Cambria Math" w:hAnsi="Cambria Math"/>
          </w:rPr>
          <m:t>°</m:t>
        </m:r>
      </m:oMath>
      <w:r w:rsidRPr="00645D53">
        <w:rPr>
          <w:rFonts w:eastAsia="Yu Mincho"/>
        </w:rPr>
        <w:t xml:space="preserve"> vertically, comfortably exceeding that used in a number of other studies which have investigated spatially modulated activity in the entorhinal-hippocampal system </w:t>
      </w:r>
      <w:r w:rsidRPr="00645D53">
        <w:rPr>
          <w:rFonts w:eastAsia="Yu Mincho"/>
        </w:rPr>
        <w:fldChar w:fldCharType="begin"/>
      </w:r>
      <w:r w:rsidRPr="00645D53">
        <w:rPr>
          <w:rFonts w:eastAsia="Yu Mincho"/>
        </w:rPr>
        <w:instrText xml:space="preserve"> ADDIN ZOTERO_ITEM CSL_CITATION {"citationID":"cUJNWcaI","properties":{"formattedCitation":"(Chen et al., 2013; Saleem et al., 2013)","plainCitation":"(Chen et al., 2013; Saleem et al., 2013)","noteIndex":0},"citationItems":[{"id":129,"uris":["http://zotero.org/users/1133313/items/E3SR2XPG"],"uri":["http://zotero.org/users/1133313/items/E3SR2XPG"],"itemData":{"id":129,"type":"article-journal","title":"How vision and movement combine in the hippocampal place code","container-title":"Proceedings of the National Academy of Sciences","page":"378-383","volume":"110","issue":"1","source":"www.pnas.org","abstract":"How do external environmental and internal movement-related information combine to tell us where we are? We examined the neural representation of environmental location provided by hippocampal place cells while mice navigated a virtual reality environment in which both types of information could be manipulated. Extracellular recordings were made from region CA1 of head-fixed mice navigating a virtual linear track and running in a similar real environment. Despite the absence of vestibular motion signals, normal place cell firing and theta rhythmicity were found. Visual information alone was sufficient for localized firing in 25% of place cells and to maintain a local field potential theta rhythm (but with significantly reduced power). Additional movement-related information was required for normally localized firing by the remaining 75% of place cells. Trials in which movement and visual information were put into conflict showed that they combined nonlinearly to control firing location, and that the relative influence of movement versus visual information varied widely across place cells. However, within this heterogeneity, the behavior of fully half of the place cells conformed to a model of path integration in which the presence of visual cues at the start of each run together with subsequent movement-related updating of position was sufficient to maintain normal fields.","DOI":"10.1073/pnas.1215834110","ISSN":"0027-8424, 1091-6490","note":"00095 \nPMID: 23256159","journalAbbreviation":"PNAS","language":"en","author":[{"family":"Chen","given":"Guifen"},{"family":"King","given":"John A."},{"family":"Burgess","given":"Neil"},{"family":"O'Keefe","given":"John"}],"issued":{"date-parts":[["2013",1,2]]}}},{"id":2060,"uris":["http://zotero.org/users/1133313/items/IG7VJ65A"],"uri":["http://zotero.org/users/1133313/items/IG7VJ65A"],"itemData":{"id":2060,"type":"article-journal","title":"Integration of visual motion and locomotion in mouse visual cortex","container-title":"Nature Neuroscience","page":"1864-1869","volume":"16","issue":"12","source":"www.nature.com","abstract":"Successful navigation through the world requires accurate estimation of one's own speed. To derive this estimate, animals integrate visual speed gauged from optic flow and run speed gauged from proprioceptive and locomotor systems. The primary visual cortex (V1) carries signals related to visual speed, and its responses are also affected by run speed. To study how V1 combines these signals during navigation, we recorded from mice that traversed a virtual environment. Nearly half of the V1 neurons were reliably driven by combinations of visual speed and run speed. These neurons performed a weighted sum of the two speeds. The weights were diverse across neurons, and typically positive. As a population, V1 neurons predicted a linear combination of visual and run speeds better than either visual or run speeds alone. These data indicate that V1 in the mouse participates in a multimodal processing system that integrates visual motion and locomotion during navigation.","DOI":"10.1038/nn.3567","ISSN":"1546-1726","language":"en","author":[{"family":"Saleem","given":"Aman B."},{"family":"Ayaz","given":"Aslı"},{"family":"Jeffery","given":"Kathryn J."},{"family":"Harris","given":"Kenneth D."},{"family":"Carandini","given":"Matteo"}],"issued":{"date-parts":[["2013",12]]}}}],"schema":"https://github.com/citation-style-language/schema/raw/master/csl-citation.json"} </w:instrText>
      </w:r>
      <w:r w:rsidRPr="00645D53">
        <w:rPr>
          <w:rFonts w:eastAsia="Yu Mincho"/>
        </w:rPr>
        <w:fldChar w:fldCharType="separate"/>
      </w:r>
      <w:r w:rsidRPr="00645D53">
        <w:rPr>
          <w:rFonts w:eastAsia="Yu Mincho"/>
          <w:noProof/>
        </w:rPr>
        <w:t>(Chen et al., 2013; Saleem et al., 2013)</w:t>
      </w:r>
      <w:r w:rsidRPr="00645D53">
        <w:rPr>
          <w:rFonts w:eastAsia="Yu Mincho"/>
        </w:rPr>
        <w:fldChar w:fldCharType="end"/>
      </w:r>
      <w:r w:rsidRPr="00645D53">
        <w:rPr>
          <w:rFonts w:eastAsia="Yu Mincho"/>
        </w:rPr>
        <w:t>.</w:t>
      </w:r>
      <w:r w:rsidRPr="00645D53">
        <w:t xml:space="preserve"> The rear was bounded by a curtain.</w:t>
      </w:r>
    </w:p>
    <w:p w14:paraId="4F56497E" w14:textId="77777777" w:rsidR="00645D53" w:rsidRPr="00645D53" w:rsidRDefault="00645D53" w:rsidP="00645D53">
      <w:r w:rsidRPr="00645D53">
        <w:t xml:space="preserve">VR environments were constructed and run on MATLAB 2015a using the </w:t>
      </w:r>
      <w:proofErr w:type="spellStart"/>
      <w:r w:rsidRPr="00645D53">
        <w:t>ViRMEN</w:t>
      </w:r>
      <w:proofErr w:type="spellEnd"/>
      <w:r w:rsidRPr="00645D53">
        <w:t xml:space="preserve"> (</w:t>
      </w:r>
      <w:hyperlink r:id="rId17" w:history="1">
        <w:r w:rsidRPr="00645D53">
          <w:rPr>
            <w:rFonts w:cs="Calibri"/>
            <w:color w:val="000000"/>
            <w:u w:val="single"/>
          </w:rPr>
          <w:t>https://pni.princeton.edu/pni-software-tools/virmen</w:t>
        </w:r>
      </w:hyperlink>
      <w:r w:rsidRPr="00645D53">
        <w:t xml:space="preserve">) software package. Animal position relative to VR environment was updated online via rotary encoder (Kubler Incremental Encoder 1024 </w:t>
      </w:r>
      <w:proofErr w:type="spellStart"/>
      <w:r w:rsidRPr="00645D53">
        <w:t>ppr</w:t>
      </w:r>
      <w:proofErr w:type="spellEnd"/>
      <w:r w:rsidRPr="00645D53">
        <w:t xml:space="preserve"> 12000rpm; 160 kHz switching frequency) detecting instantaneous angular velocity of the running wheel. To encourage navigation, milk (sweetened SMA soya formula milk) reward was delivered by a D220S-V micropump (</w:t>
      </w:r>
      <w:r w:rsidRPr="00645D53">
        <w:rPr>
          <w:u w:val="single"/>
        </w:rPr>
        <w:t>http://micropumps.co.uk</w:t>
      </w:r>
      <w:r w:rsidRPr="00645D53">
        <w:t>) attached to silicone tubing positioned directly in front of the mouse. Reward was delivered via a pinch valve (</w:t>
      </w:r>
      <w:proofErr w:type="spellStart"/>
      <w:r w:rsidRPr="00645D53">
        <w:t>NResearch</w:t>
      </w:r>
      <w:proofErr w:type="spellEnd"/>
      <w:r w:rsidRPr="00645D53">
        <w:t xml:space="preserve"> Inc) controlled by MATLAB. Licking was detected using an infrared LED (Digi-key, 1080-1357-1-ND) and photodetector (Digi-key, 365-1115-ND) attached on opposite sides of a 3D printed custom-made feeder. Neural activity was recorded using a separate computer running </w:t>
      </w:r>
      <w:proofErr w:type="spellStart"/>
      <w:r w:rsidRPr="00645D53">
        <w:t>Axona</w:t>
      </w:r>
      <w:proofErr w:type="spellEnd"/>
      <w:r w:rsidRPr="00645D53">
        <w:t xml:space="preserve"> </w:t>
      </w:r>
      <w:proofErr w:type="spellStart"/>
      <w:r w:rsidRPr="00645D53">
        <w:t>DACQUsb</w:t>
      </w:r>
      <w:proofErr w:type="spellEnd"/>
      <w:r w:rsidRPr="00645D53">
        <w:t xml:space="preserve"> software (</w:t>
      </w:r>
      <w:proofErr w:type="spellStart"/>
      <w:r w:rsidRPr="00645D53">
        <w:t>Axona</w:t>
      </w:r>
      <w:proofErr w:type="spellEnd"/>
      <w:r w:rsidRPr="00645D53">
        <w:t xml:space="preserve">, </w:t>
      </w:r>
      <w:proofErr w:type="spellStart"/>
      <w:proofErr w:type="gramStart"/>
      <w:r w:rsidRPr="00645D53">
        <w:t>Ltd,UK</w:t>
      </w:r>
      <w:proofErr w:type="spellEnd"/>
      <w:proofErr w:type="gramEnd"/>
      <w:r w:rsidRPr="00645D53">
        <w:t xml:space="preserve">) and synchronised </w:t>
      </w:r>
      <w:r w:rsidRPr="00645D53">
        <w:rPr>
          <w:i/>
        </w:rPr>
        <w:t xml:space="preserve">post-hoc </w:t>
      </w:r>
      <w:r w:rsidRPr="00645D53">
        <w:t xml:space="preserve">by aligning TTL pulses generated in </w:t>
      </w:r>
      <w:proofErr w:type="spellStart"/>
      <w:r w:rsidRPr="00645D53">
        <w:t>ViRMEN</w:t>
      </w:r>
      <w:proofErr w:type="spellEnd"/>
      <w:r w:rsidRPr="00645D53">
        <w:t xml:space="preserve"> every 10 seconds from the start of the trial.</w:t>
      </w:r>
    </w:p>
    <w:p w14:paraId="3C4E3BBE" w14:textId="77777777" w:rsidR="00645D53" w:rsidRPr="00645D53" w:rsidRDefault="00645D53" w:rsidP="00645D53">
      <w:pPr>
        <w:keepNext/>
      </w:pPr>
      <w:r w:rsidRPr="00645D53">
        <w:t xml:space="preserve"> </w:t>
      </w:r>
      <w:r w:rsidRPr="00645D53">
        <w:rPr>
          <w:noProof/>
        </w:rPr>
        <w:drawing>
          <wp:inline distT="0" distB="0" distL="0" distR="0" wp14:anchorId="47129010" wp14:editId="2E2D889C">
            <wp:extent cx="6188710" cy="302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Fig4.png"/>
                    <pic:cNvPicPr/>
                  </pic:nvPicPr>
                  <pic:blipFill rotWithShape="1">
                    <a:blip r:embed="rId18"/>
                    <a:srcRect b="65441"/>
                    <a:stretch/>
                  </pic:blipFill>
                  <pic:spPr bwMode="auto">
                    <a:xfrm>
                      <a:off x="0" y="0"/>
                      <a:ext cx="6188710" cy="3022600"/>
                    </a:xfrm>
                    <a:prstGeom prst="rect">
                      <a:avLst/>
                    </a:prstGeom>
                    <a:ln>
                      <a:noFill/>
                    </a:ln>
                    <a:extLst>
                      <a:ext uri="{53640926-AAD7-44D8-BBD7-CCE9431645EC}">
                        <a14:shadowObscured xmlns:a14="http://schemas.microsoft.com/office/drawing/2010/main"/>
                      </a:ext>
                    </a:extLst>
                  </pic:spPr>
                </pic:pic>
              </a:graphicData>
            </a:graphic>
          </wp:inline>
        </w:drawing>
      </w:r>
    </w:p>
    <w:p w14:paraId="2056C11E" w14:textId="43CD4696" w:rsidR="00645D53" w:rsidRPr="00645D53" w:rsidRDefault="00645D53" w:rsidP="00645D53">
      <w:pPr>
        <w:spacing w:after="200" w:line="240" w:lineRule="auto"/>
        <w:ind w:firstLine="0"/>
        <w:rPr>
          <w:b/>
          <w:iCs/>
          <w:noProof/>
        </w:rPr>
      </w:pPr>
      <w:bookmarkStart w:id="11" w:name="_Ref529814193"/>
      <w:r w:rsidRPr="00645D53">
        <w:rPr>
          <w:b/>
          <w:iCs/>
        </w:rPr>
        <w:t xml:space="preserve">Supp. Fig </w:t>
      </w:r>
      <w:r w:rsidRPr="00645D53">
        <w:rPr>
          <w:b/>
          <w:iCs/>
        </w:rPr>
        <w:fldChar w:fldCharType="begin"/>
      </w:r>
      <w:r w:rsidRPr="00645D53">
        <w:rPr>
          <w:b/>
          <w:iCs/>
        </w:rPr>
        <w:instrText xml:space="preserve"> SEQ Supp._Fig \* ARABIC </w:instrText>
      </w:r>
      <w:r w:rsidRPr="00645D53">
        <w:rPr>
          <w:b/>
          <w:iCs/>
        </w:rPr>
        <w:fldChar w:fldCharType="separate"/>
      </w:r>
      <w:r w:rsidR="00D81F43">
        <w:rPr>
          <w:b/>
          <w:iCs/>
          <w:noProof/>
        </w:rPr>
        <w:t>7</w:t>
      </w:r>
      <w:r w:rsidRPr="00645D53">
        <w:rPr>
          <w:b/>
          <w:iCs/>
        </w:rPr>
        <w:fldChar w:fldCharType="end"/>
      </w:r>
      <w:bookmarkEnd w:id="11"/>
    </w:p>
    <w:p w14:paraId="3B3B4E40" w14:textId="77777777" w:rsidR="00645D53" w:rsidRPr="00645D53" w:rsidRDefault="00645D53" w:rsidP="00645D53">
      <w:pPr>
        <w:spacing w:after="200" w:line="240" w:lineRule="auto"/>
        <w:ind w:firstLine="0"/>
        <w:rPr>
          <w:iCs/>
        </w:rPr>
      </w:pPr>
      <w:r w:rsidRPr="00645D53">
        <w:rPr>
          <w:iCs/>
        </w:rPr>
        <w:t>Four-monitor virtual reality apparatus and real world recording setup. (</w:t>
      </w:r>
      <w:r w:rsidRPr="00645D53">
        <w:rPr>
          <w:b/>
          <w:iCs/>
        </w:rPr>
        <w:t>A</w:t>
      </w:r>
      <w:r w:rsidRPr="00645D53">
        <w:rPr>
          <w:iCs/>
        </w:rPr>
        <w:t>) Schematic representation of the VR apparatus consisting of four adjacent monitors (three horizontal placed front, left and right and one above the animal). Together this configuration provides a field of view spanning 270</w:t>
      </w:r>
      <m:oMath>
        <m:r>
          <w:rPr>
            <w:rFonts w:ascii="Cambria Math" w:hAnsi="Cambria Math"/>
          </w:rPr>
          <m:t>°</m:t>
        </m:r>
      </m:oMath>
      <w:r w:rsidRPr="00645D53">
        <w:rPr>
          <w:iCs/>
        </w:rPr>
        <w:t xml:space="preserve"> horizontally and 180</w:t>
      </w:r>
      <m:oMath>
        <m:r>
          <w:rPr>
            <w:rFonts w:ascii="Cambria Math" w:hAnsi="Cambria Math"/>
          </w:rPr>
          <m:t>°</m:t>
        </m:r>
      </m:oMath>
      <w:r w:rsidRPr="00645D53">
        <w:rPr>
          <w:rFonts w:eastAsia="Yu Mincho"/>
          <w:iCs/>
        </w:rPr>
        <w:t xml:space="preserve"> vertically</w:t>
      </w:r>
      <w:r w:rsidRPr="00645D53">
        <w:rPr>
          <w:iCs/>
        </w:rPr>
        <w:t xml:space="preserve">. A custom-made optical switch placed in front of the animal’s snout was used to detect licks. Electrophysiological recordings were conducted by connecting the </w:t>
      </w:r>
      <w:proofErr w:type="spellStart"/>
      <w:r w:rsidRPr="00645D53">
        <w:rPr>
          <w:iCs/>
        </w:rPr>
        <w:t>microdrive</w:t>
      </w:r>
      <w:proofErr w:type="spellEnd"/>
      <w:r w:rsidRPr="00645D53">
        <w:rPr>
          <w:iCs/>
        </w:rPr>
        <w:t xml:space="preserve"> implanted on the animal’s head to a digital </w:t>
      </w:r>
      <w:r w:rsidRPr="00645D53">
        <w:rPr>
          <w:iCs/>
        </w:rPr>
        <w:lastRenderedPageBreak/>
        <w:t>oscilloscope (Axona, Ltd, UK) and synchronizing movements in VR post-hoc. (</w:t>
      </w:r>
      <w:r w:rsidRPr="00645D53">
        <w:rPr>
          <w:b/>
          <w:iCs/>
        </w:rPr>
        <w:t>B</w:t>
      </w:r>
      <w:r w:rsidRPr="00645D53">
        <w:rPr>
          <w:iCs/>
        </w:rPr>
        <w:t>) Standard open field recordings in RW were conducted similarly with the 2D position of the animal being recorded by an infrared camera.</w:t>
      </w:r>
    </w:p>
    <w:p w14:paraId="6D35C97C" w14:textId="77777777" w:rsidR="00645D53" w:rsidRPr="00645D53" w:rsidRDefault="00645D53" w:rsidP="00645D53"/>
    <w:p w14:paraId="437F8AE4" w14:textId="611D5FEB" w:rsidR="00645D53" w:rsidRPr="00645D53" w:rsidRDefault="00645D53" w:rsidP="00645D53">
      <w:r w:rsidRPr="00645D53">
        <w:t xml:space="preserve">Animals were recorded while running </w:t>
      </w:r>
      <w:r w:rsidR="007D4683">
        <w:t>in</w:t>
      </w:r>
      <w:r w:rsidR="007D4683" w:rsidRPr="00645D53">
        <w:t xml:space="preserve"> </w:t>
      </w:r>
      <w:r w:rsidRPr="00645D53">
        <w:t>three different VR environments (</w:t>
      </w:r>
      <w:r w:rsidR="007D4683">
        <w:t>probe environments A, B and C</w:t>
      </w:r>
      <w:r w:rsidRPr="00645D53">
        <w:t xml:space="preserve">) which </w:t>
      </w:r>
      <w:r w:rsidR="007D4683">
        <w:t>each consisted</w:t>
      </w:r>
      <w:r w:rsidR="007D4683" w:rsidRPr="00645D53">
        <w:t xml:space="preserve"> </w:t>
      </w:r>
      <w:r w:rsidRPr="00645D53">
        <w:t xml:space="preserve">of </w:t>
      </w:r>
      <w:r w:rsidR="007D4683">
        <w:t xml:space="preserve">a </w:t>
      </w:r>
      <w:r w:rsidRPr="00645D53">
        <w:t xml:space="preserve">10-meter tracks but differed </w:t>
      </w:r>
      <w:r w:rsidR="007D4683">
        <w:t>in terms of the</w:t>
      </w:r>
      <w:r w:rsidR="007D4683" w:rsidRPr="00645D53">
        <w:t xml:space="preserve"> </w:t>
      </w:r>
      <w:r w:rsidRPr="00645D53">
        <w:t>frequency, colour, width and location of the available spatial cues (</w:t>
      </w:r>
      <w:r w:rsidRPr="00645D53">
        <w:fldChar w:fldCharType="begin"/>
      </w:r>
      <w:r w:rsidRPr="00645D53">
        <w:instrText xml:space="preserve"> REF _Ref529814291 \h </w:instrText>
      </w:r>
      <w:r w:rsidRPr="00645D53">
        <w:fldChar w:fldCharType="separate"/>
      </w:r>
      <w:r w:rsidR="00D81F43" w:rsidRPr="00645D53">
        <w:rPr>
          <w:b/>
          <w:iCs/>
        </w:rPr>
        <w:t xml:space="preserve">Supp. Fig </w:t>
      </w:r>
      <w:r w:rsidR="00D81F43">
        <w:rPr>
          <w:b/>
          <w:iCs/>
          <w:noProof/>
        </w:rPr>
        <w:t>2</w:t>
      </w:r>
      <w:r w:rsidRPr="00645D53">
        <w:fldChar w:fldCharType="end"/>
      </w:r>
      <w:r w:rsidRPr="00645D53">
        <w:t>). All environments had a dark grey tunnel at the end of the corridor and a reward zone which was indicated by four cues against the walls at 800 and 950 cm along the track.</w:t>
      </w:r>
    </w:p>
    <w:p w14:paraId="0F001596" w14:textId="2FC96AFF" w:rsidR="00645D53" w:rsidRPr="00645D53" w:rsidRDefault="00645D53" w:rsidP="00645D53">
      <w:r w:rsidRPr="00645D53">
        <w:t xml:space="preserve">Alternating green and brown stripes on both of the side walls provided the only repeating visual cue in environment A. Each stripe was 50 </w:t>
      </w:r>
      <w:r w:rsidR="00AB5E55">
        <w:t>c</w:t>
      </w:r>
      <w:r w:rsidRPr="00645D53">
        <w:t xml:space="preserve">m wide therefore the pattern repeated every 100 </w:t>
      </w:r>
      <w:r w:rsidR="00AB5E55">
        <w:t>c</w:t>
      </w:r>
      <w:r w:rsidRPr="00645D53">
        <w:t xml:space="preserve">m. The floor of this environment was a plain dark grey and the ceiling was grey with white spots with no clear repeating pattern. The reward zone at the end of the track was indicated by four spheres in yellow and blue. </w:t>
      </w:r>
    </w:p>
    <w:p w14:paraId="1148DD48" w14:textId="7B3DFE92" w:rsidR="00645D53" w:rsidRPr="00645D53" w:rsidRDefault="00645D53" w:rsidP="00645D53">
      <w:r w:rsidRPr="00645D53">
        <w:t xml:space="preserve">Environment B had two repeating patterns, both of which repeated every 66.6 </w:t>
      </w:r>
      <w:r w:rsidR="00AB5E55">
        <w:t>c</w:t>
      </w:r>
      <w:r w:rsidRPr="00645D53">
        <w:t xml:space="preserve">m. Alternating yellow and grey stripes of equal width formed the floor pattern and the ceiling was purple with a thin blue stripe at 40-53 </w:t>
      </w:r>
      <w:r w:rsidR="00AB5E55">
        <w:t>cm</w:t>
      </w:r>
      <w:r w:rsidRPr="00645D53">
        <w:t xml:space="preserve"> (60-80%). At the corners of the reward zone were black columns with white spots. </w:t>
      </w:r>
    </w:p>
    <w:p w14:paraId="335DD911" w14:textId="77777777" w:rsidR="00645D53" w:rsidRPr="00645D53" w:rsidRDefault="00645D53" w:rsidP="00645D53">
      <w:r w:rsidRPr="00645D53">
        <w:t>Environment C also had two repeating patterns however these repeated at different frequencies. The side walls had alternating light and dark brown stripes of equal width which repeated every 67 cm. The ceiling had a pattern which repeated every 133 cm which consisted of a green background with a white stripe of width 33.3 cm (10-25%). The reward zone was cornered by blue and white striped corners.</w:t>
      </w:r>
    </w:p>
    <w:p w14:paraId="325D26B6" w14:textId="77777777" w:rsidR="00645D53" w:rsidRPr="00645D53" w:rsidRDefault="00645D53" w:rsidP="003E06AE">
      <w:pPr>
        <w:pStyle w:val="Heading4"/>
      </w:pPr>
      <w:r w:rsidRPr="00645D53">
        <w:t xml:space="preserve">Open Field </w:t>
      </w:r>
    </w:p>
    <w:p w14:paraId="3AA2DD2C" w14:textId="7162C955" w:rsidR="00645D53" w:rsidRPr="00645D53" w:rsidRDefault="00645D53" w:rsidP="00645D53">
      <w:r w:rsidRPr="00645D53">
        <w:t>Mice foraged for milk (sweetened SMA soya formula milk) droplets in different circular environments (100 cm diameter circular arena) or squared 75 cm environments with walls 50 cm high (</w:t>
      </w:r>
      <w:r w:rsidRPr="00645D53">
        <w:fldChar w:fldCharType="begin"/>
      </w:r>
      <w:r w:rsidRPr="00645D53">
        <w:instrText xml:space="preserve"> REF _Ref529814193 \h </w:instrText>
      </w:r>
      <w:r w:rsidRPr="00645D53">
        <w:fldChar w:fldCharType="separate"/>
      </w:r>
      <w:r w:rsidR="00D81F43" w:rsidRPr="00645D53">
        <w:rPr>
          <w:b/>
          <w:iCs/>
        </w:rPr>
        <w:t xml:space="preserve">Supp. Fig </w:t>
      </w:r>
      <w:r w:rsidR="00D81F43">
        <w:rPr>
          <w:b/>
          <w:iCs/>
          <w:noProof/>
        </w:rPr>
        <w:t>7</w:t>
      </w:r>
      <w:r w:rsidRPr="00645D53">
        <w:fldChar w:fldCharType="end"/>
      </w:r>
      <w:r w:rsidRPr="00645D53">
        <w:rPr>
          <w:b/>
        </w:rPr>
        <w:t>B</w:t>
      </w:r>
      <w:r w:rsidRPr="00645D53">
        <w:t xml:space="preserve">). The arena was surrounded by black curtains and had a polarizing 5 cm black stripe cue on the east side of the circular environments while a 23 x 55 cm white cue card hung portrait 160 cm above the West wall. During foraging single unit recordings were obtained using a </w:t>
      </w:r>
      <w:proofErr w:type="spellStart"/>
      <w:r w:rsidRPr="00645D53">
        <w:t>DacqUSB</w:t>
      </w:r>
      <w:proofErr w:type="spellEnd"/>
      <w:r w:rsidRPr="00645D53">
        <w:t xml:space="preserve"> software (</w:t>
      </w:r>
      <w:proofErr w:type="spellStart"/>
      <w:r w:rsidRPr="00645D53">
        <w:t>Axona</w:t>
      </w:r>
      <w:proofErr w:type="spellEnd"/>
      <w:r w:rsidRPr="00645D53">
        <w:t xml:space="preserve">, </w:t>
      </w:r>
      <w:proofErr w:type="spellStart"/>
      <w:proofErr w:type="gramStart"/>
      <w:r w:rsidRPr="00645D53">
        <w:t>Ltd,UK</w:t>
      </w:r>
      <w:proofErr w:type="spellEnd"/>
      <w:proofErr w:type="gramEnd"/>
      <w:r w:rsidRPr="00645D53">
        <w:t xml:space="preserve">). Position was recorded by tracking a head-mounted infrared LED using a camera above the centre of the arena.  </w:t>
      </w:r>
    </w:p>
    <w:p w14:paraId="150BBEA6" w14:textId="77777777" w:rsidR="00645D53" w:rsidRPr="00645D53" w:rsidRDefault="00645D53" w:rsidP="003E06AE">
      <w:pPr>
        <w:pStyle w:val="Heading3"/>
      </w:pPr>
      <w:r w:rsidRPr="00645D53">
        <w:t>Behavioural procedure</w:t>
      </w:r>
    </w:p>
    <w:p w14:paraId="7E9D9BBA" w14:textId="2EC2976C" w:rsidR="00645D53" w:rsidRPr="00645D53" w:rsidRDefault="00645D53" w:rsidP="00645D53">
      <w:r w:rsidRPr="00645D53">
        <w:t xml:space="preserve">Mice were screened daily for spatially selective cells in the open field foraging task above. Tetrodes were advanced 65-175 </w:t>
      </w:r>
      <w:r w:rsidRPr="00645D53">
        <w:sym w:font="Symbol" w:char="F06D"/>
      </w:r>
      <w:r w:rsidRPr="00645D53">
        <w:t xml:space="preserve">m if no cells of interest were recorded. </w:t>
      </w:r>
      <w:r w:rsidR="007D4683">
        <w:t>After</w:t>
      </w:r>
      <w:r w:rsidRPr="00645D53">
        <w:t xml:space="preserve"> screening, animals were head-fixed in the VR setup</w:t>
      </w:r>
      <w:r w:rsidR="007D4683">
        <w:t xml:space="preserve"> and </w:t>
      </w:r>
      <w:r w:rsidRPr="00645D53">
        <w:t xml:space="preserve">left </w:t>
      </w:r>
      <w:r w:rsidR="007D4683">
        <w:t>in</w:t>
      </w:r>
      <w:r w:rsidR="007D4683" w:rsidRPr="00645D53">
        <w:t xml:space="preserve"> </w:t>
      </w:r>
      <w:r w:rsidRPr="00645D53">
        <w:t xml:space="preserve">darkness </w:t>
      </w:r>
      <w:r w:rsidR="007D4683">
        <w:t xml:space="preserve">to habituate </w:t>
      </w:r>
      <w:r w:rsidRPr="00645D53">
        <w:t>for 5-10 minutes</w:t>
      </w:r>
      <w:r w:rsidR="007D4683">
        <w:t xml:space="preserve">. After habituation they were exposed to a training </w:t>
      </w:r>
      <w:r w:rsidRPr="00645D53">
        <w:t xml:space="preserve">environment consisting of a long 1D VR track (400 cm) </w:t>
      </w:r>
      <w:r w:rsidR="007D4683">
        <w:t>interspersed with</w:t>
      </w:r>
      <w:r w:rsidR="007D4683" w:rsidRPr="00645D53">
        <w:t xml:space="preserve"> </w:t>
      </w:r>
      <w:r w:rsidRPr="00645D53">
        <w:t xml:space="preserve">distinct objects (e.g. tower, cylinder, torus) </w:t>
      </w:r>
      <w:r w:rsidR="007D4683">
        <w:t>and having different</w:t>
      </w:r>
      <w:r w:rsidRPr="00645D53">
        <w:t xml:space="preserve"> patterns on both the floor</w:t>
      </w:r>
      <w:r w:rsidR="007D4683">
        <w:t>, walls,</w:t>
      </w:r>
      <w:r w:rsidRPr="00645D53">
        <w:t xml:space="preserve"> and ceiling. During training, animals </w:t>
      </w:r>
      <w:r w:rsidRPr="00645D53">
        <w:lastRenderedPageBreak/>
        <w:t xml:space="preserve">received a milk reward in a marked goal location, they then continued moving to the end of the track, entering a tunnel identical to the ones used in the probe environments (A, B and C) before being teleported back to the start of the track. Animals were trained until they could reliably complete 3 laps, this typically meant </w:t>
      </w:r>
      <w:r w:rsidR="007D4683">
        <w:t xml:space="preserve">they </w:t>
      </w:r>
      <w:r w:rsidRPr="00645D53">
        <w:t xml:space="preserve">received </w:t>
      </w:r>
      <w:r w:rsidR="007D4683">
        <w:t>a minimum of</w:t>
      </w:r>
      <w:r w:rsidRPr="00645D53">
        <w:t xml:space="preserve"> 5 training sessions, each of which lasted for around 10-20 minutes, before being exposed to the probe VR environments.</w:t>
      </w:r>
      <w:r w:rsidRPr="00645D53" w:rsidDel="00A55946">
        <w:t xml:space="preserve"> </w:t>
      </w:r>
    </w:p>
    <w:p w14:paraId="7F6C1BF6" w14:textId="77777777" w:rsidR="00645D53" w:rsidRPr="00645D53" w:rsidRDefault="00645D53" w:rsidP="00645D53">
      <w:r w:rsidRPr="00645D53">
        <w:t>During each experimental session, the VR probe environments (A, B, and C) were presented in a random order. Animals were exposed to each environment for 10-30 minutes with a break of 5-10 minutes between environments, during which animals were allowed to rest in the dark. In each environment, animals were required to run along the track and reach a visually-cued reward location 87.5 cm from the start of the track. Animals then ran on to reach a tunnel at the end of the track and, after a random delay (</w:t>
      </w:r>
      <w:r w:rsidRPr="00645D53">
        <w:sym w:font="Symbol" w:char="F073"/>
      </w:r>
      <w:r w:rsidRPr="00645D53">
        <w:t xml:space="preserve"> = 5 seconds), were ‘teleported’ back to the start of the track ready to complete another lap. </w:t>
      </w:r>
    </w:p>
    <w:p w14:paraId="7179B40F" w14:textId="77777777" w:rsidR="00645D53" w:rsidRPr="00645D53" w:rsidRDefault="00645D53" w:rsidP="003E06AE">
      <w:pPr>
        <w:pStyle w:val="Heading2"/>
      </w:pPr>
      <w:r w:rsidRPr="00645D53">
        <w:lastRenderedPageBreak/>
        <w:t>Data analysis</w:t>
      </w:r>
    </w:p>
    <w:p w14:paraId="64FDA1DA" w14:textId="77777777" w:rsidR="00645D53" w:rsidRPr="00645D53" w:rsidRDefault="00645D53" w:rsidP="00645D53">
      <w:r w:rsidRPr="00645D53">
        <w:t>All analyses were conducted on MATLAB 2015a (Mathworks, MA) unless otherwise stated.</w:t>
      </w:r>
    </w:p>
    <w:p w14:paraId="71371284" w14:textId="77777777" w:rsidR="00645D53" w:rsidRPr="00645D53" w:rsidRDefault="00645D53" w:rsidP="003E06AE">
      <w:pPr>
        <w:pStyle w:val="Heading3"/>
      </w:pPr>
      <w:r w:rsidRPr="00645D53">
        <w:t>Cluster cutting</w:t>
      </w:r>
    </w:p>
    <w:p w14:paraId="68CE487D" w14:textId="2662AEB6" w:rsidR="00645D53" w:rsidRPr="00645D53" w:rsidRDefault="00645D53" w:rsidP="00645D53">
      <w:r w:rsidRPr="00645D53">
        <w:t>Cluster cutting was performed blindly once for each session by combining multiple sessions in VR with the related open field recordings. This was done to ensure that the neural activity of the same cell could be monitored across multiple recordings without entering any experimenter-based bias in the cell-</w:t>
      </w:r>
      <w:proofErr w:type="spellStart"/>
      <w:r w:rsidRPr="00645D53">
        <w:t>identfication</w:t>
      </w:r>
      <w:proofErr w:type="spellEnd"/>
      <w:r w:rsidRPr="00645D53">
        <w:t xml:space="preserve">. Preliminary clusters were assigned via </w:t>
      </w:r>
      <w:proofErr w:type="spellStart"/>
      <w:r w:rsidRPr="00645D53">
        <w:t>KlustaKwick</w:t>
      </w:r>
      <w:proofErr w:type="spellEnd"/>
      <w:r w:rsidRPr="00645D53">
        <w:t xml:space="preserve"> algorithm </w:t>
      </w:r>
      <w:r w:rsidRPr="00645D53">
        <w:fldChar w:fldCharType="begin"/>
      </w:r>
      <w:r w:rsidRPr="00645D53">
        <w:instrText xml:space="preserve"> ADDIN ZOTERO_ITEM CSL_CITATION {"citationID":"KTqiqux3","properties":{"formattedCitation":"(Kadir et al., 2014)","plainCitation":"(Kadir et al., 2014)","noteIndex":0},"citationItems":[{"id":50,"uris":["http://zotero.org/users/1133313/items/ZKE4UZ3H"],"uri":["http://zotero.org/users/1133313/items/ZKE4UZ3H"],"itemData":{"id":50,"type":"article-journal","title":"High-dimensional cluster analysis with the masked EM algorithm","container-title":"Neural computation","page":"2379-2394","volume":"26","issue":"11","source":"PubMed Central","abstract":"Cluster analysis faces two problems in high dimensions: first, the “curse of dimensionality” that can lead to overfitting and poor generalization performance; and second, the sheer time taken for conventional algorithms to process large amounts of high-dimensional data. We describe a solution to these problems, designed for the application of “spike sorting” for next-generation high channel-count neural probes. In this problem, only a small subset of features provide information about the cluster member-ship of any one data vector, but this informative feature subset is not the same for all data points, rendering classical feature selection ineffective. We introduce a “Masked EM” algorithm that allows accurate and time-efficient clustering of up to millions of points in thousands of dimensions. We demonstrate its applicability to synthetic data, and to real-world high-channel-count spike sorting data.","DOI":"10.1162/NECO_a_00661","ISSN":"0899-7667","note":"00050 \nPMID: 25149694\nPMCID: PMC4298163","journalAbbreviation":"Neural Comput","author":[{"family":"Kadir","given":"Shabnam N."},{"family":"Goodman","given":"Dan F. M."},{"family":"Harris","given":"Kenneth D."}],"issued":{"date-parts":[["2014",11]]}}}],"schema":"https://github.com/citation-style-language/schema/raw/master/csl-citation.json"} </w:instrText>
      </w:r>
      <w:r w:rsidRPr="00645D53">
        <w:fldChar w:fldCharType="separate"/>
      </w:r>
      <w:r w:rsidRPr="00645D53">
        <w:t>(Kadir et al., 2014)</w:t>
      </w:r>
      <w:r w:rsidRPr="00645D53">
        <w:fldChar w:fldCharType="end"/>
      </w:r>
      <w:r w:rsidRPr="00645D53">
        <w:t xml:space="preserve"> across all sessions and then manually corrected by eye based upon spike amplitude, temporal autocorrelogram and waveform of the clusters using Tint software (Axona, Ltd, UK). Once cluster-identification was completed, spikes were then assigned to each recording session in </w:t>
      </w:r>
      <w:proofErr w:type="spellStart"/>
      <w:r w:rsidRPr="00645D53">
        <w:t>Matlab</w:t>
      </w:r>
      <w:proofErr w:type="spellEnd"/>
      <w:r w:rsidRPr="00645D53">
        <w:t xml:space="preserve"> with custom-made algorithm. </w:t>
      </w:r>
    </w:p>
    <w:p w14:paraId="4CBFCB09" w14:textId="77777777" w:rsidR="00645D53" w:rsidRPr="00645D53" w:rsidRDefault="00645D53" w:rsidP="003E06AE">
      <w:pPr>
        <w:pStyle w:val="Heading3"/>
      </w:pPr>
      <w:r w:rsidRPr="00645D53">
        <w:t>Spatial analysis</w:t>
      </w:r>
    </w:p>
    <w:p w14:paraId="74DCFA1F" w14:textId="77777777" w:rsidR="00645D53" w:rsidRPr="00645D53" w:rsidRDefault="00645D53" w:rsidP="003E06AE">
      <w:pPr>
        <w:pStyle w:val="Heading4"/>
      </w:pPr>
      <w:r w:rsidRPr="00645D53">
        <w:t>Spatial rate map</w:t>
      </w:r>
    </w:p>
    <w:p w14:paraId="5C748001" w14:textId="186B9F2E" w:rsidR="00645D53" w:rsidRPr="00645D53" w:rsidRDefault="00645D53" w:rsidP="00645D53">
      <w:r w:rsidRPr="00645D53">
        <w:t>The spatial firing of each individual cell was first assessed by examining the spatial rate map (2 cm bin). For each cell, the spike map (overall number of spikes across sampled portion of the environment) and the dwell map (overall dwell time across sampled portion of the environment) were obtained and smoothed using a 5 bin Gaussian smoothing kernel (</w:t>
      </w:r>
      <w:r w:rsidRPr="00645D53">
        <w:sym w:font="Symbol" w:char="F073"/>
      </w:r>
      <w:r w:rsidRPr="00645D53">
        <w:t xml:space="preserve"> = 4 cm). </w:t>
      </w:r>
      <w:r w:rsidR="00EF6F90">
        <w:t>A s</w:t>
      </w:r>
      <w:r w:rsidRPr="00645D53">
        <w:t>moothed spatial rate map representing mean firing rate across space was then obtained dividing the smoothed spike map by the smoothed dwell map. This was done for data in both VR and RW.</w:t>
      </w:r>
    </w:p>
    <w:p w14:paraId="7C5F933B" w14:textId="77777777" w:rsidR="00645D53" w:rsidRPr="00645D53" w:rsidRDefault="00645D53" w:rsidP="003E06AE">
      <w:pPr>
        <w:pStyle w:val="Heading4"/>
      </w:pPr>
      <w:r w:rsidRPr="00645D53">
        <w:t>Polar rate map</w:t>
      </w:r>
    </w:p>
    <w:p w14:paraId="79A03BB6" w14:textId="77777777" w:rsidR="00645D53" w:rsidRPr="00645D53" w:rsidRDefault="00645D53" w:rsidP="00645D53">
      <w:r w:rsidRPr="00645D53">
        <w:t>Analogous to the spatial rate map, the directional firing of each individual cell was assessed by producing a polar map (6</w:t>
      </w:r>
      <w:r w:rsidRPr="00645D53">
        <w:sym w:font="Symbol" w:char="F0B0"/>
      </w:r>
      <w:r w:rsidRPr="00645D53">
        <w:t xml:space="preserve"> bin) obtained by diving a spike map (overall number of spikes across heading direction) by the dwell map (overall dwell time across heading direction). This was done only for data in the RW.</w:t>
      </w:r>
    </w:p>
    <w:p w14:paraId="131FA9EF" w14:textId="77777777" w:rsidR="00645D53" w:rsidRPr="00645D53" w:rsidRDefault="00645D53" w:rsidP="003E06AE">
      <w:pPr>
        <w:pStyle w:val="Heading4"/>
      </w:pPr>
      <w:r w:rsidRPr="00645D53">
        <w:t>Spatial stability</w:t>
      </w:r>
    </w:p>
    <w:p w14:paraId="40C6F032" w14:textId="3132D90D" w:rsidR="00645D53" w:rsidRPr="00645D53" w:rsidRDefault="00645D53" w:rsidP="00645D53">
      <w:r w:rsidRPr="00645D53">
        <w:t xml:space="preserve">To determine </w:t>
      </w:r>
      <w:r w:rsidR="00EF6F90">
        <w:t xml:space="preserve">the </w:t>
      </w:r>
      <w:r w:rsidRPr="00645D53">
        <w:t xml:space="preserve">spatial stability of the ratemaps in both VR and RW within the session, for each cell the spatial ratemaps of the first and second half of the trial duration were generated. The stability was quantified as the </w:t>
      </w:r>
      <w:r w:rsidRPr="00645D53">
        <w:rPr>
          <w:i/>
        </w:rPr>
        <w:t>Pearson</w:t>
      </w:r>
      <w:r w:rsidRPr="00645D53">
        <w:t xml:space="preserve"> correlation between corresponding bins with firing rate &gt; 0 Hz of the fi</w:t>
      </w:r>
      <w:r w:rsidR="00EF6F90">
        <w:t>r</w:t>
      </w:r>
      <w:r w:rsidRPr="00645D53">
        <w:t>st vs second half of the session.</w:t>
      </w:r>
    </w:p>
    <w:p w14:paraId="2AF974C0" w14:textId="77777777" w:rsidR="00645D53" w:rsidRPr="00645D53" w:rsidRDefault="00645D53" w:rsidP="003E06AE">
      <w:pPr>
        <w:pStyle w:val="Heading4"/>
      </w:pPr>
      <w:r w:rsidRPr="00645D53">
        <w:lastRenderedPageBreak/>
        <w:t>Spatial information</w:t>
      </w:r>
    </w:p>
    <w:p w14:paraId="3F00A146" w14:textId="77777777" w:rsidR="00645D53" w:rsidRPr="00645D53" w:rsidRDefault="00645D53" w:rsidP="00645D53">
      <w:r w:rsidRPr="00645D53">
        <w:t xml:space="preserve">The spatial content of each cell was determined using the Skaggs spatial information index </w:t>
      </w:r>
      <w:r w:rsidRPr="00645D53">
        <w:fldChar w:fldCharType="begin"/>
      </w:r>
      <w:r w:rsidRPr="00645D53">
        <w:instrText xml:space="preserve"> ADDIN ZOTERO_ITEM CSL_CITATION {"citationID":"YXNr6Uld","properties":{"formattedCitation":"(Skaggs et al., 1993)","plainCitation":"(Skaggs et al., 1993)","noteIndex":0},"citationItems":[{"id":1958,"uris":["http://zotero.org/users/1133313/items/8F4CHWDT"],"uri":["http://zotero.org/users/1133313/items/8F4CHWDT"],"itemData":{"id":1958,"type":"paper-conference","title":"An information-theoretic approach to deciphering the hippocampal code","container-title":"In","publisher":"Morgan Kaufmann","page":"1030–1037","source":"CiteSeer","abstract":"Information theory is used to derive a simple formula for the amount of information conveyed by the firing rate of a neuron about any experimentally measured variable or combination of variables (e.g. running speed, head direction, location of the animal, etc.). The derivation treats the cell as a communication channel whose input is the measured variable and whose output is the cell's spike train. Applying the formula, we find systematic differences in the information content of hippocampal \"place cells\" in different experimental conditions. 1 INTRODUCTION  Almost any neuron will respond to some manipulation or other by changing its firing rate, and this change in firing can convey information to downstream neurons. The aim of this article is to introduce a very simple formula for the average rate at which a cell conveys information in this way, and to show how the formula is helpful in the study of the firing properties of cells in the rat hippocampus. This is by no means the first a...","note":"00307","author":[{"family":"Skaggs","given":"William E."},{"family":"McNaughton","given":"Bruce L."},{"family":"Gothard","given":"Katalin M."},{"family":"Markus","given":"Etan J."}],"issued":{"date-parts":[["1993"]]}}}],"schema":"https://github.com/citation-style-language/schema/raw/master/csl-citation.json"} </w:instrText>
      </w:r>
      <w:r w:rsidRPr="00645D53">
        <w:fldChar w:fldCharType="separate"/>
      </w:r>
      <w:r w:rsidRPr="00645D53">
        <w:t>(Skaggs et al., 1993)</w:t>
      </w:r>
      <w:r w:rsidRPr="00645D53">
        <w:fldChar w:fldCharType="end"/>
      </w:r>
      <w:r w:rsidRPr="00645D53">
        <w:t xml:space="preserve"> and obtained as follows:</w:t>
      </w:r>
    </w:p>
    <w:p w14:paraId="1637C4C3" w14:textId="77777777" w:rsidR="00645D53" w:rsidRPr="00645D53" w:rsidRDefault="00645D53" w:rsidP="00645D53">
      <m:oMathPara>
        <m:oMath>
          <m:r>
            <m:rPr>
              <m:sty m:val="p"/>
            </m:rPr>
            <w:rPr>
              <w:rFonts w:ascii="Cambria Math" w:hAnsi="Cambria Math"/>
            </w:rPr>
            <m:t xml:space="preserve"> </m:t>
          </m:r>
          <m:r>
            <w:rPr>
              <w:rFonts w:ascii="Cambria Math" w:hAnsi="Cambria Math"/>
            </w:rPr>
            <m:t>I</m:t>
          </m:r>
          <m:d>
            <m:dPr>
              <m:ctrlPr>
                <w:rPr>
                  <w:rFonts w:ascii="Cambria Math" w:hAnsi="Cambria Math"/>
                </w:rPr>
              </m:ctrlPr>
            </m:dPr>
            <m:e>
              <m:r>
                <w:rPr>
                  <w:rFonts w:ascii="Cambria Math" w:hAnsi="Cambria Math"/>
                </w:rPr>
                <m:t>R</m:t>
              </m:r>
              <m:r>
                <m:rPr>
                  <m:sty m:val="p"/>
                </m:rPr>
                <w:rPr>
                  <w:rFonts w:ascii="Cambria Math" w:hAnsi="Cambria Math"/>
                </w:rPr>
                <m:t>|</m:t>
              </m:r>
              <m:r>
                <w:rPr>
                  <w:rFonts w:ascii="Cambria Math" w:hAnsi="Cambria Math"/>
                </w:rPr>
                <m:t>X</m:t>
              </m:r>
            </m:e>
          </m:d>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r>
                <m:rPr>
                  <m:sty m:val="p"/>
                </m:rPr>
                <w:rPr>
                  <w:rFonts w:ascii="Cambria Math" w:hAnsi="Cambria Math"/>
                </w:rPr>
                <m:t xml:space="preserve">  </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log</m:t>
                  </m:r>
                </m:e>
                <m:sub>
                  <m:r>
                    <m:rPr>
                      <m:sty m:val="p"/>
                    </m:rPr>
                    <w:rPr>
                      <w:rFonts w:ascii="Cambria Math" w:hAnsi="Cambria Math"/>
                    </w:rPr>
                    <m:t>2</m:t>
                  </m:r>
                </m:sub>
              </m:sSub>
              <m:d>
                <m:dPr>
                  <m:ctrlPr>
                    <w:rPr>
                      <w:rFonts w:ascii="Cambria Math" w:hAnsi="Cambria Math"/>
                    </w:rPr>
                  </m:ctrlPr>
                </m:dPr>
                <m:e>
                  <m:f>
                    <m:fPr>
                      <m:ctrlPr>
                        <w:rPr>
                          <w:rFonts w:ascii="Cambria Math" w:hAnsi="Cambria Math"/>
                        </w:rPr>
                      </m:ctrlPr>
                    </m:fPr>
                    <m:num>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num>
                    <m:den>
                      <m:r>
                        <w:rPr>
                          <w:rFonts w:ascii="Cambria Math" w:hAnsi="Cambria Math"/>
                        </w:rPr>
                        <m:t>F</m:t>
                      </m:r>
                    </m:den>
                  </m:f>
                </m:e>
              </m:d>
            </m:e>
          </m:nary>
        </m:oMath>
      </m:oMathPara>
    </w:p>
    <w:p w14:paraId="74842781" w14:textId="7EA0434E" w:rsidR="00645D53" w:rsidRPr="00645D53" w:rsidRDefault="00645D53" w:rsidP="00645D53">
      <w:r w:rsidRPr="00645D53">
        <w:t xml:space="preserve">where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oMath>
      <w:r w:rsidRPr="00645D53">
        <w:t xml:space="preserve"> and </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oMath>
      <w:r w:rsidRPr="00645D53">
        <w:t xml:space="preserve"> correspond to the probability of the animal being in location (spatial bin)</w:t>
      </w: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m:t>
            </m:r>
          </m:sub>
        </m:sSub>
      </m:oMath>
      <w:r w:rsidRPr="00645D53">
        <w:t xml:space="preserve"> and the firing rate of </w:t>
      </w:r>
      <w:r w:rsidR="00EF6F90">
        <w:t xml:space="preserve">the </w:t>
      </w:r>
      <w:r w:rsidRPr="00645D53">
        <w:t xml:space="preserve">cell in location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645D53">
        <w:t xml:space="preserve">, respectively. </w:t>
      </w:r>
      <w:r w:rsidRPr="00645D53">
        <w:rPr>
          <w:i/>
        </w:rPr>
        <w:t>F</w:t>
      </w:r>
      <w:r w:rsidRPr="00645D53">
        <w:t xml:space="preserve"> is the overall firing rate and </w:t>
      </w:r>
      <m:oMath>
        <m:r>
          <w:rPr>
            <w:rFonts w:ascii="Cambria Math" w:hAnsi="Cambria Math"/>
          </w:rPr>
          <m:t>I</m:t>
        </m:r>
        <m:d>
          <m:dPr>
            <m:ctrlPr>
              <w:rPr>
                <w:rFonts w:ascii="Cambria Math" w:hAnsi="Cambria Math"/>
                <w:i/>
              </w:rPr>
            </m:ctrlPr>
          </m:dPr>
          <m:e>
            <m:r>
              <w:rPr>
                <w:rFonts w:ascii="Cambria Math" w:hAnsi="Cambria Math"/>
              </w:rPr>
              <m:t>R|X</m:t>
            </m:r>
          </m:e>
        </m:d>
      </m:oMath>
      <w:r w:rsidRPr="00645D53">
        <w:t xml:space="preserve"> corresponds to the amount of spatial information between firing rate </w:t>
      </w:r>
      <w:r w:rsidRPr="00645D53">
        <w:rPr>
          <w:i/>
        </w:rPr>
        <w:t xml:space="preserve">R </w:t>
      </w:r>
      <w:r w:rsidRPr="00645D53">
        <w:t>and location</w:t>
      </w:r>
      <w:r w:rsidRPr="00645D53">
        <w:rPr>
          <w:i/>
        </w:rPr>
        <w:t xml:space="preserve"> X.</w:t>
      </w:r>
      <w:r w:rsidRPr="00645D53">
        <w:t xml:space="preserve"> The spatial information in bits/spike was calculated by dividing the </w:t>
      </w:r>
      <m:oMath>
        <m:r>
          <w:rPr>
            <w:rFonts w:ascii="Cambria Math" w:hAnsi="Cambria Math"/>
          </w:rPr>
          <m:t>I</m:t>
        </m:r>
        <m:d>
          <m:dPr>
            <m:ctrlPr>
              <w:rPr>
                <w:rFonts w:ascii="Cambria Math" w:hAnsi="Cambria Math"/>
                <w:i/>
              </w:rPr>
            </m:ctrlPr>
          </m:dPr>
          <m:e>
            <m:r>
              <w:rPr>
                <w:rFonts w:ascii="Cambria Math" w:hAnsi="Cambria Math"/>
              </w:rPr>
              <m:t>R|X</m:t>
            </m:r>
          </m:e>
        </m:d>
      </m:oMath>
      <w:r w:rsidRPr="00645D53">
        <w:t xml:space="preserve"> by </w:t>
      </w:r>
      <w:r w:rsidRPr="00645D53">
        <w:rPr>
          <w:i/>
        </w:rPr>
        <w:t>F</w:t>
      </w:r>
      <w:r w:rsidRPr="00645D53">
        <w:t>.</w:t>
      </w:r>
    </w:p>
    <w:p w14:paraId="0CEC88B0" w14:textId="77777777" w:rsidR="00645D53" w:rsidRPr="00645D53" w:rsidRDefault="00645D53" w:rsidP="003E06AE">
      <w:pPr>
        <w:pStyle w:val="Heading4"/>
      </w:pPr>
      <w:r w:rsidRPr="00645D53">
        <w:t>Spatial autocorrelogram (SAC) in RW</w:t>
      </w:r>
    </w:p>
    <w:p w14:paraId="69446F1F" w14:textId="77777777" w:rsidR="00645D53" w:rsidRPr="00645D53" w:rsidRDefault="00645D53" w:rsidP="00645D53">
      <w:r w:rsidRPr="00645D53">
        <w:t xml:space="preserve">To </w:t>
      </w:r>
      <w:r w:rsidRPr="00966EE2">
        <w:t>determine the periodicity of the</w:t>
      </w:r>
      <w:r w:rsidRPr="00645D53">
        <w:t xml:space="preserve"> spatial firing of each individual cell, the SAC was conducted using the following formula </w:t>
      </w:r>
      <w:r w:rsidRPr="00645D53">
        <w:fldChar w:fldCharType="begin"/>
      </w:r>
      <w:r w:rsidRPr="00645D53">
        <w:instrText xml:space="preserve"> ADDIN ZOTERO_ITEM CSL_CITATION {"citationID":"C5PphF0U","properties":{"formattedCitation":"(Hafting et al., 2005)","plainCitation":"(Hafting et al., 2005)","noteIndex":0},"citationItems":[{"id":1316,"uris":["http://zotero.org/users/1133313/items/2KTQATHJ"],"uri":["http://zotero.org/users/1133313/items/2KTQATHJ"],"itemData":{"id":1316,"type":"article-journal","title":"Microstructure of a spatial map in the entorhinal cortex","container-title":"Nature","page":"801-806","volume":"436","issue":"7052","source":"www.nature.com","abstract":"The ability to find one's way depends on neural algorithms that integrate information about place, distance and direction, but the implementation of these operations in cortical microcircuits is poorly understood. Here we show that the dorsocaudal medial entorhinal cortex (dMEC) contains a directionally oriented, topographically organized neural map of the spatial environment. Its key unit is the 'grid cell', which is activated whenever the animal's position coincides with any vertex of a regular grid of equilateral triangles spanning the surface of the environment. Grids of neighbouring cells share a common orientation and spacing, but their vertex locations (their phases) differ. The spacing and size of individual fields increase from dorsal to ventral dMEC. The map is anchored to external landmarks, but persists in their absence, suggesting that grid cells may be part of a generalized, path-integration-based map of the spatial environment.","DOI":"10.1038/nature03721","ISSN":"0028-0836","note":"01951","journalAbbreviation":"Nature","language":"en","author":[{"family":"Hafting","given":"Torkel"},{"family":"Fyhn","given":"Marianne"},{"family":"Molden","given":"Sturla"},{"family":"Moser","given":"May-Britt"},{"family":"Moser","given":"Edvard I."}],"issued":{"date-parts":[["2005",8,11]]}}}],"schema":"https://github.com/citation-style-language/schema/raw/master/csl-citation.json"} </w:instrText>
      </w:r>
      <w:r w:rsidRPr="00645D53">
        <w:fldChar w:fldCharType="separate"/>
      </w:r>
      <w:r w:rsidRPr="00645D53">
        <w:t>(Hafting et al., 2005)</w:t>
      </w:r>
      <w:r w:rsidRPr="00645D53">
        <w:fldChar w:fldCharType="end"/>
      </w:r>
      <w:r w:rsidRPr="00645D53">
        <w:t>:</w:t>
      </w:r>
    </w:p>
    <w:p w14:paraId="0167F865" w14:textId="77777777" w:rsidR="00645D53" w:rsidRPr="00645D53" w:rsidRDefault="00645D53" w:rsidP="00645D53"/>
    <w:p w14:paraId="0CB0DF09" w14:textId="77777777" w:rsidR="00645D53" w:rsidRPr="00645D53" w:rsidRDefault="00645D53" w:rsidP="00645D53">
      <m:oMathPara>
        <m:oMath>
          <m:r>
            <w:rPr>
              <w:rFonts w:ascii="Cambria Math" w:hAnsi="Cambria Math"/>
            </w:rPr>
            <m:t>r</m:t>
          </m:r>
          <m:d>
            <m:dPr>
              <m:ctrlPr>
                <w:rPr>
                  <w:rFonts w:ascii="Cambria Math" w:hAnsi="Cambria Math"/>
                </w:rPr>
              </m:ctrlPr>
            </m:dPr>
            <m:e>
              <m:sSub>
                <m:sSubPr>
                  <m:ctrlPr>
                    <w:rPr>
                      <w:rFonts w:ascii="Cambria Math" w:hAnsi="Cambria Math"/>
                    </w:rPr>
                  </m:ctrlPr>
                </m:sSubPr>
                <m:e>
                  <m:r>
                    <w:rPr>
                      <w:rFonts w:ascii="Cambria Math" w:hAnsi="Cambria Math"/>
                    </w:rPr>
                    <m:t>τ</m:t>
                  </m:r>
                </m:e>
                <m:sub>
                  <m:r>
                    <w:rPr>
                      <w:rFonts w:ascii="Cambria Math" w:hAnsi="Cambria Math"/>
                    </w:rPr>
                    <m:t>x</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τ</m:t>
                  </m:r>
                </m:e>
                <m:sub>
                  <m:r>
                    <w:rPr>
                      <w:rFonts w:ascii="Cambria Math" w:hAnsi="Cambria Math"/>
                    </w:rPr>
                    <m:t>y</m:t>
                  </m:r>
                </m:sub>
              </m:sSub>
            </m:e>
          </m:d>
          <m:r>
            <m:rPr>
              <m:sty m:val="p"/>
            </m:rPr>
            <w:rPr>
              <w:rFonts w:ascii="Cambria Math" w:hAnsi="Cambria Math"/>
            </w:rPr>
            <m:t xml:space="preserve">= </m:t>
          </m:r>
          <m:f>
            <m:fPr>
              <m:ctrlPr>
                <w:rPr>
                  <w:rFonts w:ascii="Cambria Math" w:hAnsi="Cambria Math"/>
                </w:rPr>
              </m:ctrlPr>
            </m:fPr>
            <m:num>
              <m:r>
                <w:rPr>
                  <w:rFonts w:ascii="Cambria Math" w:hAnsi="Cambria Math"/>
                </w:rPr>
                <m:t>n</m:t>
              </m:r>
              <m:r>
                <m:rPr>
                  <m:sty m:val="p"/>
                </m:rPr>
                <w:rPr>
                  <w:rFonts w:ascii="Cambria Math" w:hAnsi="Cambria Math"/>
                </w:rPr>
                <m:t>Σ</m:t>
              </m:r>
              <m:r>
                <w:rPr>
                  <w:rFonts w:ascii="Cambria Math" w:hAnsi="Cambria Math"/>
                </w:rPr>
                <m:t>λ</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w:rPr>
                  <w:rFonts w:ascii="Cambria Math" w:hAnsi="Cambria Math"/>
                </w:rPr>
                <m:t>λ</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x</m:t>
                      </m:r>
                    </m:sub>
                  </m:sSub>
                  <m:r>
                    <m:rPr>
                      <m:sty m:val="p"/>
                    </m:rPr>
                    <w:rPr>
                      <w:rFonts w:ascii="Cambria Math" w:hAnsi="Cambria Math"/>
                    </w:rPr>
                    <m:t xml:space="preserve">, </m:t>
                  </m:r>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y</m:t>
                      </m:r>
                    </m:sub>
                  </m:sSub>
                </m:e>
              </m:d>
              <m:r>
                <m:rPr>
                  <m:sty m:val="p"/>
                </m:rPr>
                <w:rPr>
                  <w:rFonts w:ascii="Cambria Math" w:hAnsi="Cambria Math"/>
                </w:rPr>
                <m:t>- Σ</m:t>
              </m:r>
              <m:r>
                <w:rPr>
                  <w:rFonts w:ascii="Cambria Math" w:hAnsi="Cambria Math"/>
                </w:rPr>
                <m:t>λ</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λ</m:t>
              </m:r>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x</m:t>
                  </m:r>
                </m:sub>
              </m:sSub>
              <m:r>
                <m:rPr>
                  <m:sty m:val="p"/>
                </m:rPr>
                <w:rPr>
                  <w:rFonts w:ascii="Cambria Math" w:hAnsi="Cambria Math"/>
                </w:rPr>
                <m:t xml:space="preserve">, </m:t>
              </m:r>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y</m:t>
                  </m:r>
                </m:sub>
              </m:sSub>
              <m:r>
                <m:rPr>
                  <m:sty m:val="p"/>
                </m:rPr>
                <w:rPr>
                  <w:rFonts w:ascii="Cambria Math" w:hAnsi="Cambria Math"/>
                </w:rPr>
                <m:t>)</m:t>
              </m:r>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n</m:t>
                      </m:r>
                      <m:r>
                        <m:rPr>
                          <m:sty m:val="p"/>
                        </m:rPr>
                        <w:rPr>
                          <w:rFonts w:ascii="Cambria Math" w:hAnsi="Cambria Math"/>
                        </w:rPr>
                        <m:t xml:space="preserve"> Σ</m:t>
                      </m:r>
                      <m:r>
                        <w:rPr>
                          <w:rFonts w:ascii="Cambria Math" w:hAnsi="Cambria Math"/>
                        </w:rPr>
                        <m:t>λ</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Σ</m:t>
                      </m:r>
                      <m:r>
                        <w:rPr>
                          <w:rFonts w:ascii="Cambria Math" w:hAnsi="Cambria Math"/>
                        </w:rPr>
                        <m:t>λ</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e>
                    <m:sup>
                      <m:r>
                        <m:rPr>
                          <m:sty m:val="p"/>
                        </m:rPr>
                        <w:rPr>
                          <w:rFonts w:ascii="Cambria Math" w:hAnsi="Cambria Math"/>
                        </w:rPr>
                        <m:t>2</m:t>
                      </m:r>
                    </m:sup>
                  </m:sSup>
                </m:e>
              </m:rad>
              <m:rad>
                <m:radPr>
                  <m:degHide m:val="1"/>
                  <m:ctrlPr>
                    <w:rPr>
                      <w:rFonts w:ascii="Cambria Math" w:hAnsi="Cambria Math"/>
                    </w:rPr>
                  </m:ctrlPr>
                </m:radPr>
                <m:deg/>
                <m:e>
                  <m:sSup>
                    <m:sSupPr>
                      <m:ctrlPr>
                        <w:rPr>
                          <w:rFonts w:ascii="Cambria Math" w:hAnsi="Cambria Math"/>
                        </w:rPr>
                      </m:ctrlPr>
                    </m:sSupPr>
                    <m:e>
                      <m:r>
                        <w:rPr>
                          <w:rFonts w:ascii="Cambria Math" w:hAnsi="Cambria Math"/>
                        </w:rPr>
                        <m:t>n</m:t>
                      </m:r>
                      <m:r>
                        <m:rPr>
                          <m:sty m:val="p"/>
                        </m:rPr>
                        <w:rPr>
                          <w:rFonts w:ascii="Cambria Math" w:hAnsi="Cambria Math"/>
                        </w:rPr>
                        <m:t>Σ</m:t>
                      </m:r>
                      <m:r>
                        <w:rPr>
                          <w:rFonts w:ascii="Cambria Math" w:hAnsi="Cambria Math"/>
                        </w:rPr>
                        <m:t>λ</m:t>
                      </m:r>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x</m:t>
                          </m:r>
                        </m:sub>
                      </m:sSub>
                      <m:r>
                        <m:rPr>
                          <m:sty m:val="p"/>
                        </m:rPr>
                        <w:rPr>
                          <w:rFonts w:ascii="Cambria Math" w:hAnsi="Cambria Math"/>
                        </w:rPr>
                        <m:t xml:space="preserve">, </m:t>
                      </m:r>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y</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Σ</m:t>
                      </m:r>
                      <m:r>
                        <w:rPr>
                          <w:rFonts w:ascii="Cambria Math" w:hAnsi="Cambria Math"/>
                        </w:rPr>
                        <m:t>λ</m:t>
                      </m:r>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x</m:t>
                          </m:r>
                        </m:sub>
                      </m:sSub>
                      <m:r>
                        <m:rPr>
                          <m:sty m:val="p"/>
                        </m:rPr>
                        <w:rPr>
                          <w:rFonts w:ascii="Cambria Math" w:hAnsi="Cambria Math"/>
                        </w:rPr>
                        <m:t>,</m:t>
                      </m:r>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y</m:t>
                          </m:r>
                        </m:sub>
                      </m:sSub>
                      <m:r>
                        <m:rPr>
                          <m:sty m:val="p"/>
                        </m:rPr>
                        <w:rPr>
                          <w:rFonts w:ascii="Cambria Math" w:hAnsi="Cambria Math"/>
                        </w:rPr>
                        <m:t>))</m:t>
                      </m:r>
                    </m:e>
                    <m:sup>
                      <m:r>
                        <m:rPr>
                          <m:sty m:val="p"/>
                        </m:rPr>
                        <w:rPr>
                          <w:rFonts w:ascii="Cambria Math" w:hAnsi="Cambria Math"/>
                        </w:rPr>
                        <m:t>2</m:t>
                      </m:r>
                    </m:sup>
                  </m:sSup>
                </m:e>
              </m:rad>
            </m:den>
          </m:f>
        </m:oMath>
      </m:oMathPara>
    </w:p>
    <w:p w14:paraId="7869136A" w14:textId="77777777" w:rsidR="00645D53" w:rsidRPr="00645D53" w:rsidRDefault="00645D53" w:rsidP="00645D53"/>
    <w:p w14:paraId="721AC938" w14:textId="77777777" w:rsidR="00645D53" w:rsidRPr="00645D53" w:rsidRDefault="00645D53" w:rsidP="00645D53">
      <w:r w:rsidRPr="00645D53">
        <w:t xml:space="preserve">where </w:t>
      </w:r>
      <m:oMath>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τ</m:t>
                </m:r>
              </m:e>
              <m:sub>
                <m:r>
                  <w:rPr>
                    <w:rFonts w:ascii="Cambria Math" w:hAnsi="Cambria Math"/>
                  </w:rPr>
                  <m:t>y</m:t>
                </m:r>
              </m:sub>
            </m:sSub>
          </m:e>
        </m:d>
      </m:oMath>
      <w:r w:rsidRPr="00645D53">
        <w:t xml:space="preserve"> is the correlation coefficient between those bins with spatial offset </w:t>
      </w:r>
      <m:oMath>
        <m:sSub>
          <m:sSubPr>
            <m:ctrlPr>
              <w:rPr>
                <w:rFonts w:ascii="Cambria Math" w:hAnsi="Cambria Math"/>
                <w:i/>
              </w:rPr>
            </m:ctrlPr>
          </m:sSubPr>
          <m:e>
            <m:r>
              <w:rPr>
                <w:rFonts w:ascii="Cambria Math" w:hAnsi="Cambria Math"/>
              </w:rPr>
              <m:t>τ</m:t>
            </m:r>
          </m:e>
          <m:sub>
            <m:r>
              <w:rPr>
                <w:rFonts w:ascii="Cambria Math" w:hAnsi="Cambria Math"/>
              </w:rPr>
              <m:t>x</m:t>
            </m:r>
          </m:sub>
        </m:sSub>
      </m:oMath>
      <w:r w:rsidRPr="00645D53">
        <w:t xml:space="preserve"> and </w:t>
      </w:r>
      <m:oMath>
        <m:sSub>
          <m:sSubPr>
            <m:ctrlPr>
              <w:rPr>
                <w:rFonts w:ascii="Cambria Math" w:hAnsi="Cambria Math"/>
                <w:i/>
              </w:rPr>
            </m:ctrlPr>
          </m:sSubPr>
          <m:e>
            <m:r>
              <w:rPr>
                <w:rFonts w:ascii="Cambria Math" w:hAnsi="Cambria Math"/>
              </w:rPr>
              <m:t>τ</m:t>
            </m:r>
          </m:e>
          <m:sub>
            <m:r>
              <w:rPr>
                <w:rFonts w:ascii="Cambria Math" w:hAnsi="Cambria Math"/>
              </w:rPr>
              <m:t>y</m:t>
            </m:r>
          </m:sub>
        </m:sSub>
      </m:oMath>
      <w:r w:rsidRPr="00645D53">
        <w:t>,</w:t>
      </w:r>
      <m:oMath>
        <m:r>
          <w:rPr>
            <w:rFonts w:ascii="Cambria Math" w:hAnsi="Cambria Math"/>
          </w:rPr>
          <m:t xml:space="preserve"> λ(x, y)</m:t>
        </m:r>
      </m:oMath>
      <w:r w:rsidRPr="00645D53">
        <w:t xml:space="preserve"> is the firing rate in the spatial bin of the spatial rate map defined by coordinate </w:t>
      </w:r>
      <m:oMath>
        <m:r>
          <w:rPr>
            <w:rFonts w:ascii="Cambria Math" w:hAnsi="Cambria Math"/>
          </w:rPr>
          <m:t>x</m:t>
        </m:r>
      </m:oMath>
      <w:r w:rsidRPr="00645D53">
        <w:t xml:space="preserve"> and </w:t>
      </w:r>
      <m:oMath>
        <m:r>
          <w:rPr>
            <w:rFonts w:ascii="Cambria Math" w:hAnsi="Cambria Math"/>
          </w:rPr>
          <m:t>y</m:t>
        </m:r>
      </m:oMath>
      <w:r w:rsidRPr="00645D53">
        <w:t>, and</w:t>
      </w:r>
      <m:oMath>
        <m:r>
          <w:rPr>
            <w:rFonts w:ascii="Cambria Math" w:hAnsi="Cambria Math"/>
          </w:rPr>
          <m:t xml:space="preserve"> n</m:t>
        </m:r>
      </m:oMath>
      <w:r w:rsidRPr="00645D53">
        <w:t xml:space="preserve"> is the total number of spatial bins. The grid score for RW data was obtained after detecting the 6 nearest peaks from the centre of the SAC and subtracting the lowest correlation found at 60° and 120° to the maximum correlation at 30°, 90° and 150° relative to the orientation of the first peak.</w:t>
      </w:r>
    </w:p>
    <w:p w14:paraId="08A66DBF" w14:textId="77777777" w:rsidR="00645D53" w:rsidRPr="00645D53" w:rsidRDefault="00645D53" w:rsidP="003E06AE">
      <w:pPr>
        <w:pStyle w:val="Heading4"/>
      </w:pPr>
      <w:r w:rsidRPr="00645D53">
        <w:t>Spatial frequency</w:t>
      </w:r>
    </w:p>
    <w:p w14:paraId="73CCEA5C" w14:textId="77777777" w:rsidR="00645D53" w:rsidRPr="00645D53" w:rsidRDefault="00645D53" w:rsidP="00645D53">
      <w:r w:rsidRPr="00645D53">
        <w:t xml:space="preserve">To determine the spatial frequency in VR, a spatial rate map of each trial was produced and used to generate a linear SAC of a single trial in the 20-180 cm range. This process was repeated for every trial completed by the animal in each environment so that a mean SAC across trials could be obtained by averaging SAC of each individual trial. </w:t>
      </w:r>
    </w:p>
    <w:p w14:paraId="1747D18C" w14:textId="77777777" w:rsidR="00645D53" w:rsidRPr="00645D53" w:rsidRDefault="00645D53" w:rsidP="00645D53">
      <w:r w:rsidRPr="00645D53">
        <w:t xml:space="preserve">To characterize the putative periodic firing of a cell, the mean SAC was analysed using the inbuilt function </w:t>
      </w:r>
      <w:proofErr w:type="spellStart"/>
      <w:r w:rsidRPr="00645D53">
        <w:rPr>
          <w:i/>
        </w:rPr>
        <w:t>findpeaks</w:t>
      </w:r>
      <w:proofErr w:type="spellEnd"/>
      <w:r w:rsidRPr="00645D53">
        <w:t xml:space="preserve"> in </w:t>
      </w:r>
      <w:proofErr w:type="spellStart"/>
      <w:r w:rsidRPr="00645D53">
        <w:t>Matlab</w:t>
      </w:r>
      <w:proofErr w:type="spellEnd"/>
      <w:r w:rsidRPr="00645D53">
        <w:t xml:space="preserve"> 2015. The strength and spatial frequency of each cell in VR was determined respectively as the “prominence” of the mean SAC highest peak and the distance at which the mean SAC showed highest peak. A shuffling procedure was conducted by shifting the cell spike-train by a random delay </w:t>
      </w:r>
      <w:r w:rsidRPr="00645D53">
        <w:lastRenderedPageBreak/>
        <w:t xml:space="preserve">&gt; 30 seconds. Shuffled rate maps of each trial were then generated and used to produce a mean shuffled SAC, so that a shuffle prominence value could be obtained. This process was repeated 1000 times for each cell. </w:t>
      </w:r>
    </w:p>
    <w:p w14:paraId="393EA0BB" w14:textId="77777777" w:rsidR="00645D53" w:rsidRPr="00645D53" w:rsidRDefault="00645D53" w:rsidP="003E06AE">
      <w:pPr>
        <w:pStyle w:val="Heading4"/>
      </w:pPr>
      <w:r w:rsidRPr="00645D53">
        <w:t>Cell identification criteria</w:t>
      </w:r>
    </w:p>
    <w:p w14:paraId="32A8FA9B" w14:textId="5DE605CD" w:rsidR="00645D53" w:rsidRPr="00645D53" w:rsidRDefault="00645D53" w:rsidP="00645D53">
      <w:r w:rsidRPr="00645D53">
        <w:t>A cell passed periodic cell acceptance criteria if all the following criteria were met on at least 2/3 VR environments: mean firing rate &lt; 5 Hz, peak firing rate &gt; 1.5 Hz, prominence of the highest peak detected from the mean SAC exceeding the 95</w:t>
      </w:r>
      <w:r w:rsidR="00EF6F90" w:rsidRPr="00EF6F90">
        <w:rPr>
          <w:vertAlign w:val="superscript"/>
        </w:rPr>
        <w:t>th</w:t>
      </w:r>
      <w:r w:rsidR="00EF6F90">
        <w:t xml:space="preserve"> </w:t>
      </w:r>
      <w:proofErr w:type="spellStart"/>
      <w:r w:rsidRPr="00645D53">
        <w:t>perctile</w:t>
      </w:r>
      <w:proofErr w:type="spellEnd"/>
      <w:r w:rsidRPr="00645D53">
        <w:t xml:space="preserve"> of the shuffled distribution (</w:t>
      </w:r>
      <w:r w:rsidRPr="00645D53">
        <w:rPr>
          <w:i/>
        </w:rPr>
        <w:t>n</w:t>
      </w:r>
      <w:r w:rsidRPr="00645D53">
        <w:t xml:space="preserve"> shuffles = 1000). </w:t>
      </w:r>
    </w:p>
    <w:p w14:paraId="17A2C987" w14:textId="122BF6AB" w:rsidR="00645D53" w:rsidRPr="00645D53" w:rsidRDefault="00645D53" w:rsidP="00645D53">
      <w:r w:rsidRPr="00645D53">
        <w:t>A cell passed grid cell acceptance criteria if the following criteria were met in the RW open field: mean firing rate &lt; 3 Hz, peak firing rate &gt; 1 Hz, spatial stability &gt; 0.2, grid score exceeding 95</w:t>
      </w:r>
      <w:r w:rsidR="00EF6F90" w:rsidRPr="00EF6F90">
        <w:rPr>
          <w:vertAlign w:val="superscript"/>
        </w:rPr>
        <w:t xml:space="preserve"> </w:t>
      </w:r>
      <w:proofErr w:type="spellStart"/>
      <w:r w:rsidR="00EF6F90" w:rsidRPr="00EF6F90">
        <w:rPr>
          <w:vertAlign w:val="superscript"/>
        </w:rPr>
        <w:t>th</w:t>
      </w:r>
      <w:proofErr w:type="spellEnd"/>
      <w:r w:rsidR="00EF6F90">
        <w:t xml:space="preserve"> </w:t>
      </w:r>
      <w:proofErr w:type="spellStart"/>
      <w:r w:rsidRPr="00645D53">
        <w:t>perctile</w:t>
      </w:r>
      <w:proofErr w:type="spellEnd"/>
      <w:r w:rsidRPr="00645D53">
        <w:t xml:space="preserve"> of the shuffled distribution (</w:t>
      </w:r>
      <w:r w:rsidRPr="00645D53">
        <w:rPr>
          <w:i/>
        </w:rPr>
        <w:t>n</w:t>
      </w:r>
      <w:r w:rsidRPr="00645D53">
        <w:t xml:space="preserve"> shuffles = 200) obtained by shifting the spike-train relative to dwell time by a random amount &gt; 30 seconds. </w:t>
      </w:r>
    </w:p>
    <w:p w14:paraId="5C069ACC" w14:textId="2CB78056" w:rsidR="00F40B97" w:rsidRPr="00645D53" w:rsidRDefault="00F40B97" w:rsidP="00645D53"/>
    <w:sectPr w:rsidR="00F40B97" w:rsidRPr="00645D53" w:rsidSect="00452C5E">
      <w:footerReference w:type="even" r:id="rId19"/>
      <w:footerReference w:type="default" r:id="rId20"/>
      <w:pgSz w:w="11906" w:h="16838"/>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FBD07" w14:textId="77777777" w:rsidR="00F110BA" w:rsidRDefault="00F110BA">
      <w:pPr>
        <w:spacing w:line="240" w:lineRule="auto"/>
      </w:pPr>
      <w:r>
        <w:separator/>
      </w:r>
    </w:p>
  </w:endnote>
  <w:endnote w:type="continuationSeparator" w:id="0">
    <w:p w14:paraId="71DFF1BE" w14:textId="77777777" w:rsidR="00F110BA" w:rsidRDefault="00F110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06704876"/>
      <w:docPartObj>
        <w:docPartGallery w:val="Page Numbers (Bottom of Page)"/>
        <w:docPartUnique/>
      </w:docPartObj>
    </w:sdtPr>
    <w:sdtEndPr>
      <w:rPr>
        <w:rStyle w:val="PageNumber"/>
      </w:rPr>
    </w:sdtEndPr>
    <w:sdtContent>
      <w:p w14:paraId="0E785505" w14:textId="77777777" w:rsidR="00DC6D1A" w:rsidRDefault="00645D53" w:rsidP="0034664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62599D" w14:textId="77777777" w:rsidR="00DC6D1A" w:rsidRDefault="00F110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2502493"/>
      <w:docPartObj>
        <w:docPartGallery w:val="Page Numbers (Bottom of Page)"/>
        <w:docPartUnique/>
      </w:docPartObj>
    </w:sdtPr>
    <w:sdtEndPr>
      <w:rPr>
        <w:rStyle w:val="PageNumber"/>
      </w:rPr>
    </w:sdtEndPr>
    <w:sdtContent>
      <w:p w14:paraId="6CC078FF" w14:textId="77777777" w:rsidR="00DC6D1A" w:rsidRDefault="00645D53" w:rsidP="0034664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81334">
          <w:rPr>
            <w:rStyle w:val="PageNumber"/>
            <w:noProof/>
          </w:rPr>
          <w:t>12</w:t>
        </w:r>
        <w:r>
          <w:rPr>
            <w:rStyle w:val="PageNumber"/>
          </w:rPr>
          <w:fldChar w:fldCharType="end"/>
        </w:r>
      </w:p>
    </w:sdtContent>
  </w:sdt>
  <w:p w14:paraId="2EEEB776" w14:textId="77777777" w:rsidR="00DC6D1A" w:rsidRDefault="00F110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FAED1" w14:textId="77777777" w:rsidR="00F110BA" w:rsidRDefault="00F110BA">
      <w:pPr>
        <w:spacing w:line="240" w:lineRule="auto"/>
      </w:pPr>
      <w:r>
        <w:separator/>
      </w:r>
    </w:p>
  </w:footnote>
  <w:footnote w:type="continuationSeparator" w:id="0">
    <w:p w14:paraId="321EE757" w14:textId="77777777" w:rsidR="00F110BA" w:rsidRDefault="00F110B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B97"/>
    <w:rsid w:val="00014025"/>
    <w:rsid w:val="0004593C"/>
    <w:rsid w:val="000E22F2"/>
    <w:rsid w:val="00105193"/>
    <w:rsid w:val="00122DAE"/>
    <w:rsid w:val="0014784B"/>
    <w:rsid w:val="00157D9D"/>
    <w:rsid w:val="001C7EB5"/>
    <w:rsid w:val="00217F46"/>
    <w:rsid w:val="002313BC"/>
    <w:rsid w:val="00234F70"/>
    <w:rsid w:val="0025348E"/>
    <w:rsid w:val="002A014D"/>
    <w:rsid w:val="003643E1"/>
    <w:rsid w:val="003D05CB"/>
    <w:rsid w:val="003E06AE"/>
    <w:rsid w:val="00417D88"/>
    <w:rsid w:val="00421DFB"/>
    <w:rsid w:val="00430BC9"/>
    <w:rsid w:val="00452C5E"/>
    <w:rsid w:val="0048520B"/>
    <w:rsid w:val="004944F6"/>
    <w:rsid w:val="004A1574"/>
    <w:rsid w:val="0050654C"/>
    <w:rsid w:val="005162E6"/>
    <w:rsid w:val="005A1F02"/>
    <w:rsid w:val="005A74F0"/>
    <w:rsid w:val="005D5FE5"/>
    <w:rsid w:val="00645D53"/>
    <w:rsid w:val="006536CC"/>
    <w:rsid w:val="00681334"/>
    <w:rsid w:val="006D5235"/>
    <w:rsid w:val="006E48C9"/>
    <w:rsid w:val="006F5E82"/>
    <w:rsid w:val="00721912"/>
    <w:rsid w:val="0076347C"/>
    <w:rsid w:val="007C6E3E"/>
    <w:rsid w:val="007D4683"/>
    <w:rsid w:val="0080159C"/>
    <w:rsid w:val="00840F9A"/>
    <w:rsid w:val="008D502E"/>
    <w:rsid w:val="008E3755"/>
    <w:rsid w:val="008F030D"/>
    <w:rsid w:val="0090089B"/>
    <w:rsid w:val="00966EE2"/>
    <w:rsid w:val="009A76C1"/>
    <w:rsid w:val="009F2A93"/>
    <w:rsid w:val="009F3B29"/>
    <w:rsid w:val="00A04281"/>
    <w:rsid w:val="00A724B4"/>
    <w:rsid w:val="00A92AFF"/>
    <w:rsid w:val="00AB5E55"/>
    <w:rsid w:val="00AD10B4"/>
    <w:rsid w:val="00B60C51"/>
    <w:rsid w:val="00C85553"/>
    <w:rsid w:val="00D10F4D"/>
    <w:rsid w:val="00D46E3D"/>
    <w:rsid w:val="00D608D4"/>
    <w:rsid w:val="00D81F43"/>
    <w:rsid w:val="00D874C3"/>
    <w:rsid w:val="00E3030F"/>
    <w:rsid w:val="00EF6F90"/>
    <w:rsid w:val="00F110BA"/>
    <w:rsid w:val="00F40B97"/>
    <w:rsid w:val="00F67C47"/>
    <w:rsid w:val="00F71D8E"/>
    <w:rsid w:val="00FB09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3DDA2"/>
  <w15:chartTrackingRefBased/>
  <w15:docId w15:val="{F7228902-E2E0-B542-8226-6B5917934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40B97"/>
    <w:pPr>
      <w:suppressAutoHyphens/>
      <w:autoSpaceDN w:val="0"/>
      <w:spacing w:line="360" w:lineRule="auto"/>
      <w:ind w:firstLine="720"/>
      <w:jc w:val="both"/>
      <w:textAlignment w:val="baseline"/>
    </w:pPr>
    <w:rPr>
      <w:rFonts w:ascii="Calibri" w:eastAsia="Calibri" w:hAnsi="Calibri" w:cs="Times New Roman"/>
      <w:sz w:val="22"/>
      <w:szCs w:val="22"/>
      <w:lang w:val="en-GB" w:eastAsia="en-GB"/>
    </w:rPr>
  </w:style>
  <w:style w:type="paragraph" w:styleId="Heading1">
    <w:name w:val="heading 1"/>
    <w:basedOn w:val="Normal"/>
    <w:next w:val="Normal"/>
    <w:link w:val="Heading1Char"/>
    <w:uiPriority w:val="9"/>
    <w:qFormat/>
    <w:rsid w:val="00681334"/>
    <w:pPr>
      <w:keepNext/>
      <w:keepLines/>
      <w:pageBreakBefore/>
      <w:spacing w:after="240"/>
      <w:outlineLvl w:val="0"/>
    </w:pPr>
    <w:rPr>
      <w:rFonts w:asciiTheme="majorHAnsi" w:eastAsia="Yu Gothic Light" w:hAnsiTheme="majorHAnsi" w:cstheme="majorBidi"/>
      <w:b/>
      <w:sz w:val="48"/>
      <w:szCs w:val="32"/>
    </w:rPr>
  </w:style>
  <w:style w:type="paragraph" w:styleId="Heading2">
    <w:name w:val="heading 2"/>
    <w:basedOn w:val="Normal"/>
    <w:next w:val="Normal"/>
    <w:link w:val="Heading2Char"/>
    <w:autoRedefine/>
    <w:uiPriority w:val="9"/>
    <w:unhideWhenUsed/>
    <w:qFormat/>
    <w:rsid w:val="0014784B"/>
    <w:pPr>
      <w:keepNext/>
      <w:keepLines/>
      <w:pageBreakBefore/>
      <w:spacing w:before="40"/>
      <w:outlineLvl w:val="1"/>
    </w:pPr>
    <w:rPr>
      <w:rFonts w:asciiTheme="majorHAnsi" w:eastAsia="Yu Gothic Light" w:hAnsiTheme="majorHAnsi" w:cstheme="majorBidi"/>
      <w:b/>
      <w:color w:val="000000" w:themeColor="text1"/>
      <w:sz w:val="36"/>
      <w:szCs w:val="26"/>
    </w:rPr>
  </w:style>
  <w:style w:type="paragraph" w:styleId="Heading3">
    <w:name w:val="heading 3"/>
    <w:basedOn w:val="Normal"/>
    <w:next w:val="Normal"/>
    <w:link w:val="Heading3Char"/>
    <w:uiPriority w:val="9"/>
    <w:unhideWhenUsed/>
    <w:qFormat/>
    <w:rsid w:val="00D608D4"/>
    <w:pPr>
      <w:shd w:val="clear" w:color="auto" w:fill="FFFFFF"/>
      <w:suppressAutoHyphens w:val="0"/>
      <w:spacing w:before="240" w:after="240"/>
      <w:ind w:firstLine="0"/>
      <w:textAlignment w:val="auto"/>
      <w:outlineLvl w:val="2"/>
    </w:pPr>
    <w:rPr>
      <w:rFonts w:eastAsia="Times New Roman" w:cs="Calibri"/>
      <w:b/>
      <w:color w:val="000000"/>
      <w:u w:val="single"/>
    </w:rPr>
  </w:style>
  <w:style w:type="paragraph" w:styleId="Heading4">
    <w:name w:val="heading 4"/>
    <w:basedOn w:val="Normal"/>
    <w:next w:val="Normal"/>
    <w:link w:val="Heading4Char"/>
    <w:uiPriority w:val="9"/>
    <w:unhideWhenUsed/>
    <w:qFormat/>
    <w:rsid w:val="00D608D4"/>
    <w:pPr>
      <w:shd w:val="clear" w:color="auto" w:fill="FFFFFF"/>
      <w:suppressAutoHyphens w:val="0"/>
      <w:spacing w:before="240" w:after="240"/>
      <w:ind w:firstLine="0"/>
      <w:textAlignment w:val="auto"/>
      <w:outlineLvl w:val="3"/>
    </w:pPr>
    <w:rPr>
      <w:rFonts w:eastAsia="Times New Roman" w:cs="Calibri"/>
      <w:color w:val="00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334"/>
    <w:rPr>
      <w:rFonts w:asciiTheme="majorHAnsi" w:eastAsia="Yu Gothic Light" w:hAnsiTheme="majorHAnsi" w:cstheme="majorBidi"/>
      <w:b/>
      <w:sz w:val="48"/>
      <w:szCs w:val="32"/>
      <w:lang w:val="en-GB" w:eastAsia="en-GB"/>
    </w:rPr>
  </w:style>
  <w:style w:type="paragraph" w:styleId="Caption">
    <w:name w:val="caption"/>
    <w:basedOn w:val="Normal"/>
    <w:next w:val="Normal"/>
    <w:uiPriority w:val="35"/>
    <w:unhideWhenUsed/>
    <w:qFormat/>
    <w:rsid w:val="00F40B97"/>
    <w:pPr>
      <w:spacing w:after="200" w:line="240" w:lineRule="auto"/>
      <w:ind w:firstLine="0"/>
    </w:pPr>
    <w:rPr>
      <w:iCs/>
    </w:rPr>
  </w:style>
  <w:style w:type="character" w:styleId="IntenseReference">
    <w:name w:val="Intense Reference"/>
    <w:basedOn w:val="DefaultParagraphFont"/>
    <w:uiPriority w:val="32"/>
    <w:qFormat/>
    <w:rsid w:val="00F40B97"/>
    <w:rPr>
      <w:b/>
      <w:bCs/>
      <w:smallCaps/>
      <w:color w:val="4472C4" w:themeColor="accent1"/>
      <w:spacing w:val="5"/>
    </w:rPr>
  </w:style>
  <w:style w:type="character" w:customStyle="1" w:styleId="Heading2Char">
    <w:name w:val="Heading 2 Char"/>
    <w:basedOn w:val="DefaultParagraphFont"/>
    <w:link w:val="Heading2"/>
    <w:uiPriority w:val="9"/>
    <w:rsid w:val="0014784B"/>
    <w:rPr>
      <w:rFonts w:asciiTheme="majorHAnsi" w:eastAsia="Yu Gothic Light" w:hAnsiTheme="majorHAnsi" w:cstheme="majorBidi"/>
      <w:b/>
      <w:color w:val="000000" w:themeColor="text1"/>
      <w:sz w:val="36"/>
      <w:szCs w:val="26"/>
      <w:lang w:val="en-GB" w:eastAsia="en-GB"/>
    </w:rPr>
  </w:style>
  <w:style w:type="character" w:customStyle="1" w:styleId="Heading3Char">
    <w:name w:val="Heading 3 Char"/>
    <w:basedOn w:val="DefaultParagraphFont"/>
    <w:link w:val="Heading3"/>
    <w:uiPriority w:val="9"/>
    <w:rsid w:val="00D608D4"/>
    <w:rPr>
      <w:rFonts w:ascii="Calibri" w:eastAsia="Times New Roman" w:hAnsi="Calibri" w:cs="Calibri"/>
      <w:b/>
      <w:color w:val="000000"/>
      <w:sz w:val="22"/>
      <w:szCs w:val="22"/>
      <w:u w:val="single"/>
      <w:shd w:val="clear" w:color="auto" w:fill="FFFFFF"/>
      <w:lang w:val="en-GB" w:eastAsia="en-GB"/>
    </w:rPr>
  </w:style>
  <w:style w:type="character" w:styleId="Hyperlink">
    <w:name w:val="Hyperlink"/>
    <w:basedOn w:val="DefaultParagraphFont"/>
    <w:rsid w:val="00645D53"/>
    <w:rPr>
      <w:color w:val="0563C1"/>
      <w:u w:val="single"/>
    </w:rPr>
  </w:style>
  <w:style w:type="character" w:styleId="CommentReference">
    <w:name w:val="annotation reference"/>
    <w:basedOn w:val="DefaultParagraphFont"/>
    <w:uiPriority w:val="99"/>
    <w:rsid w:val="00645D53"/>
    <w:rPr>
      <w:sz w:val="16"/>
      <w:szCs w:val="16"/>
    </w:rPr>
  </w:style>
  <w:style w:type="paragraph" w:styleId="CommentText">
    <w:name w:val="annotation text"/>
    <w:basedOn w:val="Normal"/>
    <w:link w:val="CommentTextChar"/>
    <w:uiPriority w:val="99"/>
    <w:rsid w:val="00645D53"/>
    <w:pPr>
      <w:spacing w:line="240" w:lineRule="auto"/>
    </w:pPr>
    <w:rPr>
      <w:sz w:val="20"/>
      <w:szCs w:val="20"/>
    </w:rPr>
  </w:style>
  <w:style w:type="character" w:customStyle="1" w:styleId="CommentTextChar">
    <w:name w:val="Comment Text Char"/>
    <w:basedOn w:val="DefaultParagraphFont"/>
    <w:link w:val="CommentText"/>
    <w:uiPriority w:val="99"/>
    <w:rsid w:val="00645D53"/>
    <w:rPr>
      <w:rFonts w:ascii="Calibri" w:eastAsia="Calibri" w:hAnsi="Calibri" w:cs="Times New Roman"/>
      <w:sz w:val="20"/>
      <w:szCs w:val="20"/>
      <w:lang w:val="en-GB" w:eastAsia="en-GB"/>
    </w:rPr>
  </w:style>
  <w:style w:type="paragraph" w:styleId="BalloonText">
    <w:name w:val="Balloon Text"/>
    <w:basedOn w:val="Normal"/>
    <w:link w:val="BalloonTextChar"/>
    <w:uiPriority w:val="99"/>
    <w:semiHidden/>
    <w:unhideWhenUsed/>
    <w:rsid w:val="00645D53"/>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45D53"/>
    <w:rPr>
      <w:rFonts w:ascii="Times New Roman" w:eastAsia="Calibri" w:hAnsi="Times New Roman" w:cs="Times New Roman"/>
      <w:sz w:val="18"/>
      <w:szCs w:val="18"/>
      <w:lang w:val="en-GB" w:eastAsia="en-GB"/>
    </w:rPr>
  </w:style>
  <w:style w:type="paragraph" w:styleId="Quote">
    <w:name w:val="Quote"/>
    <w:basedOn w:val="Normal"/>
    <w:next w:val="Normal"/>
    <w:link w:val="QuoteChar"/>
    <w:uiPriority w:val="29"/>
    <w:qFormat/>
    <w:rsid w:val="00645D53"/>
  </w:style>
  <w:style w:type="character" w:customStyle="1" w:styleId="QuoteChar">
    <w:name w:val="Quote Char"/>
    <w:basedOn w:val="DefaultParagraphFont"/>
    <w:link w:val="Quote"/>
    <w:uiPriority w:val="29"/>
    <w:rsid w:val="00645D53"/>
    <w:rPr>
      <w:rFonts w:ascii="Calibri" w:eastAsia="Calibri" w:hAnsi="Calibri" w:cs="Times New Roman"/>
      <w:sz w:val="22"/>
      <w:szCs w:val="22"/>
      <w:lang w:val="en-GB" w:eastAsia="en-GB"/>
    </w:rPr>
  </w:style>
  <w:style w:type="character" w:styleId="Strong">
    <w:name w:val="Strong"/>
    <w:basedOn w:val="DefaultParagraphFont"/>
    <w:uiPriority w:val="22"/>
    <w:qFormat/>
    <w:rsid w:val="00645D53"/>
    <w:rPr>
      <w:b/>
      <w:bCs/>
    </w:rPr>
  </w:style>
  <w:style w:type="character" w:styleId="Emphasis">
    <w:name w:val="Emphasis"/>
    <w:basedOn w:val="DefaultParagraphFont"/>
    <w:uiPriority w:val="20"/>
    <w:qFormat/>
    <w:rsid w:val="00645D53"/>
    <w:rPr>
      <w:i/>
      <w:iCs/>
    </w:rPr>
  </w:style>
  <w:style w:type="paragraph" w:styleId="Footer">
    <w:name w:val="footer"/>
    <w:basedOn w:val="Normal"/>
    <w:link w:val="FooterChar"/>
    <w:rsid w:val="00645D53"/>
    <w:pPr>
      <w:tabs>
        <w:tab w:val="center" w:pos="4513"/>
        <w:tab w:val="right" w:pos="9026"/>
      </w:tabs>
      <w:spacing w:line="240" w:lineRule="auto"/>
    </w:pPr>
  </w:style>
  <w:style w:type="character" w:customStyle="1" w:styleId="FooterChar">
    <w:name w:val="Footer Char"/>
    <w:basedOn w:val="DefaultParagraphFont"/>
    <w:link w:val="Footer"/>
    <w:rsid w:val="00645D53"/>
    <w:rPr>
      <w:rFonts w:ascii="Calibri" w:eastAsia="Calibri" w:hAnsi="Calibri" w:cs="Times New Roman"/>
      <w:sz w:val="22"/>
      <w:szCs w:val="22"/>
      <w:lang w:val="en-GB" w:eastAsia="en-GB"/>
    </w:rPr>
  </w:style>
  <w:style w:type="character" w:styleId="PageNumber">
    <w:name w:val="page number"/>
    <w:basedOn w:val="DefaultParagraphFont"/>
    <w:uiPriority w:val="99"/>
    <w:semiHidden/>
    <w:unhideWhenUsed/>
    <w:rsid w:val="00645D53"/>
  </w:style>
  <w:style w:type="character" w:styleId="LineNumber">
    <w:name w:val="line number"/>
    <w:basedOn w:val="DefaultParagraphFont"/>
    <w:uiPriority w:val="99"/>
    <w:semiHidden/>
    <w:unhideWhenUsed/>
    <w:rsid w:val="00645D53"/>
  </w:style>
  <w:style w:type="paragraph" w:styleId="CommentSubject">
    <w:name w:val="annotation subject"/>
    <w:basedOn w:val="CommentText"/>
    <w:next w:val="CommentText"/>
    <w:link w:val="CommentSubjectChar"/>
    <w:uiPriority w:val="99"/>
    <w:semiHidden/>
    <w:unhideWhenUsed/>
    <w:rsid w:val="007D4683"/>
    <w:rPr>
      <w:b/>
      <w:bCs/>
    </w:rPr>
  </w:style>
  <w:style w:type="character" w:customStyle="1" w:styleId="CommentSubjectChar">
    <w:name w:val="Comment Subject Char"/>
    <w:basedOn w:val="CommentTextChar"/>
    <w:link w:val="CommentSubject"/>
    <w:uiPriority w:val="99"/>
    <w:semiHidden/>
    <w:rsid w:val="007D4683"/>
    <w:rPr>
      <w:rFonts w:ascii="Calibri" w:eastAsia="Calibri" w:hAnsi="Calibri" w:cs="Times New Roman"/>
      <w:b/>
      <w:bCs/>
      <w:sz w:val="20"/>
      <w:szCs w:val="20"/>
      <w:lang w:val="en-GB" w:eastAsia="en-GB"/>
    </w:rPr>
  </w:style>
  <w:style w:type="character" w:customStyle="1" w:styleId="Heading4Char">
    <w:name w:val="Heading 4 Char"/>
    <w:basedOn w:val="DefaultParagraphFont"/>
    <w:link w:val="Heading4"/>
    <w:uiPriority w:val="9"/>
    <w:rsid w:val="00D608D4"/>
    <w:rPr>
      <w:rFonts w:ascii="Calibri" w:eastAsia="Times New Roman" w:hAnsi="Calibri" w:cs="Calibri"/>
      <w:color w:val="000000"/>
      <w:sz w:val="22"/>
      <w:szCs w:val="22"/>
      <w:u w:val="single"/>
      <w:shd w:val="clear" w:color="auto" w:fill="FFFFFF"/>
      <w:lang w:val="en-GB" w:eastAsia="en-GB"/>
    </w:rPr>
  </w:style>
  <w:style w:type="paragraph" w:styleId="Revision">
    <w:name w:val="Revision"/>
    <w:hidden/>
    <w:uiPriority w:val="99"/>
    <w:semiHidden/>
    <w:rsid w:val="0014784B"/>
    <w:rPr>
      <w:rFonts w:ascii="Calibri" w:eastAsia="Calibri" w:hAnsi="Calibri" w:cs="Times New Roman"/>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swell.barry@ucl.ac.uk"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g.casali@ucl.ac.uk" TargetMode="External"/><Relationship Id="rId12" Type="http://schemas.openxmlformats.org/officeDocument/2006/relationships/image" Target="media/image4.png"/><Relationship Id="rId17" Type="http://schemas.openxmlformats.org/officeDocument/2006/relationships/hyperlink" Target="https://pni.princeton.edu/pni-software-tools/virmen"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4F1E9-C758-4DFF-AB2B-41D7EC14F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4262</Words>
  <Characters>24294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Casali, Giulio</dc:creator>
  <cp:keywords/>
  <dc:description/>
  <cp:lastModifiedBy>Frontiers</cp:lastModifiedBy>
  <cp:revision>2</cp:revision>
  <cp:lastPrinted>2018-12-17T18:18:00Z</cp:lastPrinted>
  <dcterms:created xsi:type="dcterms:W3CDTF">2019-01-04T13:43:00Z</dcterms:created>
  <dcterms:modified xsi:type="dcterms:W3CDTF">2019-01-04T13:43:00Z</dcterms:modified>
</cp:coreProperties>
</file>