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DA" w:rsidRDefault="00B01EDA" w:rsidP="00B01EDA">
      <w:pPr>
        <w:adjustRightInd w:val="0"/>
        <w:snapToGrid w:val="0"/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CD5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B01EDA" w:rsidRPr="00447CD5" w:rsidRDefault="00B01EDA" w:rsidP="00B01EDA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7CD5">
        <w:rPr>
          <w:rFonts w:ascii="Times New Roman" w:hAnsi="Times New Roman" w:cs="Times New Roman"/>
          <w:b/>
          <w:kern w:val="0"/>
          <w:sz w:val="24"/>
          <w:szCs w:val="24"/>
        </w:rPr>
        <w:t>Fig. S1</w:t>
      </w:r>
      <w:r w:rsidRPr="00447CD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447CD5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Pr="00447CD5">
        <w:rPr>
          <w:rFonts w:ascii="Times New Roman" w:hAnsi="Times New Roman" w:cs="Times New Roman"/>
          <w:sz w:val="24"/>
          <w:szCs w:val="24"/>
        </w:rPr>
        <w:t>hylogenetic tree for partial sequences of cloned ITS regions and most closely related fungi. Clones are indicated by their code and accession number</w:t>
      </w:r>
      <w:r w:rsidRPr="00447CD5">
        <w:rPr>
          <w:rFonts w:ascii="Times New Roman" w:eastAsia="SimHei" w:hAnsi="Times New Roman" w:cs="Times New Roman"/>
          <w:sz w:val="24"/>
          <w:szCs w:val="24"/>
        </w:rPr>
        <w:t xml:space="preserve"> (NCBI)</w:t>
      </w:r>
    </w:p>
    <w:p w:rsidR="00B01EDA" w:rsidRPr="00E727DF" w:rsidRDefault="00B01EDA" w:rsidP="00B01EDA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40909" cy="3689350"/>
            <wp:effectExtent l="19050" t="0" r="7441" b="0"/>
            <wp:docPr id="7" name="图片 1" descr="C:\Users\lenovo\Desktop\T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-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09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DA" w:rsidRPr="00447CD5" w:rsidRDefault="00B01EDA" w:rsidP="00B01EDA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/>
          <w:b/>
          <w:szCs w:val="21"/>
        </w:rPr>
      </w:pPr>
      <w:r w:rsidRPr="00447CD5">
        <w:rPr>
          <w:rFonts w:ascii="Times New Roman" w:hAnsi="Times New Roman" w:hint="eastAsia"/>
          <w:b/>
          <w:szCs w:val="21"/>
        </w:rPr>
        <w:t>Fig. S1</w:t>
      </w:r>
    </w:p>
    <w:p w:rsidR="00B01EDA" w:rsidRDefault="00B01EDA" w:rsidP="00B01EDA">
      <w:pPr>
        <w:adjustRightInd w:val="0"/>
        <w:snapToGrid w:val="0"/>
        <w:spacing w:beforeLines="50" w:before="156" w:afterLines="50" w:after="156" w:line="480" w:lineRule="auto"/>
        <w:rPr>
          <w:rFonts w:ascii="Times New Roman" w:hAnsi="Times New Roman" w:cs="Times New Roman"/>
          <w:b/>
          <w:bCs/>
          <w:spacing w:val="2"/>
          <w:sz w:val="20"/>
          <w:szCs w:val="20"/>
          <w:lang w:val="en-GB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beforeLines="50" w:before="156" w:afterLines="50" w:after="156" w:line="480" w:lineRule="auto"/>
        <w:rPr>
          <w:rFonts w:ascii="Times New Roman" w:hAnsi="Times New Roman" w:cs="Times New Roman"/>
          <w:b/>
          <w:bCs/>
          <w:spacing w:val="2"/>
          <w:sz w:val="20"/>
          <w:szCs w:val="20"/>
          <w:lang w:val="en-GB"/>
        </w:rPr>
        <w:sectPr w:rsidR="00B01EDA" w:rsidSect="008C3A9B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01EDA" w:rsidRDefault="00B01EDA" w:rsidP="00B01EDA">
      <w:pPr>
        <w:widowControl/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OLE_LINK123"/>
      <w:bookmarkStart w:id="1" w:name="OLE_LINK124"/>
      <w:r w:rsidRPr="00447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 </w:t>
      </w:r>
      <w:r w:rsidRPr="00447CD5">
        <w:rPr>
          <w:rFonts w:ascii="Times New Roman" w:hAnsi="Times New Roman" w:cs="Times New Roman"/>
          <w:sz w:val="24"/>
          <w:szCs w:val="24"/>
        </w:rPr>
        <w:t>Results of GC-MS identification of soil chemi</w:t>
      </w:r>
      <w:r w:rsidRPr="00447CD5">
        <w:rPr>
          <w:rFonts w:ascii="Times New Roman" w:hAnsi="Times New Roman" w:cs="Times New Roman" w:hint="eastAsia"/>
          <w:sz w:val="24"/>
          <w:szCs w:val="24"/>
        </w:rPr>
        <w:t>cals</w:t>
      </w:r>
      <w:r w:rsidRPr="00447CD5">
        <w:rPr>
          <w:rFonts w:ascii="Times New Roman" w:hAnsi="Times New Roman" w:cs="Times New Roman"/>
          <w:sz w:val="24"/>
          <w:szCs w:val="24"/>
        </w:rPr>
        <w:t xml:space="preserve"> according to the National Institute of Standards and Technology database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842"/>
      </w:tblGrid>
      <w:tr w:rsidR="00B01EDA" w:rsidRPr="000436A5" w:rsidTr="003E7560">
        <w:trPr>
          <w:trHeight w:val="510"/>
        </w:trPr>
        <w:tc>
          <w:tcPr>
            <w:tcW w:w="1101" w:type="dxa"/>
            <w:vMerge w:val="restart"/>
            <w:tcBorders>
              <w:top w:val="single" w:sz="12" w:space="0" w:color="00B050"/>
              <w:bottom w:val="single" w:sz="4" w:space="0" w:color="00B050"/>
            </w:tcBorders>
            <w:noWrap/>
            <w:hideMark/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1701" w:type="dxa"/>
            <w:vMerge w:val="restart"/>
            <w:tcBorders>
              <w:top w:val="single" w:sz="12" w:space="0" w:color="00B050"/>
              <w:bottom w:val="single" w:sz="4" w:space="0" w:color="00B050"/>
            </w:tcBorders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b/>
                <w:sz w:val="20"/>
                <w:szCs w:val="20"/>
              </w:rPr>
              <w:t>Retention time</w:t>
            </w:r>
          </w:p>
        </w:tc>
        <w:tc>
          <w:tcPr>
            <w:tcW w:w="6945" w:type="dxa"/>
            <w:gridSpan w:val="4"/>
            <w:tcBorders>
              <w:top w:val="single" w:sz="12" w:space="0" w:color="00B050"/>
              <w:bottom w:val="single" w:sz="4" w:space="0" w:color="00B050"/>
            </w:tcBorders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b/>
                <w:sz w:val="20"/>
                <w:szCs w:val="20"/>
              </w:rPr>
              <w:t>Peak area (%)</w:t>
            </w:r>
          </w:p>
        </w:tc>
      </w:tr>
      <w:tr w:rsidR="00B01EDA" w:rsidRPr="000436A5" w:rsidTr="003E7560">
        <w:trPr>
          <w:trHeight w:val="335"/>
        </w:trPr>
        <w:tc>
          <w:tcPr>
            <w:tcW w:w="1101" w:type="dxa"/>
            <w:vMerge/>
            <w:tcBorders>
              <w:bottom w:val="single" w:sz="4" w:space="0" w:color="00B050"/>
            </w:tcBorders>
            <w:noWrap/>
            <w:hideMark/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B050"/>
            </w:tcBorders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b/>
                <w:sz w:val="20"/>
                <w:szCs w:val="20"/>
              </w:rPr>
              <w:t>CK</w:t>
            </w:r>
          </w:p>
        </w:tc>
        <w:tc>
          <w:tcPr>
            <w:tcW w:w="1701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0436A5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0436A5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842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0436A5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b/>
                <w:sz w:val="20"/>
                <w:szCs w:val="20"/>
              </w:rPr>
              <w:t>TM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tcBorders>
              <w:top w:val="single" w:sz="4" w:space="0" w:color="00B050"/>
            </w:tcBorders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</w:t>
            </w:r>
          </w:p>
        </w:tc>
        <w:tc>
          <w:tcPr>
            <w:tcW w:w="1701" w:type="dxa"/>
            <w:tcBorders>
              <w:top w:val="single" w:sz="4" w:space="0" w:color="00B050"/>
            </w:tcBorders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10.415</w:t>
            </w:r>
          </w:p>
        </w:tc>
        <w:tc>
          <w:tcPr>
            <w:tcW w:w="1701" w:type="dxa"/>
            <w:tcBorders>
              <w:top w:val="single" w:sz="4" w:space="0" w:color="00B050"/>
            </w:tcBorders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1701" w:type="dxa"/>
            <w:tcBorders>
              <w:top w:val="single" w:sz="4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701" w:type="dxa"/>
            <w:tcBorders>
              <w:top w:val="single" w:sz="4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842" w:type="dxa"/>
            <w:tcBorders>
              <w:top w:val="single" w:sz="4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10.590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10.972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12.069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0.196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12.171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12.308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12.722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12.872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13.343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0.711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0.659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14.216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14.593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14.795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14.997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15.337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15.675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15.738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15.88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16.259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1.304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1.474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1.508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GC19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16.363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16.717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17.029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0.789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0.891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0.839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17.475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17.489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0.691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17.536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17.703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17.941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18.209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18.345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0.657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GC29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18.449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18.588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1.108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18.919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0.717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GC33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19.058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1.111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1.556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1.215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19.299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19.465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19.725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1.155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19.92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0.409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GC39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20.037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20.356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0.341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20.611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20.921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21.048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21.152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21.22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21.31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21.473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0.607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21.695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GC49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21.905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22.061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22.216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23.034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23.322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23.466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23.621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23.754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23.895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24.574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GC59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25.664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26.855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26.934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27.145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27.355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27.785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29.827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30.139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32.044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0.267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32.288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0.784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GC69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32.804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33.675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GC71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34.615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34.62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0.695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35.033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35.262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35.599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0.176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36.074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1.499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36.246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1.214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36.816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1.407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0.415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1.584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1.450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GC79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36.99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37.301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1.028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37.325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37.536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37.548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38.423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0.749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39.331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1.051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39.884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0.473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40.272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3.966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5.507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4.740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40.948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GC89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40.974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41.249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1.343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41.282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41.56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GC93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42.150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GC94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42.962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1.132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GC95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45.771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46.06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GC97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46.489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0.781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noWrap/>
            <w:vAlign w:val="center"/>
            <w:hideMark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GC98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47.071</w:t>
            </w:r>
          </w:p>
        </w:tc>
        <w:tc>
          <w:tcPr>
            <w:tcW w:w="1701" w:type="dxa"/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1701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2" w:type="dxa"/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</w:tr>
      <w:tr w:rsidR="00B01EDA" w:rsidRPr="000436A5" w:rsidTr="003E7560">
        <w:trPr>
          <w:trHeight w:val="284"/>
        </w:trPr>
        <w:tc>
          <w:tcPr>
            <w:tcW w:w="1101" w:type="dxa"/>
            <w:tcBorders>
              <w:bottom w:val="single" w:sz="12" w:space="0" w:color="00B050"/>
            </w:tcBorders>
            <w:noWrap/>
            <w:hideMark/>
          </w:tcPr>
          <w:p w:rsidR="00B01EDA" w:rsidRPr="00417AEC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GC99</w:t>
            </w:r>
          </w:p>
        </w:tc>
        <w:tc>
          <w:tcPr>
            <w:tcW w:w="1701" w:type="dxa"/>
            <w:tcBorders>
              <w:bottom w:val="single" w:sz="12" w:space="0" w:color="00B050"/>
            </w:tcBorders>
            <w:vAlign w:val="center"/>
          </w:tcPr>
          <w:p w:rsidR="00B01EDA" w:rsidRPr="00417AEC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47.375</w:t>
            </w:r>
          </w:p>
        </w:tc>
        <w:tc>
          <w:tcPr>
            <w:tcW w:w="1701" w:type="dxa"/>
            <w:tcBorders>
              <w:bottom w:val="single" w:sz="12" w:space="0" w:color="00B050"/>
            </w:tcBorders>
            <w:vAlign w:val="center"/>
          </w:tcPr>
          <w:p w:rsidR="00B01EDA" w:rsidRPr="00417AEC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17AE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01" w:type="dxa"/>
            <w:tcBorders>
              <w:bottom w:val="single" w:sz="12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1701" w:type="dxa"/>
            <w:tcBorders>
              <w:bottom w:val="single" w:sz="12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842" w:type="dxa"/>
            <w:tcBorders>
              <w:bottom w:val="single" w:sz="12" w:space="0" w:color="00B050"/>
            </w:tcBorders>
            <w:vAlign w:val="center"/>
          </w:tcPr>
          <w:p w:rsidR="00B01EDA" w:rsidRPr="000436A5" w:rsidRDefault="00B01EDA" w:rsidP="003E756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36A5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</w:tbl>
    <w:p w:rsidR="00B01EDA" w:rsidRPr="00447CD5" w:rsidRDefault="00B01EDA" w:rsidP="00B01EDA">
      <w:pPr>
        <w:adjustRightInd w:val="0"/>
        <w:snapToGrid w:val="0"/>
        <w:spacing w:beforeLines="50" w:before="120" w:afterLines="50" w:after="120" w:line="360" w:lineRule="auto"/>
        <w:rPr>
          <w:rFonts w:ascii="Times New Roman" w:hAnsi="Times New Roman" w:cs="Times New Roman"/>
          <w:spacing w:val="1"/>
          <w:szCs w:val="21"/>
        </w:rPr>
        <w:sectPr w:rsidR="00B01EDA" w:rsidRPr="00447CD5" w:rsidSect="0046449B">
          <w:type w:val="continuous"/>
          <w:pgSz w:w="11906" w:h="16838"/>
          <w:pgMar w:top="1440" w:right="1077" w:bottom="1440" w:left="1077" w:header="851" w:footer="992" w:gutter="0"/>
          <w:cols w:space="425"/>
          <w:docGrid w:linePitch="312"/>
        </w:sectPr>
      </w:pPr>
      <w:r w:rsidRPr="00447CD5">
        <w:rPr>
          <w:rFonts w:ascii="Times New Roman" w:hAnsi="Times New Roman" w:cs="Times New Roman"/>
          <w:szCs w:val="21"/>
        </w:rPr>
        <w:t xml:space="preserve">Notes: </w:t>
      </w:r>
      <w:r w:rsidRPr="00447CD5">
        <w:rPr>
          <w:rFonts w:ascii="Times New Roman" w:hAnsi="Times New Roman" w:cs="Times New Roman"/>
          <w:kern w:val="0"/>
          <w:szCs w:val="21"/>
        </w:rPr>
        <w:t>ID indicates the identifying number of each soil chemical via GC-MS</w:t>
      </w:r>
      <w:r w:rsidRPr="00447CD5">
        <w:rPr>
          <w:rFonts w:ascii="Times New Roman" w:hAnsi="Times New Roman" w:cs="Times New Roman"/>
          <w:szCs w:val="21"/>
        </w:rPr>
        <w:t xml:space="preserve">, and peak area represents the mean relative abundance value of three replicates. 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>CK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: </w:t>
      </w:r>
      <w:r w:rsidRPr="00447CD5">
        <w:rPr>
          <w:rFonts w:ascii="Times New Roman" w:hAnsi="Times New Roman" w:cs="Times New Roman"/>
          <w:spacing w:val="1"/>
          <w:szCs w:val="21"/>
        </w:rPr>
        <w:t xml:space="preserve">no </w:t>
      </w:r>
      <w:r w:rsidRPr="00447CD5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447CD5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447CD5">
        <w:rPr>
          <w:rFonts w:ascii="Times New Roman" w:hAnsi="Times New Roman" w:cs="Times New Roman"/>
          <w:spacing w:val="1"/>
          <w:szCs w:val="21"/>
        </w:rPr>
        <w:t xml:space="preserve"> </w:t>
      </w:r>
      <w:r w:rsidRPr="00447CD5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447CD5">
        <w:rPr>
          <w:rFonts w:ascii="Times New Roman" w:hAnsi="Times New Roman" w:cs="Times New Roman"/>
          <w:spacing w:val="1"/>
          <w:szCs w:val="21"/>
        </w:rPr>
        <w:t>not mowed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; 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>T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: </w:t>
      </w:r>
      <w:r w:rsidRPr="00447CD5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447CD5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447CD5">
        <w:rPr>
          <w:rFonts w:ascii="Times New Roman" w:hAnsi="Times New Roman" w:cs="Times New Roman"/>
          <w:spacing w:val="1"/>
          <w:szCs w:val="21"/>
        </w:rPr>
        <w:t xml:space="preserve"> </w:t>
      </w:r>
      <w:r w:rsidRPr="00447CD5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447CD5">
        <w:rPr>
          <w:rFonts w:ascii="Times New Roman" w:hAnsi="Times New Roman" w:cs="Times New Roman"/>
          <w:spacing w:val="1"/>
          <w:szCs w:val="21"/>
        </w:rPr>
        <w:t>not mowed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; 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>M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: </w:t>
      </w:r>
      <w:r w:rsidRPr="00447CD5">
        <w:rPr>
          <w:rFonts w:ascii="Times New Roman" w:hAnsi="Times New Roman" w:cs="Times New Roman"/>
          <w:spacing w:val="1"/>
          <w:szCs w:val="21"/>
        </w:rPr>
        <w:t xml:space="preserve">mowed </w:t>
      </w:r>
      <w:r w:rsidRPr="00447CD5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447CD5">
        <w:rPr>
          <w:rFonts w:ascii="Times New Roman" w:hAnsi="Times New Roman" w:cs="Times New Roman"/>
          <w:spacing w:val="1"/>
          <w:szCs w:val="21"/>
        </w:rPr>
        <w:t xml:space="preserve">no </w:t>
      </w:r>
      <w:r w:rsidRPr="00447CD5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447CD5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; 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>TM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>: mowed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 xml:space="preserve"> 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 xml:space="preserve">and </w:t>
      </w:r>
      <w:r w:rsidRPr="00447CD5">
        <w:rPr>
          <w:rFonts w:ascii="Times New Roman" w:hAnsi="Times New Roman" w:cs="Times New Roman" w:hint="eastAsia"/>
          <w:i/>
          <w:color w:val="000000" w:themeColor="text1"/>
          <w:spacing w:val="1"/>
          <w:szCs w:val="21"/>
        </w:rPr>
        <w:t>Trichoderma</w:t>
      </w:r>
      <w:r w:rsidRPr="00447CD5">
        <w:rPr>
          <w:rFonts w:ascii="Times New Roman" w:hAnsi="Times New Roman" w:cs="Times New Roman" w:hint="eastAsia"/>
          <w:color w:val="000000" w:themeColor="text1"/>
          <w:spacing w:val="1"/>
          <w:szCs w:val="21"/>
        </w:rPr>
        <w:t>-inoculated</w:t>
      </w:r>
      <w:r w:rsidRPr="00447CD5">
        <w:rPr>
          <w:rFonts w:ascii="Times New Roman" w:hAnsi="Times New Roman" w:cs="Times New Roman"/>
          <w:color w:val="000000" w:themeColor="text1"/>
          <w:spacing w:val="1"/>
          <w:szCs w:val="21"/>
        </w:rPr>
        <w:t>.</w:t>
      </w:r>
      <w:r w:rsidRPr="00447CD5">
        <w:rPr>
          <w:rFonts w:ascii="Times New Roman" w:eastAsia="LMIGE K+ Adv O T 863180fb" w:hAnsi="Times New Roman" w:cs="Times New Roman"/>
          <w:szCs w:val="21"/>
        </w:rPr>
        <w:t xml:space="preserve"> </w:t>
      </w:r>
      <w:r w:rsidRPr="00447CD5">
        <w:rPr>
          <w:rFonts w:ascii="Times New Roman" w:hAnsi="Times New Roman" w:cs="Times New Roman"/>
          <w:szCs w:val="21"/>
        </w:rPr>
        <w:t xml:space="preserve">Data are mean values of </w:t>
      </w:r>
      <w:r w:rsidRPr="00447CD5">
        <w:rPr>
          <w:rFonts w:ascii="Times New Roman" w:hAnsi="Times New Roman" w:cs="Times New Roman" w:hint="eastAsia"/>
          <w:szCs w:val="21"/>
        </w:rPr>
        <w:t>three</w:t>
      </w:r>
      <w:r w:rsidRPr="00447CD5">
        <w:rPr>
          <w:rFonts w:ascii="Times New Roman" w:hAnsi="Times New Roman" w:cs="Times New Roman"/>
          <w:szCs w:val="21"/>
        </w:rPr>
        <w:t xml:space="preserve"> replicates. </w:t>
      </w:r>
      <w:bookmarkStart w:id="2" w:name="_GoBack"/>
      <w:bookmarkEnd w:id="2"/>
    </w:p>
    <w:bookmarkEnd w:id="0"/>
    <w:bookmarkEnd w:id="1"/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  <w:sectPr w:rsidR="00B01EDA" w:rsidSect="0046449B">
          <w:type w:val="continuous"/>
          <w:pgSz w:w="11906" w:h="16838"/>
          <w:pgMar w:top="1440" w:right="1077" w:bottom="1440" w:left="1077" w:header="851" w:footer="992" w:gutter="0"/>
          <w:cols w:space="425"/>
          <w:docGrid w:linePitch="312"/>
        </w:sect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  <w:r w:rsidRPr="002B1427">
        <w:rPr>
          <w:rFonts w:ascii="Times New Roman" w:hAnsi="Times New Roman" w:cs="Times New Roman" w:hint="eastAsia"/>
          <w:b/>
          <w:bCs/>
          <w:spacing w:val="2"/>
          <w:sz w:val="24"/>
          <w:szCs w:val="24"/>
          <w:lang w:val="en-GB"/>
        </w:rPr>
        <w:lastRenderedPageBreak/>
        <w:t>Table S2</w:t>
      </w:r>
      <w:r w:rsidRPr="002B1427">
        <w:rPr>
          <w:rFonts w:ascii="Times New Roman" w:hAnsi="Times New Roman" w:cs="Times New Roman" w:hint="eastAsia"/>
          <w:bCs/>
          <w:spacing w:val="2"/>
          <w:sz w:val="24"/>
          <w:szCs w:val="24"/>
          <w:lang w:val="en-GB"/>
        </w:rPr>
        <w:t xml:space="preserve"> </w:t>
      </w:r>
      <w:r w:rsidRPr="002B1427">
        <w:rPr>
          <w:rFonts w:ascii="Times New Roman" w:hAnsi="Times New Roman" w:hint="eastAsia"/>
          <w:sz w:val="24"/>
          <w:szCs w:val="24"/>
        </w:rPr>
        <w:t>The relative abundance</w:t>
      </w:r>
      <w:r w:rsidRPr="002B1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(%) </w:t>
      </w:r>
      <w:r w:rsidRPr="002B1427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 w:hint="eastAsia"/>
          <w:sz w:val="24"/>
          <w:szCs w:val="24"/>
        </w:rPr>
        <w:t>top 5</w:t>
      </w:r>
      <w:r w:rsidRPr="002B1427">
        <w:rPr>
          <w:rFonts w:ascii="Times New Roman" w:hAnsi="Times New Roman" w:hint="eastAsia"/>
          <w:sz w:val="24"/>
          <w:szCs w:val="24"/>
        </w:rPr>
        <w:t xml:space="preserve">0 classified bacterial </w:t>
      </w:r>
      <w:r w:rsidRPr="002B1427">
        <w:rPr>
          <w:rFonts w:ascii="Times New Roman" w:eastAsia="SimSun" w:hAnsi="Times New Roman"/>
          <w:sz w:val="24"/>
          <w:szCs w:val="24"/>
        </w:rPr>
        <w:t>and fungal genera of</w:t>
      </w:r>
      <w:r w:rsidRPr="002B1427">
        <w:rPr>
          <w:rFonts w:ascii="Times New Roman" w:eastAsia="LMIGE K+ Adv O T 863180fb" w:hAnsi="Times New Roman" w:cs="Times New Roman"/>
          <w:sz w:val="24"/>
          <w:szCs w:val="24"/>
        </w:rPr>
        <w:t xml:space="preserve"> different treatments</w:t>
      </w: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418"/>
        <w:gridCol w:w="1417"/>
        <w:gridCol w:w="1843"/>
        <w:gridCol w:w="1417"/>
        <w:gridCol w:w="1418"/>
        <w:gridCol w:w="1417"/>
        <w:gridCol w:w="1701"/>
      </w:tblGrid>
      <w:tr w:rsidR="00B01EDA" w:rsidRPr="000436A5" w:rsidTr="003E7560">
        <w:trPr>
          <w:trHeight w:val="499"/>
        </w:trPr>
        <w:tc>
          <w:tcPr>
            <w:tcW w:w="7655" w:type="dxa"/>
            <w:gridSpan w:val="5"/>
            <w:tcBorders>
              <w:top w:val="single" w:sz="12" w:space="0" w:color="00B050"/>
              <w:bottom w:val="single" w:sz="4" w:space="0" w:color="00B050"/>
            </w:tcBorders>
            <w:noWrap/>
            <w:hideMark/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Bacteria</w:t>
            </w:r>
          </w:p>
        </w:tc>
        <w:tc>
          <w:tcPr>
            <w:tcW w:w="7796" w:type="dxa"/>
            <w:gridSpan w:val="5"/>
            <w:tcBorders>
              <w:top w:val="single" w:sz="12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Fungi</w:t>
            </w:r>
          </w:p>
        </w:tc>
      </w:tr>
      <w:tr w:rsidR="00B01EDA" w:rsidRPr="000436A5" w:rsidTr="003E7560">
        <w:trPr>
          <w:trHeight w:val="498"/>
        </w:trPr>
        <w:tc>
          <w:tcPr>
            <w:tcW w:w="1985" w:type="dxa"/>
            <w:tcBorders>
              <w:top w:val="single" w:sz="4" w:space="0" w:color="00B050"/>
              <w:bottom w:val="single" w:sz="4" w:space="0" w:color="00B050"/>
            </w:tcBorders>
            <w:noWrap/>
            <w:hideMark/>
          </w:tcPr>
          <w:p w:rsidR="00B01EDA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Genera</w:t>
            </w:r>
          </w:p>
        </w:tc>
        <w:tc>
          <w:tcPr>
            <w:tcW w:w="1418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CK</w:t>
            </w:r>
          </w:p>
        </w:tc>
        <w:tc>
          <w:tcPr>
            <w:tcW w:w="1417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</w:p>
        </w:tc>
        <w:tc>
          <w:tcPr>
            <w:tcW w:w="1418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TM</w:t>
            </w:r>
          </w:p>
        </w:tc>
        <w:tc>
          <w:tcPr>
            <w:tcW w:w="1843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Genera</w:t>
            </w:r>
          </w:p>
        </w:tc>
        <w:tc>
          <w:tcPr>
            <w:tcW w:w="1417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CK</w:t>
            </w:r>
          </w:p>
        </w:tc>
        <w:tc>
          <w:tcPr>
            <w:tcW w:w="1418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4" w:space="0" w:color="00B050"/>
              <w:bottom w:val="single" w:sz="4" w:space="0" w:color="00B050"/>
            </w:tcBorders>
          </w:tcPr>
          <w:p w:rsidR="00B01EDA" w:rsidRPr="004D4937" w:rsidRDefault="00B01EDA" w:rsidP="003E75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TM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tcBorders>
              <w:top w:val="single" w:sz="4" w:space="0" w:color="00B050"/>
            </w:tcBorders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0.28b</w:t>
            </w:r>
          </w:p>
        </w:tc>
        <w:tc>
          <w:tcPr>
            <w:tcW w:w="1417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6a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05c</w:t>
            </w:r>
          </w:p>
        </w:tc>
        <w:tc>
          <w:tcPr>
            <w:tcW w:w="1417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.13b</w:t>
            </w:r>
          </w:p>
        </w:tc>
        <w:tc>
          <w:tcPr>
            <w:tcW w:w="1843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Fusarium</w:t>
            </w:r>
          </w:p>
        </w:tc>
        <w:tc>
          <w:tcPr>
            <w:tcW w:w="1417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1.48a</w:t>
            </w:r>
          </w:p>
        </w:tc>
        <w:tc>
          <w:tcPr>
            <w:tcW w:w="1418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3.56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0.57ab</w:t>
            </w:r>
          </w:p>
        </w:tc>
        <w:tc>
          <w:tcPr>
            <w:tcW w:w="1417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1.12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0.28b</w:t>
            </w:r>
          </w:p>
        </w:tc>
        <w:tc>
          <w:tcPr>
            <w:tcW w:w="1701" w:type="dxa"/>
            <w:tcBorders>
              <w:top w:val="single" w:sz="4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5.08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0.39a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Kaistobacter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1.39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1.68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.10d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Mortierella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1.95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5.96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0.75a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0.69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4.90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0.43a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Lysobacter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1.49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10a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0.95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1.20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.07b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Alternaria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8.53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2.18a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0.33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0.99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0.51b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Rhodoplanes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.03c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Neonectria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5.72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1.47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Thermomonas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.11a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Myrothecium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3.30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1.27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3.72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2.76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Flavisolibacter</w:t>
            </w:r>
          </w:p>
        </w:tc>
        <w:tc>
          <w:tcPr>
            <w:tcW w:w="1418" w:type="dxa"/>
            <w:vAlign w:val="center"/>
          </w:tcPr>
          <w:p w:rsidR="00B01EDA" w:rsidRPr="007A39A2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0.50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7A39A2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0.73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7A39A2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0.00b</w:t>
            </w:r>
          </w:p>
        </w:tc>
        <w:tc>
          <w:tcPr>
            <w:tcW w:w="1417" w:type="dxa"/>
            <w:vAlign w:val="center"/>
          </w:tcPr>
          <w:p w:rsidR="00B01EDA" w:rsidRPr="007A39A2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7A39A2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Mortierella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1.39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3.06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0.80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2.71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Nitrospira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02c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.03c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Pyrenochaeta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6.81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5.94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0.31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Sphingomonas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03d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Plectosphaerella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1.74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0.53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Janthinobacterium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06a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Volutella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2.32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0.51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0.91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Hyphomicrobium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.04c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Penicillium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1.22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1.59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Streptomyces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02d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.06b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Pseudogymnoascus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Flavobacterium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.07b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Clonostachys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0.82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0.73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Arthrobacter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28a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.05ab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Cladosporium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Novosphingobium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05a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Staphylotrichum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0.56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1.20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Candidatus Nitrososphaera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0.34a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19a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08a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.11a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Gibberella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Steroidobacter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Preussia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0.57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Bradyrhizobium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Madurella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Rhodobacter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.06a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Lulworthia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0.38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0.93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Candidatus Solibacter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03c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.01c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Tetracladium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0.60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Mycoplana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.04b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Villosiclava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0.85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Sphingopyxis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06a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Podospora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Rubrivivax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.00b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Didymosphaeria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Phenylobacterium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05a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Westerdykella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Skermanella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.04a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Ilyonectria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0.42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Arenimonas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.04a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Mortierella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0.38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Pseudoxanthomonas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Mortierella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GOUTA19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Arthrographis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0.65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Thiobacillus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Scleroderma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Anaeromyxobacter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Acremonium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Talaromyces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Agromyces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Lecythophora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Sphingobium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.34a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Hypocrea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Stenotrophomonas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.04a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Zopfiella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Adhaeribacter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Metarhizium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Flavihumibacter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Stachybotrys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Parasegitibacter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Trichoderma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Pedobacter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Cercophora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Euzebya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Bionectria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Rhodocytophaga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.07a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Scutellinia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Anaerolinea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04a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Aspergillus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Pontibacter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01c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Pseudeurotium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Nannocystis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.03ab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Hymenochaete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Bacillus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02ab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Chaetomium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Sporosarcina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Stachybotrys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Mycobacterium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00c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Emericella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Balneimonas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.02a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Pseudallescheria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Polaromonas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Monoblepharella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0.08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Afifella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Coprinopsis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0.06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Methylotenera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0.13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01a</w:t>
            </w:r>
          </w:p>
        </w:tc>
        <w:tc>
          <w:tcPr>
            <w:tcW w:w="1418" w:type="dxa"/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0.09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01b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.01ab</w:t>
            </w:r>
          </w:p>
        </w:tc>
        <w:tc>
          <w:tcPr>
            <w:tcW w:w="1843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Massarina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1417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1701" w:type="dxa"/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0.05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B01EDA" w:rsidRPr="000436A5" w:rsidTr="003E7560">
        <w:trPr>
          <w:trHeight w:val="284"/>
        </w:trPr>
        <w:tc>
          <w:tcPr>
            <w:tcW w:w="1985" w:type="dxa"/>
            <w:tcBorders>
              <w:bottom w:val="single" w:sz="12" w:space="0" w:color="00B050"/>
            </w:tcBorders>
            <w:noWrap/>
            <w:vAlign w:val="center"/>
            <w:hideMark/>
          </w:tcPr>
          <w:p w:rsidR="00B01EDA" w:rsidRPr="00C725AB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Phormidium</w:t>
            </w:r>
          </w:p>
        </w:tc>
        <w:tc>
          <w:tcPr>
            <w:tcW w:w="1418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0.00a</w:t>
            </w:r>
          </w:p>
        </w:tc>
        <w:tc>
          <w:tcPr>
            <w:tcW w:w="1417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03a</w:t>
            </w:r>
          </w:p>
        </w:tc>
        <w:tc>
          <w:tcPr>
            <w:tcW w:w="1418" w:type="dxa"/>
            <w:tcBorders>
              <w:bottom w:val="single" w:sz="12" w:space="0" w:color="00B050"/>
            </w:tcBorders>
            <w:noWrap/>
            <w:vAlign w:val="center"/>
            <w:hideMark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02a</w:t>
            </w:r>
          </w:p>
        </w:tc>
        <w:tc>
          <w:tcPr>
            <w:tcW w:w="1417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0.25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.16a</w:t>
            </w:r>
          </w:p>
        </w:tc>
        <w:tc>
          <w:tcPr>
            <w:tcW w:w="1843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 w:rsidRPr="004D493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Coprinellus</w:t>
            </w:r>
          </w:p>
        </w:tc>
        <w:tc>
          <w:tcPr>
            <w:tcW w:w="1417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0.14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0.14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/>
                <w:sz w:val="20"/>
                <w:szCs w:val="20"/>
              </w:rPr>
              <w:t>0.01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bottom w:val="single" w:sz="12" w:space="0" w:color="00B050"/>
            </w:tcBorders>
            <w:vAlign w:val="center"/>
          </w:tcPr>
          <w:p w:rsidR="00B01EDA" w:rsidRPr="004D4937" w:rsidRDefault="00B01EDA" w:rsidP="003E7560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0.02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±</w:t>
            </w:r>
            <w:r w:rsidRPr="004D493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a</w:t>
            </w:r>
          </w:p>
        </w:tc>
      </w:tr>
    </w:tbl>
    <w:p w:rsidR="00B01EDA" w:rsidRPr="00B01EDA" w:rsidRDefault="00B01EDA" w:rsidP="00B01EDA">
      <w:pPr>
        <w:adjustRightInd w:val="0"/>
        <w:snapToGrid w:val="0"/>
        <w:spacing w:beforeLines="50" w:before="120" w:afterLines="50" w:after="120"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  <w:r w:rsidRPr="00384F6C">
        <w:rPr>
          <w:rFonts w:ascii="Times New Roman" w:hAnsi="Times New Roman" w:cs="Times New Roman" w:hint="eastAsia"/>
          <w:szCs w:val="21"/>
        </w:rPr>
        <w:t xml:space="preserve">Notes: </w:t>
      </w:r>
      <w:r w:rsidRPr="00384F6C">
        <w:rPr>
          <w:rFonts w:ascii="Times New Roman" w:hAnsi="Times New Roman" w:cs="Times New Roman" w:hint="eastAsia"/>
          <w:spacing w:val="1"/>
          <w:szCs w:val="21"/>
        </w:rPr>
        <w:t>CK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: no </w:t>
      </w:r>
      <w:r w:rsidRPr="00384F6C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384F6C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 </w:t>
      </w:r>
      <w:r w:rsidRPr="00384F6C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not mowed; </w:t>
      </w:r>
      <w:r w:rsidRPr="00384F6C">
        <w:rPr>
          <w:rFonts w:ascii="Times New Roman" w:hAnsi="Times New Roman" w:cs="Times New Roman" w:hint="eastAsia"/>
          <w:spacing w:val="1"/>
          <w:szCs w:val="21"/>
        </w:rPr>
        <w:t>T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: </w:t>
      </w:r>
      <w:r w:rsidRPr="00384F6C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384F6C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 </w:t>
      </w:r>
      <w:r w:rsidRPr="00384F6C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not mowed; </w:t>
      </w:r>
      <w:r w:rsidRPr="00384F6C">
        <w:rPr>
          <w:rFonts w:ascii="Times New Roman" w:hAnsi="Times New Roman" w:cs="Times New Roman" w:hint="eastAsia"/>
          <w:spacing w:val="1"/>
          <w:szCs w:val="21"/>
        </w:rPr>
        <w:t>M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: mowed </w:t>
      </w:r>
      <w:r w:rsidRPr="00384F6C">
        <w:rPr>
          <w:rFonts w:ascii="Times New Roman" w:hAnsi="Times New Roman" w:cs="Times New Roman" w:hint="eastAsia"/>
          <w:spacing w:val="1"/>
          <w:szCs w:val="21"/>
        </w:rPr>
        <w:t xml:space="preserve">and 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no </w:t>
      </w:r>
      <w:r w:rsidRPr="00384F6C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384F6C">
        <w:rPr>
          <w:rFonts w:ascii="Times New Roman" w:hAnsi="Times New Roman" w:cs="Times New Roman" w:hint="eastAsia"/>
          <w:spacing w:val="1"/>
          <w:szCs w:val="21"/>
        </w:rPr>
        <w:t>-inoculation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; </w:t>
      </w:r>
      <w:r w:rsidRPr="00384F6C">
        <w:rPr>
          <w:rFonts w:ascii="Times New Roman" w:hAnsi="Times New Roman" w:cs="Times New Roman" w:hint="eastAsia"/>
          <w:spacing w:val="1"/>
          <w:szCs w:val="21"/>
        </w:rPr>
        <w:t>TM</w:t>
      </w:r>
      <w:r w:rsidRPr="00384F6C">
        <w:rPr>
          <w:rFonts w:ascii="Times New Roman" w:hAnsi="Times New Roman" w:cs="Times New Roman"/>
          <w:spacing w:val="1"/>
          <w:szCs w:val="21"/>
        </w:rPr>
        <w:t>: mowed</w:t>
      </w:r>
      <w:r w:rsidRPr="00384F6C">
        <w:rPr>
          <w:rFonts w:ascii="Times New Roman" w:hAnsi="Times New Roman" w:cs="Times New Roman" w:hint="eastAsia"/>
          <w:spacing w:val="1"/>
          <w:szCs w:val="21"/>
        </w:rPr>
        <w:t xml:space="preserve"> </w:t>
      </w:r>
      <w:r w:rsidRPr="00384F6C">
        <w:rPr>
          <w:rFonts w:ascii="Times New Roman" w:hAnsi="Times New Roman" w:cs="Times New Roman"/>
          <w:spacing w:val="1"/>
          <w:szCs w:val="21"/>
        </w:rPr>
        <w:t xml:space="preserve">and </w:t>
      </w:r>
      <w:r w:rsidRPr="00384F6C">
        <w:rPr>
          <w:rFonts w:ascii="Times New Roman" w:hAnsi="Times New Roman" w:cs="Times New Roman" w:hint="eastAsia"/>
          <w:i/>
          <w:spacing w:val="1"/>
          <w:szCs w:val="21"/>
        </w:rPr>
        <w:t>Trichoderma</w:t>
      </w:r>
      <w:r w:rsidRPr="00384F6C">
        <w:rPr>
          <w:rFonts w:ascii="Times New Roman" w:hAnsi="Times New Roman" w:cs="Times New Roman" w:hint="eastAsia"/>
          <w:spacing w:val="1"/>
          <w:szCs w:val="21"/>
        </w:rPr>
        <w:t>-inoculated</w:t>
      </w:r>
      <w:r w:rsidRPr="00384F6C">
        <w:rPr>
          <w:rFonts w:ascii="Times New Roman" w:hAnsi="Times New Roman" w:cs="Times New Roman"/>
          <w:spacing w:val="1"/>
          <w:szCs w:val="21"/>
        </w:rPr>
        <w:t>.</w:t>
      </w:r>
      <w:r w:rsidRPr="00384F6C">
        <w:rPr>
          <w:rFonts w:ascii="Times New Roman" w:eastAsia="LMIGE K+ Adv O T 863180fb" w:hAnsi="Times New Roman" w:cs="Times New Roman"/>
          <w:szCs w:val="21"/>
        </w:rPr>
        <w:t xml:space="preserve"> </w:t>
      </w:r>
      <w:r w:rsidRPr="00384F6C">
        <w:rPr>
          <w:rFonts w:ascii="Times New Roman" w:hAnsi="Times New Roman" w:cs="Times New Roman"/>
          <w:szCs w:val="21"/>
        </w:rPr>
        <w:t xml:space="preserve">Data are mean values of </w:t>
      </w:r>
      <w:r w:rsidRPr="00384F6C">
        <w:rPr>
          <w:rFonts w:ascii="Times New Roman" w:hAnsi="Times New Roman" w:cs="Times New Roman" w:hint="eastAsia"/>
          <w:szCs w:val="21"/>
        </w:rPr>
        <w:t>three</w:t>
      </w:r>
      <w:r w:rsidRPr="00384F6C">
        <w:rPr>
          <w:rFonts w:ascii="Times New Roman" w:hAnsi="Times New Roman" w:cs="Times New Roman"/>
          <w:szCs w:val="21"/>
        </w:rPr>
        <w:t xml:space="preserve"> replicates. </w:t>
      </w:r>
      <w:r w:rsidRPr="007A39A2">
        <w:rPr>
          <w:rFonts w:ascii="Times New Roman" w:hAnsi="Times New Roman" w:cs="Times New Roman"/>
          <w:szCs w:val="21"/>
        </w:rPr>
        <w:t>Numbers followed by “</w:t>
      </w:r>
      <w:r w:rsidRPr="007A39A2">
        <w:rPr>
          <w:rFonts w:ascii="Times New Roman" w:eastAsia="KHMHN J+ MTSY" w:hAnsi="Times New Roman" w:cs="Times New Roman"/>
          <w:szCs w:val="21"/>
        </w:rPr>
        <w:t>±</w:t>
      </w:r>
      <w:r w:rsidRPr="007A39A2">
        <w:rPr>
          <w:rFonts w:ascii="Times New Roman" w:hAnsi="Times New Roman" w:cs="Times New Roman"/>
          <w:szCs w:val="21"/>
        </w:rPr>
        <w:t>” are the standard errors (SEs).</w:t>
      </w:r>
      <w:r w:rsidRPr="00384F6C">
        <w:rPr>
          <w:rFonts w:ascii="Times New Roman" w:hAnsi="Times New Roman" w:cs="Times New Roman"/>
          <w:szCs w:val="21"/>
        </w:rPr>
        <w:t xml:space="preserve">Within a </w:t>
      </w:r>
      <w:r w:rsidRPr="00384F6C">
        <w:rPr>
          <w:rFonts w:ascii="Times New Roman" w:hAnsi="Times New Roman" w:cs="Times New Roman" w:hint="eastAsia"/>
          <w:szCs w:val="21"/>
        </w:rPr>
        <w:t>row</w:t>
      </w:r>
      <w:r w:rsidRPr="00384F6C">
        <w:rPr>
          <w:rFonts w:ascii="Times New Roman" w:hAnsi="Times New Roman" w:cs="Times New Roman"/>
          <w:szCs w:val="21"/>
        </w:rPr>
        <w:t>, values that do not share a letter are significantly different (</w:t>
      </w:r>
      <w:r w:rsidRPr="00384F6C">
        <w:rPr>
          <w:rFonts w:ascii="Times New Roman" w:hAnsi="Times New Roman" w:cs="Times New Roman" w:hint="eastAsia"/>
          <w:i/>
          <w:szCs w:val="21"/>
        </w:rPr>
        <w:t xml:space="preserve">P </w:t>
      </w:r>
      <w:r w:rsidRPr="00384F6C">
        <w:rPr>
          <w:rFonts w:ascii="Times New Roman" w:hAnsi="Times New Roman" w:cs="Times New Roman"/>
          <w:szCs w:val="21"/>
        </w:rPr>
        <w:t>&lt;</w:t>
      </w:r>
      <w:r w:rsidRPr="00384F6C">
        <w:rPr>
          <w:rFonts w:ascii="Times New Roman" w:hAnsi="Times New Roman" w:cs="Times New Roman" w:hint="eastAsia"/>
          <w:szCs w:val="21"/>
        </w:rPr>
        <w:t xml:space="preserve"> </w:t>
      </w:r>
      <w:r w:rsidRPr="00384F6C">
        <w:rPr>
          <w:rFonts w:ascii="Times New Roman" w:hAnsi="Times New Roman" w:cs="Times New Roman"/>
          <w:szCs w:val="21"/>
        </w:rPr>
        <w:t>0.05)</w:t>
      </w:r>
      <w:r w:rsidRPr="00FB4F7B">
        <w:rPr>
          <w:rFonts w:ascii="Times New Roman" w:hAnsi="Times New Roman" w:cs="Times New Roman" w:hint="eastAsia"/>
          <w:color w:val="FF0000"/>
          <w:szCs w:val="21"/>
        </w:rPr>
        <w:t xml:space="preserve"> </w:t>
      </w:r>
      <w:r w:rsidRPr="00B01EDA">
        <w:rPr>
          <w:rFonts w:ascii="Times New Roman" w:eastAsia="AdvOT863180fb" w:hAnsi="Times New Roman" w:cs="Times New Roman"/>
          <w:kern w:val="0"/>
          <w:szCs w:val="21"/>
        </w:rPr>
        <w:t>according to</w:t>
      </w:r>
      <w:r w:rsidRPr="00B01EDA">
        <w:rPr>
          <w:rFonts w:ascii="Times New Roman" w:eastAsia="AdvOT863180fb" w:hAnsi="Times New Roman" w:cs="Times New Roman" w:hint="eastAsia"/>
          <w:kern w:val="0"/>
          <w:szCs w:val="21"/>
        </w:rPr>
        <w:t xml:space="preserve"> </w:t>
      </w:r>
      <w:r w:rsidRPr="00B01EDA">
        <w:rPr>
          <w:rFonts w:ascii="Times New Roman" w:eastAsia="AdvOT863180fb" w:hAnsi="Times New Roman" w:cs="Times New Roman"/>
          <w:kern w:val="0"/>
          <w:szCs w:val="21"/>
        </w:rPr>
        <w:t>Duncan’s test</w:t>
      </w:r>
      <w:r w:rsidRPr="00B01EDA">
        <w:rPr>
          <w:rFonts w:ascii="Times New Roman" w:hAnsi="Times New Roman" w:cs="Times New Roman"/>
          <w:szCs w:val="21"/>
        </w:rPr>
        <w:t>.</w:t>
      </w: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line="480" w:lineRule="auto"/>
        <w:rPr>
          <w:rFonts w:ascii="Times New Roman" w:eastAsia="LMIGE K+ Adv O T 863180fb" w:hAnsi="Times New Roman" w:cs="Times New Roman"/>
          <w:sz w:val="24"/>
          <w:szCs w:val="24"/>
        </w:rPr>
      </w:pPr>
    </w:p>
    <w:p w:rsidR="00B01EDA" w:rsidRDefault="00B01EDA" w:rsidP="00B01EDA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  <w:sectPr w:rsidR="00B01EDA" w:rsidSect="0046449B">
          <w:pgSz w:w="16838" w:h="11906" w:orient="landscape"/>
          <w:pgMar w:top="1077" w:right="1440" w:bottom="1077" w:left="1440" w:header="851" w:footer="992" w:gutter="0"/>
          <w:cols w:space="425"/>
          <w:docGrid w:linePitch="312"/>
        </w:sectPr>
      </w:pPr>
    </w:p>
    <w:p w:rsidR="00B01EDA" w:rsidRDefault="00B01EDA" w:rsidP="00B01EDA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47CD5"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 w:cs="Times New Roman" w:hint="eastAsia"/>
          <w:b/>
          <w:bCs/>
          <w:spacing w:val="2"/>
          <w:sz w:val="24"/>
          <w:szCs w:val="24"/>
        </w:rPr>
        <w:t>3</w:t>
      </w:r>
      <w:r w:rsidRPr="00447CD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47CD5">
        <w:rPr>
          <w:rFonts w:ascii="Times New Roman" w:hAnsi="Times New Roman" w:cs="Times New Roman"/>
          <w:bCs/>
          <w:spacing w:val="2"/>
          <w:sz w:val="24"/>
          <w:szCs w:val="24"/>
          <w:lang w:val="en-GB"/>
        </w:rPr>
        <w:t xml:space="preserve">Indices of </w:t>
      </w:r>
      <w:r w:rsidRPr="00447CD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fit for structural equation modelling provided in </w:t>
      </w:r>
      <w:r w:rsidRPr="00447CD5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Fig. </w:t>
      </w:r>
      <w:r w:rsidRPr="00447CD5">
        <w:rPr>
          <w:rFonts w:ascii="Times New Roman" w:hAnsi="Times New Roman" w:cs="Times New Roman"/>
          <w:b/>
          <w:bCs/>
          <w:kern w:val="24"/>
          <w:sz w:val="24"/>
          <w:szCs w:val="24"/>
        </w:rPr>
        <w:t>5</w:t>
      </w:r>
      <w:r w:rsidRPr="00447CD5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</w:t>
      </w:r>
    </w:p>
    <w:tbl>
      <w:tblPr>
        <w:tblW w:w="97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709"/>
        <w:gridCol w:w="850"/>
        <w:gridCol w:w="993"/>
        <w:gridCol w:w="1134"/>
        <w:gridCol w:w="1134"/>
        <w:gridCol w:w="1134"/>
        <w:gridCol w:w="992"/>
        <w:gridCol w:w="992"/>
      </w:tblGrid>
      <w:tr w:rsidR="00B01EDA" w:rsidRPr="00E31ED7" w:rsidTr="003E7560">
        <w:trPr>
          <w:trHeight w:val="677"/>
        </w:trPr>
        <w:tc>
          <w:tcPr>
            <w:tcW w:w="1149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Fit index</w:t>
            </w:r>
          </w:p>
        </w:tc>
        <w:tc>
          <w:tcPr>
            <w:tcW w:w="709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ind w:firstLineChars="98" w:firstLine="196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kern w:val="0"/>
                <w:sz w:val="20"/>
                <w:szCs w:val="20"/>
              </w:rPr>
              <w:t>χ</w:t>
            </w:r>
            <w:r w:rsidRPr="00E31ED7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993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NFI</w:t>
            </w:r>
          </w:p>
        </w:tc>
        <w:tc>
          <w:tcPr>
            <w:tcW w:w="113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RFI</w:t>
            </w:r>
          </w:p>
        </w:tc>
        <w:tc>
          <w:tcPr>
            <w:tcW w:w="113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IFI</w:t>
            </w:r>
          </w:p>
        </w:tc>
        <w:tc>
          <w:tcPr>
            <w:tcW w:w="1134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RMSEA</w:t>
            </w:r>
          </w:p>
        </w:tc>
        <w:tc>
          <w:tcPr>
            <w:tcW w:w="99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AIC</w:t>
            </w:r>
          </w:p>
        </w:tc>
        <w:tc>
          <w:tcPr>
            <w:tcW w:w="99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ECVI</w:t>
            </w:r>
          </w:p>
        </w:tc>
      </w:tr>
      <w:tr w:rsidR="00B01EDA" w:rsidRPr="00E31ED7" w:rsidTr="003E7560">
        <w:trPr>
          <w:trHeight w:val="596"/>
        </w:trPr>
        <w:tc>
          <w:tcPr>
            <w:tcW w:w="1149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6.336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ind w:firstLineChars="50" w:firstLine="100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0.96</w:t>
            </w: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0.8</w:t>
            </w: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1.0</w:t>
            </w: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8.336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7.121</w:t>
            </w:r>
          </w:p>
        </w:tc>
      </w:tr>
    </w:tbl>
    <w:p w:rsidR="00B01EDA" w:rsidRPr="00447CD5" w:rsidRDefault="00B01EDA" w:rsidP="00B01EDA">
      <w:pPr>
        <w:adjustRightInd w:val="0"/>
        <w:snapToGrid w:val="0"/>
        <w:spacing w:beforeLines="50" w:before="120" w:line="360" w:lineRule="auto"/>
        <w:rPr>
          <w:rFonts w:ascii="Times New Roman" w:hAnsi="Times New Roman" w:cs="Times New Roman"/>
          <w:bCs/>
          <w:spacing w:val="2"/>
          <w:szCs w:val="21"/>
        </w:rPr>
      </w:pPr>
      <w:r w:rsidRPr="00447CD5">
        <w:rPr>
          <w:rFonts w:ascii="Times New Roman" w:hAnsi="Times New Roman" w:cs="Times New Roman"/>
          <w:kern w:val="24"/>
          <w:szCs w:val="21"/>
          <w:lang w:val="en-GB"/>
        </w:rPr>
        <w:t xml:space="preserve">Note: </w:t>
      </w:r>
      <w:r w:rsidRPr="00447CD5">
        <w:rPr>
          <w:rFonts w:ascii="Times New Roman" w:hAnsi="Times New Roman" w:cs="Times New Roman"/>
          <w:kern w:val="0"/>
          <w:szCs w:val="21"/>
        </w:rPr>
        <w:t>χ</w:t>
      </w:r>
      <w:r w:rsidRPr="00447CD5">
        <w:rPr>
          <w:rFonts w:ascii="Times New Roman" w:hAnsi="Times New Roman" w:cs="Times New Roman"/>
          <w:kern w:val="0"/>
          <w:szCs w:val="21"/>
          <w:vertAlign w:val="superscript"/>
        </w:rPr>
        <w:t xml:space="preserve">2 </w:t>
      </w:r>
      <w:r w:rsidRPr="00447CD5">
        <w:rPr>
          <w:rFonts w:ascii="Times New Roman" w:hAnsi="Times New Roman" w:cs="Times New Roman"/>
          <w:kern w:val="24"/>
          <w:szCs w:val="21"/>
          <w:lang w:val="en-GB"/>
        </w:rPr>
        <w:t xml:space="preserve">= chi-square (minimum function test statistic); DF = degrees of freedom; </w:t>
      </w:r>
      <w:r w:rsidRPr="00447CD5">
        <w:rPr>
          <w:rFonts w:ascii="Times New Roman" w:hAnsi="Times New Roman" w:cs="Times New Roman"/>
          <w:bCs/>
          <w:spacing w:val="2"/>
          <w:szCs w:val="21"/>
        </w:rPr>
        <w:t xml:space="preserve">NFI = normed fit index; RFI = relative fit index; IFI = incremental index of fit; </w:t>
      </w:r>
      <w:r w:rsidRPr="00447CD5">
        <w:rPr>
          <w:rFonts w:ascii="Times New Roman" w:hAnsi="Times New Roman" w:cs="Times New Roman"/>
          <w:kern w:val="24"/>
          <w:szCs w:val="21"/>
          <w:lang w:val="en-GB"/>
        </w:rPr>
        <w:t>RMSEA = root mean square error of approximation; AIC = Akaike information criteria; ECVI = expected cross-validation index.</w:t>
      </w: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E31ED7" w:rsidRDefault="00B01EDA" w:rsidP="00B01EDA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B01EDA" w:rsidRPr="00447CD5" w:rsidRDefault="00B01EDA" w:rsidP="00B01EDA">
      <w:pPr>
        <w:adjustRightInd w:val="0"/>
        <w:snapToGrid w:val="0"/>
        <w:spacing w:beforeLines="50" w:before="120" w:afterLines="50" w:after="120" w:line="48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47CD5">
        <w:rPr>
          <w:rFonts w:ascii="Times New Roman" w:hAnsi="Times New Roman" w:cs="Times New Roman"/>
          <w:b/>
          <w:bCs/>
          <w:spacing w:val="2"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 w:cs="Times New Roman" w:hint="eastAsia"/>
          <w:b/>
          <w:bCs/>
          <w:spacing w:val="2"/>
          <w:sz w:val="24"/>
          <w:szCs w:val="24"/>
        </w:rPr>
        <w:t>4</w:t>
      </w:r>
      <w:r w:rsidRPr="00447CD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47CD5">
        <w:rPr>
          <w:rFonts w:ascii="Times New Roman" w:hAnsi="Times New Roman" w:cs="Times New Roman"/>
          <w:kern w:val="24"/>
          <w:sz w:val="24"/>
          <w:szCs w:val="24"/>
          <w:lang w:val="en-GB"/>
        </w:rPr>
        <w:t>Significance levels for the influences of biotic and abiotic factors on alfalfa biomass, based on structural equation modelling (SEM)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2552"/>
        <w:gridCol w:w="992"/>
        <w:gridCol w:w="992"/>
        <w:gridCol w:w="993"/>
        <w:gridCol w:w="850"/>
      </w:tblGrid>
      <w:tr w:rsidR="00B01EDA" w:rsidRPr="00E31ED7" w:rsidTr="003E7560">
        <w:trPr>
          <w:trHeight w:val="212"/>
        </w:trPr>
        <w:tc>
          <w:tcPr>
            <w:tcW w:w="2425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992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993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b/>
                <w:sz w:val="20"/>
                <w:szCs w:val="20"/>
              </w:rPr>
              <w:t>C.R.</w:t>
            </w:r>
          </w:p>
        </w:tc>
        <w:tc>
          <w:tcPr>
            <w:tcW w:w="850" w:type="dxa"/>
            <w:tcBorders>
              <w:top w:val="single" w:sz="12" w:space="0" w:color="00B050"/>
              <w:bottom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01EDA" w:rsidRPr="00E31ED7" w:rsidTr="003E7560">
        <w:trPr>
          <w:trHeight w:val="347"/>
        </w:trPr>
        <w:tc>
          <w:tcPr>
            <w:tcW w:w="2425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Z </w:t>
            </w:r>
            <w:r w:rsidRPr="00E31ED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Trichoderma 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abundance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.744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</w:p>
        </w:tc>
        <w:tc>
          <w:tcPr>
            <w:tcW w:w="993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3.697</w:t>
            </w:r>
          </w:p>
        </w:tc>
        <w:tc>
          <w:tcPr>
            <w:tcW w:w="850" w:type="dxa"/>
            <w:tcBorders>
              <w:top w:val="single" w:sz="4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.842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5.176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3.949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chemicals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-.669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-2.239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.025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chemicals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4.441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Z </w:t>
            </w:r>
            <w:r w:rsidRPr="00E31ED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Trichoderma 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abundance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-10.603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4.849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chemicals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3.077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-1.523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.128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-2.700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Z </w:t>
            </w:r>
            <w:r w:rsidRPr="00E31ED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Trichoderma 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abundance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.384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1.935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.053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-1.620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-10.520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7.068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-1.218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.219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-5.561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chemiscals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-1.493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.135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alfalfa b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iomass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Z </w:t>
            </w:r>
            <w:r w:rsidRPr="00E31ED7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Trichoderma 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abundance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.677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7.337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alfalfa b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iomass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10.085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alfalfa b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iomass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b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terial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-.382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-7.282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alfalfa b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iomass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Soil fungal community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-1.911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.056</w:t>
            </w:r>
          </w:p>
        </w:tc>
      </w:tr>
      <w:tr w:rsidR="00B01EDA" w:rsidRPr="00E31ED7" w:rsidTr="003E7560">
        <w:trPr>
          <w:trHeight w:val="300"/>
        </w:trPr>
        <w:tc>
          <w:tcPr>
            <w:tcW w:w="2425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alfalfa b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iomass</w:t>
            </w:r>
          </w:p>
        </w:tc>
        <w:tc>
          <w:tcPr>
            <w:tcW w:w="992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&lt;---</w:t>
            </w:r>
          </w:p>
        </w:tc>
        <w:tc>
          <w:tcPr>
            <w:tcW w:w="2552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1ED7">
              <w:rPr>
                <w:rFonts w:ascii="Times New Roman" w:hAnsi="Times New Roman" w:cs="Times New Roman" w:hint="eastAsia"/>
                <w:sz w:val="20"/>
                <w:szCs w:val="20"/>
              </w:rPr>
              <w:t>vailable K</w:t>
            </w:r>
          </w:p>
        </w:tc>
        <w:tc>
          <w:tcPr>
            <w:tcW w:w="992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-.227</w:t>
            </w:r>
          </w:p>
        </w:tc>
        <w:tc>
          <w:tcPr>
            <w:tcW w:w="992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.040</w:t>
            </w:r>
          </w:p>
        </w:tc>
        <w:tc>
          <w:tcPr>
            <w:tcW w:w="993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-5.704</w:t>
            </w:r>
          </w:p>
        </w:tc>
        <w:tc>
          <w:tcPr>
            <w:tcW w:w="850" w:type="dxa"/>
            <w:tcBorders>
              <w:bottom w:val="single" w:sz="12" w:space="0" w:color="00B050"/>
            </w:tcBorders>
            <w:shd w:val="clear" w:color="auto" w:fill="auto"/>
            <w:vAlign w:val="center"/>
          </w:tcPr>
          <w:p w:rsidR="00B01EDA" w:rsidRPr="00E31ED7" w:rsidRDefault="00B01EDA" w:rsidP="003E756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1ED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:rsidR="00D65DE1" w:rsidRPr="00B01EDA" w:rsidRDefault="00B01EDA" w:rsidP="00B01EDA">
      <w:pPr>
        <w:adjustRightInd w:val="0"/>
        <w:snapToGrid w:val="0"/>
        <w:spacing w:beforeLines="50" w:before="120" w:after="156" w:line="360" w:lineRule="auto"/>
        <w:rPr>
          <w:rFonts w:ascii="Times New Roman" w:hAnsi="Times New Roman" w:cs="Times New Roman"/>
          <w:kern w:val="0"/>
          <w:szCs w:val="21"/>
        </w:rPr>
      </w:pPr>
      <w:r w:rsidRPr="00447CD5">
        <w:rPr>
          <w:rFonts w:ascii="Times New Roman" w:hAnsi="Times New Roman" w:cs="Times New Roman"/>
          <w:kern w:val="24"/>
          <w:szCs w:val="21"/>
        </w:rPr>
        <w:t xml:space="preserve">Notes: Significance. codes: ***0.001, </w:t>
      </w:r>
      <w:r w:rsidRPr="00447CD5">
        <w:rPr>
          <w:rFonts w:ascii="Times New Roman" w:hAnsi="Times New Roman" w:cs="Times New Roman"/>
          <w:i/>
          <w:kern w:val="24"/>
          <w:szCs w:val="21"/>
        </w:rPr>
        <w:t>p</w:t>
      </w:r>
      <w:r w:rsidRPr="00447CD5">
        <w:rPr>
          <w:rFonts w:ascii="Times New Roman" w:hAnsi="Times New Roman" w:cs="Times New Roman"/>
          <w:kern w:val="24"/>
          <w:szCs w:val="21"/>
        </w:rPr>
        <w:t>-values based on 999 permutation</w:t>
      </w:r>
      <w:r w:rsidRPr="00447CD5">
        <w:rPr>
          <w:rFonts w:ascii="Times New Roman" w:hAnsi="Times New Roman" w:cs="Times New Roman" w:hint="eastAsia"/>
          <w:kern w:val="24"/>
          <w:szCs w:val="21"/>
        </w:rPr>
        <w:t>s</w:t>
      </w:r>
      <w:r w:rsidRPr="00447CD5">
        <w:rPr>
          <w:rFonts w:ascii="Times New Roman" w:hAnsi="Times New Roman" w:cs="Times New Roman" w:hint="eastAsia"/>
          <w:b/>
          <w:szCs w:val="21"/>
        </w:rPr>
        <w:t>.</w:t>
      </w:r>
    </w:p>
    <w:sectPr w:rsidR="00D65DE1" w:rsidRPr="00B01EDA" w:rsidSect="0046449B">
      <w:footerReference w:type="default" r:id="rId9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94" w:rsidRDefault="003C3494" w:rsidP="00B01EDA">
      <w:r>
        <w:separator/>
      </w:r>
    </w:p>
  </w:endnote>
  <w:endnote w:type="continuationSeparator" w:id="0">
    <w:p w:rsidR="003C3494" w:rsidRDefault="003C3494" w:rsidP="00B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TC Symbol Std Medium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MIGE K+ Adv O T 863180fb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KHMHN J+ MTSY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dvOT863180fb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38860"/>
      <w:docPartObj>
        <w:docPartGallery w:val="Page Numbers (Bottom of Page)"/>
        <w:docPartUnique/>
      </w:docPartObj>
    </w:sdtPr>
    <w:sdtEndPr/>
    <w:sdtContent>
      <w:p w:rsidR="00B01EDA" w:rsidRDefault="003C3494">
        <w:pPr>
          <w:pStyle w:val="Footer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01EDA" w:rsidRPr="00B01ED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01EDA" w:rsidRDefault="00B0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11" w:rsidRDefault="00D65D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EDA" w:rsidRPr="00B01EDA">
      <w:rPr>
        <w:noProof/>
        <w:lang w:val="zh-CN"/>
      </w:rPr>
      <w:t>8</w:t>
    </w:r>
    <w:r>
      <w:fldChar w:fldCharType="end"/>
    </w:r>
  </w:p>
  <w:p w:rsidR="00877E11" w:rsidRDefault="003C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94" w:rsidRDefault="003C3494" w:rsidP="00B01EDA">
      <w:r>
        <w:separator/>
      </w:r>
    </w:p>
  </w:footnote>
  <w:footnote w:type="continuationSeparator" w:id="0">
    <w:p w:rsidR="003C3494" w:rsidRDefault="003C3494" w:rsidP="00B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E73"/>
    <w:multiLevelType w:val="multilevel"/>
    <w:tmpl w:val="C35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76CF"/>
    <w:multiLevelType w:val="multilevel"/>
    <w:tmpl w:val="7E1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B1792"/>
    <w:multiLevelType w:val="multilevel"/>
    <w:tmpl w:val="EEC6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02D1B"/>
    <w:multiLevelType w:val="hybridMultilevel"/>
    <w:tmpl w:val="DD5EFEE8"/>
    <w:lvl w:ilvl="0" w:tplc="C428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F46AF7"/>
    <w:multiLevelType w:val="multilevel"/>
    <w:tmpl w:val="C056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068EB"/>
    <w:multiLevelType w:val="hybridMultilevel"/>
    <w:tmpl w:val="960E38A6"/>
    <w:lvl w:ilvl="0" w:tplc="E438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625C41"/>
    <w:multiLevelType w:val="multilevel"/>
    <w:tmpl w:val="015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A2846"/>
    <w:multiLevelType w:val="hybridMultilevel"/>
    <w:tmpl w:val="F03238B4"/>
    <w:lvl w:ilvl="0" w:tplc="97FE81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34B2273"/>
    <w:multiLevelType w:val="multilevel"/>
    <w:tmpl w:val="BFC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A6715"/>
    <w:multiLevelType w:val="hybridMultilevel"/>
    <w:tmpl w:val="8478901C"/>
    <w:lvl w:ilvl="0" w:tplc="0BC84BAC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EDA"/>
    <w:rsid w:val="003C3494"/>
    <w:rsid w:val="0046449B"/>
    <w:rsid w:val="008646C7"/>
    <w:rsid w:val="008C3A9B"/>
    <w:rsid w:val="00B01EDA"/>
    <w:rsid w:val="00D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F61C6-266B-4D3E-A4F4-1120E88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ED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1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E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01EDA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01EDA"/>
    <w:pPr>
      <w:widowControl/>
      <w:spacing w:before="100" w:beforeAutospacing="1" w:after="100" w:afterAutospacing="1"/>
      <w:jc w:val="left"/>
      <w:outlineLvl w:val="4"/>
    </w:pPr>
    <w:rPr>
      <w:rFonts w:ascii="SimSun" w:eastAsia="SimSun" w:hAnsi="SimSun" w:cs="SimSu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1E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1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1ED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1ED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E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1EDA"/>
    <w:rPr>
      <w:rFonts w:ascii="SimSun" w:eastAsia="SimSun" w:hAnsi="SimSun" w:cs="SimSun"/>
      <w:b/>
      <w:bCs/>
      <w:kern w:val="0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01EDA"/>
    <w:rPr>
      <w:rFonts w:ascii="SimSun" w:eastAsia="SimSun" w:hAnsi="SimSun" w:cs="SimSu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B01E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1EDA"/>
    <w:rPr>
      <w:sz w:val="18"/>
      <w:szCs w:val="18"/>
    </w:rPr>
  </w:style>
  <w:style w:type="table" w:styleId="TableGrid">
    <w:name w:val="Table Grid"/>
    <w:basedOn w:val="TableNormal"/>
    <w:uiPriority w:val="99"/>
    <w:rsid w:val="00B01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01EDA"/>
  </w:style>
  <w:style w:type="character" w:styleId="Emphasis">
    <w:name w:val="Emphasis"/>
    <w:aliases w:val="参考文献"/>
    <w:basedOn w:val="DefaultParagraphFont"/>
    <w:uiPriority w:val="20"/>
    <w:qFormat/>
    <w:rsid w:val="00B01EDA"/>
    <w:rPr>
      <w:i/>
      <w:iCs/>
    </w:rPr>
  </w:style>
  <w:style w:type="character" w:customStyle="1" w:styleId="shorttext">
    <w:name w:val="short_text"/>
    <w:basedOn w:val="DefaultParagraphFont"/>
    <w:uiPriority w:val="99"/>
    <w:rsid w:val="00B01EDA"/>
  </w:style>
  <w:style w:type="character" w:customStyle="1" w:styleId="hps">
    <w:name w:val="hps"/>
    <w:basedOn w:val="DefaultParagraphFont"/>
    <w:uiPriority w:val="99"/>
    <w:rsid w:val="00B01EDA"/>
  </w:style>
  <w:style w:type="character" w:styleId="Hyperlink">
    <w:name w:val="Hyperlink"/>
    <w:basedOn w:val="DefaultParagraphFont"/>
    <w:uiPriority w:val="99"/>
    <w:rsid w:val="00B01EDA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99"/>
    <w:qFormat/>
    <w:rsid w:val="00B01EDA"/>
    <w:rPr>
      <w:smallCaps/>
      <w:color w:val="C0504D" w:themeColor="accent2"/>
      <w:u w:val="single"/>
    </w:rPr>
  </w:style>
  <w:style w:type="character" w:styleId="LineNumber">
    <w:name w:val="line number"/>
    <w:basedOn w:val="DefaultParagraphFont"/>
    <w:uiPriority w:val="99"/>
    <w:rsid w:val="00B01EDA"/>
  </w:style>
  <w:style w:type="paragraph" w:styleId="ListParagraph">
    <w:name w:val="List Paragraph"/>
    <w:basedOn w:val="Normal"/>
    <w:uiPriority w:val="99"/>
    <w:qFormat/>
    <w:rsid w:val="00B01EDA"/>
    <w:pPr>
      <w:ind w:firstLineChars="200" w:firstLine="420"/>
    </w:pPr>
    <w:rPr>
      <w:rFonts w:ascii="Times New Roman" w:eastAsia="SimSun" w:hAnsi="Times New Roman" w:cs="Times New Roman"/>
      <w:szCs w:val="24"/>
    </w:rPr>
  </w:style>
  <w:style w:type="paragraph" w:customStyle="1" w:styleId="para">
    <w:name w:val="para"/>
    <w:basedOn w:val="Normal"/>
    <w:rsid w:val="00B01E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01E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1EDA"/>
    <w:pPr>
      <w:jc w:val="left"/>
    </w:pPr>
    <w:rPr>
      <w:rFonts w:ascii="Tahoma" w:hAnsi="Tahoma" w:cs="Tahoma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EDA"/>
    <w:rPr>
      <w:rFonts w:ascii="Tahoma" w:hAnsi="Tahoma" w:cs="Tahoma"/>
      <w:sz w:val="16"/>
      <w:szCs w:val="24"/>
    </w:rPr>
  </w:style>
  <w:style w:type="character" w:styleId="FootnoteReference">
    <w:name w:val="footnote reference"/>
    <w:basedOn w:val="DefaultParagraphFont"/>
    <w:uiPriority w:val="99"/>
    <w:rsid w:val="00B01EDA"/>
    <w:rPr>
      <w:rFonts w:cs="Times New Roman"/>
      <w:vertAlign w:val="superscript"/>
    </w:rPr>
  </w:style>
  <w:style w:type="character" w:customStyle="1" w:styleId="1">
    <w:name w:val="不明显强调1"/>
    <w:aliases w:val="Normal,正文1"/>
    <w:rsid w:val="00B01EDA"/>
    <w:rPr>
      <w:rFonts w:ascii="Times New Roman" w:eastAsia="SimSun" w:hAnsi="Times New Roman"/>
      <w:iCs/>
      <w:color w:val="auto"/>
      <w:sz w:val="24"/>
    </w:rPr>
  </w:style>
  <w:style w:type="character" w:customStyle="1" w:styleId="keyword">
    <w:name w:val="keyword"/>
    <w:basedOn w:val="DefaultParagraphFont"/>
    <w:rsid w:val="00B01EDA"/>
  </w:style>
  <w:style w:type="character" w:customStyle="1" w:styleId="authorsname">
    <w:name w:val="authors__name"/>
    <w:basedOn w:val="DefaultParagraphFont"/>
    <w:rsid w:val="00B01EDA"/>
  </w:style>
  <w:style w:type="character" w:customStyle="1" w:styleId="articlecitationvolume">
    <w:name w:val="articlecitation_volume"/>
    <w:basedOn w:val="DefaultParagraphFont"/>
    <w:rsid w:val="00B01EDA"/>
  </w:style>
  <w:style w:type="character" w:customStyle="1" w:styleId="articlecitationpages">
    <w:name w:val="articlecitation_pages"/>
    <w:basedOn w:val="DefaultParagraphFont"/>
    <w:rsid w:val="00B01EDA"/>
  </w:style>
  <w:style w:type="paragraph" w:customStyle="1" w:styleId="tran">
    <w:name w:val="tran"/>
    <w:basedOn w:val="Normal"/>
    <w:rsid w:val="00B01E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secondary">
    <w:name w:val="secondary"/>
    <w:basedOn w:val="Normal"/>
    <w:rsid w:val="00B01E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rfield">
    <w:name w:val="fr_field"/>
    <w:basedOn w:val="Normal"/>
    <w:rsid w:val="00B01E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frlabel">
    <w:name w:val="fr_label"/>
    <w:basedOn w:val="DefaultParagraphFont"/>
    <w:rsid w:val="00B01ED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DA"/>
    <w:rPr>
      <w:rFonts w:ascii="Tahoma" w:hAnsi="Tahoma" w:cs="Tahom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DA"/>
    <w:rPr>
      <w:b/>
      <w:bCs/>
      <w:sz w:val="20"/>
      <w:szCs w:val="20"/>
    </w:rPr>
  </w:style>
  <w:style w:type="character" w:customStyle="1" w:styleId="Char1">
    <w:name w:val="批注主题 Char1"/>
    <w:basedOn w:val="CommentTextChar"/>
    <w:uiPriority w:val="99"/>
    <w:semiHidden/>
    <w:rsid w:val="00B01EDA"/>
    <w:rPr>
      <w:rFonts w:ascii="Tahoma" w:hAnsi="Tahoma" w:cs="Tahoma"/>
      <w:b/>
      <w:bCs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01ED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01EDA"/>
    <w:rPr>
      <w:rFonts w:ascii="Calibri" w:hAnsi="Calibri" w:cs="Calibri"/>
      <w:noProof/>
      <w:sz w:val="20"/>
    </w:rPr>
  </w:style>
  <w:style w:type="character" w:customStyle="1" w:styleId="externalref">
    <w:name w:val="externalref"/>
    <w:basedOn w:val="DefaultParagraphFont"/>
    <w:rsid w:val="00B01EDA"/>
  </w:style>
  <w:style w:type="character" w:customStyle="1" w:styleId="refsource">
    <w:name w:val="refsource"/>
    <w:basedOn w:val="DefaultParagraphFont"/>
    <w:rsid w:val="00B01EDA"/>
  </w:style>
  <w:style w:type="paragraph" w:customStyle="1" w:styleId="Default">
    <w:name w:val="Default"/>
    <w:rsid w:val="00B01E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jbiaotien1">
    <w:name w:val="j_biaoti_en1"/>
    <w:basedOn w:val="DefaultParagraphFont"/>
    <w:rsid w:val="00B01EDA"/>
    <w:rPr>
      <w:rFonts w:ascii="Verdana" w:hAnsi="Verdana" w:hint="default"/>
      <w:b/>
      <w:bCs/>
      <w:color w:val="4C634F"/>
      <w:sz w:val="16"/>
      <w:szCs w:val="16"/>
    </w:rPr>
  </w:style>
  <w:style w:type="character" w:customStyle="1" w:styleId="A1">
    <w:name w:val="A1"/>
    <w:uiPriority w:val="99"/>
    <w:rsid w:val="00B01EDA"/>
    <w:rPr>
      <w:rFonts w:cs="Minion Pro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B01EDA"/>
    <w:pPr>
      <w:spacing w:line="185" w:lineRule="atLeast"/>
    </w:pPr>
    <w:rPr>
      <w:rFonts w:ascii="Minion Pro" w:eastAsia="Minion Pro" w:hAnsiTheme="minorHAnsi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B01EDA"/>
    <w:pPr>
      <w:spacing w:line="120" w:lineRule="atLeast"/>
    </w:pPr>
    <w:rPr>
      <w:rFonts w:ascii="ITC Symbol Std Medium" w:eastAsia="ITC Symbol Std Medium" w:hAnsiTheme="minorHAnsi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01EDA"/>
    <w:pPr>
      <w:spacing w:line="120" w:lineRule="atLeast"/>
    </w:pPr>
    <w:rPr>
      <w:rFonts w:ascii="ITC Symbol Std Medium" w:eastAsia="ITC Symbol Std Medium" w:hAnsiTheme="minorHAnsi" w:cstheme="minorBidi"/>
      <w:color w:val="auto"/>
    </w:rPr>
  </w:style>
  <w:style w:type="character" w:customStyle="1" w:styleId="absmetadatalabel">
    <w:name w:val="abs_metadata_label"/>
    <w:basedOn w:val="DefaultParagraphFont"/>
    <w:rsid w:val="00B01EDA"/>
  </w:style>
  <w:style w:type="character" w:customStyle="1" w:styleId="text">
    <w:name w:val="text"/>
    <w:basedOn w:val="DefaultParagraphFont"/>
    <w:rsid w:val="00B01EDA"/>
  </w:style>
  <w:style w:type="character" w:customStyle="1" w:styleId="title-text">
    <w:name w:val="title-text"/>
    <w:basedOn w:val="DefaultParagraphFont"/>
    <w:rsid w:val="00B01EDA"/>
  </w:style>
  <w:style w:type="character" w:customStyle="1" w:styleId="article-headermeta-info-label">
    <w:name w:val="article-header__meta-info-label"/>
    <w:basedOn w:val="DefaultParagraphFont"/>
    <w:rsid w:val="00B01EDA"/>
  </w:style>
  <w:style w:type="character" w:customStyle="1" w:styleId="article-headermeta-info-data">
    <w:name w:val="article-header__meta-info-data"/>
    <w:basedOn w:val="DefaultParagraphFont"/>
    <w:rsid w:val="00B0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Giorgia Aprile</cp:lastModifiedBy>
  <cp:revision>2</cp:revision>
  <dcterms:created xsi:type="dcterms:W3CDTF">2018-12-19T16:01:00Z</dcterms:created>
  <dcterms:modified xsi:type="dcterms:W3CDTF">2018-12-19T16:01:00Z</dcterms:modified>
</cp:coreProperties>
</file>