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90B" w:rsidRPr="007164D4" w:rsidRDefault="0064690B" w:rsidP="0064690B">
      <w:pPr>
        <w:spacing w:line="360" w:lineRule="auto"/>
        <w:jc w:val="both"/>
        <w:rPr>
          <w:b/>
          <w:sz w:val="24"/>
          <w:szCs w:val="24"/>
        </w:rPr>
      </w:pPr>
      <w:r w:rsidRPr="007164D4">
        <w:rPr>
          <w:b/>
          <w:sz w:val="24"/>
          <w:szCs w:val="24"/>
        </w:rPr>
        <w:t>Supplementary Material</w:t>
      </w:r>
    </w:p>
    <w:p w:rsidR="0064690B" w:rsidRDefault="0064690B" w:rsidP="0064690B">
      <w:pPr>
        <w:spacing w:line="360" w:lineRule="auto"/>
        <w:jc w:val="both"/>
        <w:rPr>
          <w:b/>
        </w:rPr>
      </w:pPr>
    </w:p>
    <w:p w:rsidR="0064690B" w:rsidRPr="00843989" w:rsidRDefault="0064690B" w:rsidP="0064690B">
      <w:pPr>
        <w:spacing w:line="360" w:lineRule="auto"/>
        <w:jc w:val="both"/>
        <w:rPr>
          <w:b/>
        </w:rPr>
      </w:pPr>
      <w:r w:rsidRPr="00843989">
        <w:rPr>
          <w:b/>
        </w:rPr>
        <w:t>Table S1</w:t>
      </w:r>
      <w:r w:rsidR="0065348D">
        <w:rPr>
          <w:b/>
        </w:rPr>
        <w:t>. SNP Pruning</w:t>
      </w:r>
    </w:p>
    <w:p w:rsidR="0064690B" w:rsidRDefault="0064690B" w:rsidP="0064690B">
      <w:pPr>
        <w:spacing w:line="360" w:lineRule="auto"/>
        <w:jc w:val="both"/>
      </w:pPr>
      <w:r w:rsidRPr="001A0B2E">
        <w:rPr>
          <w:noProof/>
          <w:lang w:eastAsia="en-AU"/>
        </w:rPr>
        <w:drawing>
          <wp:inline distT="0" distB="0" distL="0" distR="0" wp14:anchorId="750280AA" wp14:editId="7C0F01E6">
            <wp:extent cx="4175791" cy="1521725"/>
            <wp:effectExtent l="0" t="0" r="0" b="254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4"/>
                    <a:srcRect t="7411" b="8595"/>
                    <a:stretch/>
                  </pic:blipFill>
                  <pic:spPr bwMode="auto">
                    <a:xfrm>
                      <a:off x="0" y="0"/>
                      <a:ext cx="4193389" cy="1528138"/>
                    </a:xfrm>
                    <a:prstGeom prst="rect">
                      <a:avLst/>
                    </a:prstGeom>
                    <a:ln>
                      <a:noFill/>
                    </a:ln>
                    <a:extLst>
                      <a:ext uri="{53640926-AAD7-44D8-BBD7-CCE9431645EC}">
                        <a14:shadowObscured xmlns:a14="http://schemas.microsoft.com/office/drawing/2010/main"/>
                      </a:ext>
                    </a:extLst>
                  </pic:spPr>
                </pic:pic>
              </a:graphicData>
            </a:graphic>
          </wp:inline>
        </w:drawing>
      </w:r>
    </w:p>
    <w:p w:rsidR="00A06C10" w:rsidRDefault="00A06C10" w:rsidP="0064690B"/>
    <w:p w:rsidR="00A06C10" w:rsidRDefault="00A06C10">
      <w:pPr>
        <w:rPr>
          <w:b/>
        </w:rPr>
      </w:pPr>
      <w:r>
        <w:rPr>
          <w:b/>
        </w:rPr>
        <w:br w:type="page"/>
      </w:r>
    </w:p>
    <w:p w:rsidR="00A06C10" w:rsidRPr="00843989" w:rsidRDefault="00A06C10" w:rsidP="00A06C10">
      <w:pPr>
        <w:spacing w:line="360" w:lineRule="auto"/>
        <w:jc w:val="both"/>
        <w:rPr>
          <w:b/>
        </w:rPr>
      </w:pPr>
      <w:r w:rsidRPr="00843989">
        <w:rPr>
          <w:b/>
        </w:rPr>
        <w:lastRenderedPageBreak/>
        <w:t>Table S</w:t>
      </w:r>
      <w:r>
        <w:rPr>
          <w:b/>
        </w:rPr>
        <w:t>2</w:t>
      </w:r>
      <w:r w:rsidR="00D764C7">
        <w:rPr>
          <w:b/>
        </w:rPr>
        <w:t>. Read Mapping Statistics</w:t>
      </w:r>
    </w:p>
    <w:p w:rsidR="00D764C7" w:rsidRDefault="0040095E" w:rsidP="0064690B">
      <w:r w:rsidRPr="0040095E">
        <w:rPr>
          <w:noProof/>
        </w:rPr>
        <w:drawing>
          <wp:inline distT="0" distB="0" distL="0" distR="0">
            <wp:extent cx="4703445" cy="175133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3445" cy="1751330"/>
                    </a:xfrm>
                    <a:prstGeom prst="rect">
                      <a:avLst/>
                    </a:prstGeom>
                    <a:noFill/>
                    <a:ln>
                      <a:noFill/>
                    </a:ln>
                  </pic:spPr>
                </pic:pic>
              </a:graphicData>
            </a:graphic>
          </wp:inline>
        </w:drawing>
      </w:r>
    </w:p>
    <w:p w:rsidR="00A06C10" w:rsidRDefault="00D764C7" w:rsidP="00D764C7">
      <w:pPr>
        <w:jc w:val="both"/>
      </w:pPr>
      <w:proofErr w:type="spellStart"/>
      <w:r>
        <w:t>Blacklip</w:t>
      </w:r>
      <w:proofErr w:type="spellEnd"/>
      <w:r>
        <w:t xml:space="preserve"> (BL), </w:t>
      </w:r>
      <w:proofErr w:type="spellStart"/>
      <w:r>
        <w:t>Greenlip</w:t>
      </w:r>
      <w:proofErr w:type="spellEnd"/>
      <w:r>
        <w:t xml:space="preserve"> (GL) and Hybrid (HY) abalone sequence reads were each mapped to the </w:t>
      </w:r>
      <w:proofErr w:type="spellStart"/>
      <w:r>
        <w:t>greenlip</w:t>
      </w:r>
      <w:proofErr w:type="spellEnd"/>
      <w:r>
        <w:t xml:space="preserve"> abalone genome reference assembly. For each </w:t>
      </w:r>
      <w:r w:rsidR="0040095E">
        <w:t xml:space="preserve">sequence </w:t>
      </w:r>
      <w:r>
        <w:t xml:space="preserve">dataset, the total number of trimmed reads is shown, along with the percentage successfully mapped. The mate pair architecture of library construction was exploited to determine the percentage of reads that mapped with their mate pair in the correct orientation and spacing. The last metric provided reflects the number of reads with a mate pair mapped to a </w:t>
      </w:r>
      <w:r w:rsidR="0040095E">
        <w:t>different</w:t>
      </w:r>
      <w:r>
        <w:t xml:space="preserve"> contig.</w:t>
      </w:r>
    </w:p>
    <w:p w:rsidR="007A74A6" w:rsidRDefault="009B30D3">
      <w:bookmarkStart w:id="0" w:name="_GoBack"/>
      <w:bookmarkEnd w:id="0"/>
    </w:p>
    <w:sectPr w:rsidR="007A7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90B"/>
    <w:rsid w:val="0010117E"/>
    <w:rsid w:val="0040095E"/>
    <w:rsid w:val="0064690B"/>
    <w:rsid w:val="0065348D"/>
    <w:rsid w:val="009B30D3"/>
    <w:rsid w:val="00A06C10"/>
    <w:rsid w:val="00D764C7"/>
    <w:rsid w:val="00EC6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8D92"/>
  <w15:chartTrackingRefBased/>
  <w15:docId w15:val="{111FB122-515E-4283-AD52-42D403AF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Kijas, James (Agriculture, St. Lucia)</dc:creator>
  <cp:keywords/>
  <dc:description/>
  <cp:lastModifiedBy>Jasmine Walter</cp:lastModifiedBy>
  <cp:revision>2</cp:revision>
  <dcterms:created xsi:type="dcterms:W3CDTF">2018-12-19T10:37:00Z</dcterms:created>
  <dcterms:modified xsi:type="dcterms:W3CDTF">2018-12-19T10:37:00Z</dcterms:modified>
</cp:coreProperties>
</file>