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0D" w:rsidRDefault="00B160FB" w:rsidP="00B2670D">
      <w:pPr>
        <w:pStyle w:val="PlainText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50B63">
        <w:rPr>
          <w:rFonts w:ascii="Times New Roman" w:hAnsi="Times New Roman" w:cs="Times New Roman"/>
          <w:b/>
          <w:sz w:val="24"/>
          <w:szCs w:val="24"/>
          <w:lang w:val="en-GB"/>
        </w:rPr>
        <w:t>Supplemental</w:t>
      </w:r>
      <w:r w:rsidR="00B2670D" w:rsidRPr="00050B6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050B63">
        <w:rPr>
          <w:rFonts w:ascii="Times New Roman" w:hAnsi="Times New Roman" w:cs="Times New Roman"/>
          <w:b/>
          <w:sz w:val="24"/>
          <w:szCs w:val="24"/>
          <w:lang w:val="en-GB"/>
        </w:rPr>
        <w:t>Material</w:t>
      </w:r>
    </w:p>
    <w:p w:rsidR="00050B63" w:rsidRPr="00050B63" w:rsidRDefault="00050B63" w:rsidP="00B2670D">
      <w:pPr>
        <w:pStyle w:val="PlainText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2670D" w:rsidRDefault="00B2670D" w:rsidP="00B2670D">
      <w:pPr>
        <w:pStyle w:val="PlainText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D0E36" w:rsidRDefault="005D0E36" w:rsidP="005D0E36">
      <w:pPr>
        <w:pStyle w:val="PlainText"/>
        <w:spacing w:line="36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Genome Mining of </w:t>
      </w:r>
      <w:r>
        <w:rPr>
          <w:rFonts w:ascii="Times New Roman" w:hAnsi="Times New Roman" w:cs="Times New Roman"/>
          <w:b/>
          <w:i/>
          <w:sz w:val="32"/>
          <w:szCs w:val="32"/>
          <w:lang w:val="en-GB"/>
        </w:rPr>
        <w:t>Streptomyces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sp. YIM 130001 Isolated from Lichen Affords new Thiopeptide Antibiotic </w:t>
      </w:r>
    </w:p>
    <w:p w:rsidR="00B2670D" w:rsidRDefault="00B2670D" w:rsidP="00B2670D">
      <w:pPr>
        <w:pStyle w:val="PlainText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2670D" w:rsidRDefault="00B2670D" w:rsidP="00B2670D">
      <w:pPr>
        <w:pStyle w:val="PlainText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F0B3A">
        <w:rPr>
          <w:rFonts w:ascii="Times New Roman" w:hAnsi="Times New Roman" w:cs="Times New Roman"/>
          <w:sz w:val="24"/>
          <w:szCs w:val="24"/>
          <w:lang w:val="en-GB"/>
        </w:rPr>
        <w:t>Olha Schneider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3F0B3A">
        <w:rPr>
          <w:rFonts w:ascii="Times New Roman" w:hAnsi="Times New Roman" w:cs="Times New Roman"/>
          <w:sz w:val="24"/>
          <w:szCs w:val="24"/>
          <w:lang w:val="en-GB"/>
        </w:rPr>
        <w:t>, Nebojsa Simic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3F0B3A">
        <w:rPr>
          <w:rFonts w:ascii="Times New Roman" w:hAnsi="Times New Roman" w:cs="Times New Roman"/>
          <w:sz w:val="24"/>
          <w:szCs w:val="24"/>
          <w:lang w:val="en-GB"/>
        </w:rPr>
        <w:t>, Finn Lillelund Aachmann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3F0B3A">
        <w:rPr>
          <w:rFonts w:ascii="Times New Roman" w:hAnsi="Times New Roman" w:cs="Times New Roman"/>
          <w:sz w:val="24"/>
          <w:szCs w:val="24"/>
          <w:lang w:val="en-GB"/>
        </w:rPr>
        <w:t>, Christian Rückert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3F0B3A">
        <w:rPr>
          <w:rFonts w:ascii="Times New Roman" w:hAnsi="Times New Roman" w:cs="Times New Roman"/>
          <w:sz w:val="24"/>
          <w:szCs w:val="24"/>
          <w:lang w:val="en-GB"/>
        </w:rPr>
        <w:t>, Kåre Andre Kristiansen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3F0B3A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F0B3A">
        <w:rPr>
          <w:rFonts w:ascii="Times New Roman" w:hAnsi="Times New Roman" w:cs="Times New Roman"/>
          <w:sz w:val="24"/>
          <w:szCs w:val="24"/>
          <w:lang w:val="en-GB"/>
        </w:rPr>
        <w:t>Jörn Kalinowski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3F0B3A">
        <w:rPr>
          <w:rFonts w:ascii="Times New Roman" w:hAnsi="Times New Roman" w:cs="Times New Roman"/>
          <w:sz w:val="24"/>
          <w:szCs w:val="24"/>
          <w:lang w:val="en-GB"/>
        </w:rPr>
        <w:t>, Yi Jiang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 w:rsidRPr="003F0B3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Lisong Wang</w:t>
      </w:r>
      <w:r w:rsidRPr="00CA218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3F0B3A">
        <w:rPr>
          <w:rFonts w:ascii="Times New Roman" w:hAnsi="Times New Roman" w:cs="Times New Roman"/>
          <w:sz w:val="24"/>
          <w:szCs w:val="24"/>
          <w:lang w:val="en-GB"/>
        </w:rPr>
        <w:t>Cheng-lin Jiang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 w:rsidRPr="003F0B3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A2184">
        <w:rPr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Rahmi Lale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3F0B3A">
        <w:rPr>
          <w:rFonts w:ascii="Times New Roman" w:hAnsi="Times New Roman" w:cs="Times New Roman"/>
          <w:sz w:val="24"/>
          <w:szCs w:val="24"/>
          <w:lang w:val="en-GB"/>
        </w:rPr>
        <w:t>Sergey B. Zotchev</w:t>
      </w:r>
      <w:r>
        <w:rPr>
          <w:rFonts w:ascii="Times New Roman" w:hAnsi="Times New Roman" w:cs="Times New Roman"/>
          <w:sz w:val="24"/>
          <w:szCs w:val="24"/>
          <w:lang w:val="en-GB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6</w:t>
      </w:r>
    </w:p>
    <w:p w:rsidR="00B2670D" w:rsidRDefault="00B2670D" w:rsidP="00C27012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2670D" w:rsidRDefault="00B2670D" w:rsidP="00C270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7012" w:rsidRPr="00C27012" w:rsidRDefault="00C27012" w:rsidP="00C2701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7012">
        <w:rPr>
          <w:rFonts w:ascii="Times New Roman" w:hAnsi="Times New Roman" w:cs="Times New Roman"/>
          <w:b/>
          <w:sz w:val="24"/>
          <w:szCs w:val="24"/>
          <w:lang w:val="en-US"/>
        </w:rPr>
        <w:t>Table S1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C270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27012">
        <w:rPr>
          <w:rFonts w:ascii="Times New Roman" w:hAnsi="Times New Roman" w:cs="Times New Roman"/>
          <w:i/>
          <w:sz w:val="24"/>
          <w:szCs w:val="24"/>
          <w:lang w:val="en-US"/>
        </w:rPr>
        <w:t>Streptomyces</w:t>
      </w:r>
      <w:r w:rsidRPr="00C27012">
        <w:rPr>
          <w:rFonts w:ascii="Times New Roman" w:hAnsi="Times New Roman" w:cs="Times New Roman"/>
          <w:sz w:val="24"/>
          <w:szCs w:val="24"/>
          <w:lang w:val="en-US"/>
        </w:rPr>
        <w:t xml:space="preserve"> sp. YIM 130001 genome features</w:t>
      </w:r>
    </w:p>
    <w:p w:rsidR="00C27012" w:rsidRPr="00C27012" w:rsidRDefault="00C27012" w:rsidP="00C270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2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6"/>
        <w:gridCol w:w="1756"/>
      </w:tblGrid>
      <w:tr w:rsidR="00C27012" w:rsidRPr="00C27012" w:rsidTr="00F103DE">
        <w:trPr>
          <w:trHeight w:val="300"/>
          <w:jc w:val="center"/>
        </w:trPr>
        <w:tc>
          <w:tcPr>
            <w:tcW w:w="35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012" w:rsidRPr="00C27012" w:rsidRDefault="00C27012" w:rsidP="00F103D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270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Genome Feature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012" w:rsidRPr="00C27012" w:rsidRDefault="00C27012" w:rsidP="00F103D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270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Value</w:t>
            </w:r>
          </w:p>
        </w:tc>
      </w:tr>
      <w:tr w:rsidR="00C27012" w:rsidRPr="00C27012" w:rsidTr="00F103DE">
        <w:trPr>
          <w:trHeight w:val="300"/>
          <w:jc w:val="center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012" w:rsidRPr="00C27012" w:rsidRDefault="00C27012" w:rsidP="00F103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7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Genome size (bp)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012" w:rsidRPr="00C27012" w:rsidRDefault="00C27012" w:rsidP="00F103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70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8,025,327</w:t>
            </w:r>
          </w:p>
        </w:tc>
      </w:tr>
      <w:tr w:rsidR="00C27012" w:rsidRPr="00C27012" w:rsidTr="00F103DE">
        <w:trPr>
          <w:trHeight w:val="300"/>
          <w:jc w:val="center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012" w:rsidRPr="00C27012" w:rsidRDefault="00C27012" w:rsidP="00F103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of contigs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012" w:rsidRPr="00C27012" w:rsidRDefault="00C27012" w:rsidP="00F103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70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</w:t>
            </w:r>
          </w:p>
        </w:tc>
      </w:tr>
      <w:tr w:rsidR="00C27012" w:rsidRPr="00C27012" w:rsidTr="00F103DE">
        <w:trPr>
          <w:trHeight w:val="300"/>
          <w:jc w:val="center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012" w:rsidRPr="00C27012" w:rsidRDefault="00C27012" w:rsidP="00F103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of scaffolds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012" w:rsidRPr="00C27012" w:rsidRDefault="00C27012" w:rsidP="00F103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70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</w:t>
            </w:r>
          </w:p>
        </w:tc>
      </w:tr>
      <w:tr w:rsidR="00C27012" w:rsidRPr="00C27012" w:rsidTr="00F103DE">
        <w:trPr>
          <w:trHeight w:val="300"/>
          <w:jc w:val="center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012" w:rsidRPr="00C27012" w:rsidRDefault="00C27012" w:rsidP="00F103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of genes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012" w:rsidRPr="00C27012" w:rsidRDefault="00C27012" w:rsidP="00F103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70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7,083</w:t>
            </w:r>
          </w:p>
        </w:tc>
      </w:tr>
      <w:tr w:rsidR="00C27012" w:rsidRPr="00C27012" w:rsidTr="00F103DE">
        <w:trPr>
          <w:trHeight w:val="300"/>
          <w:jc w:val="center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012" w:rsidRPr="00C27012" w:rsidRDefault="00C27012" w:rsidP="00F103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7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of CDSs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012" w:rsidRPr="00C27012" w:rsidRDefault="00C27012" w:rsidP="00F103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70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7,003</w:t>
            </w:r>
          </w:p>
        </w:tc>
      </w:tr>
      <w:tr w:rsidR="00C27012" w:rsidRPr="00C27012" w:rsidTr="00F103DE">
        <w:trPr>
          <w:trHeight w:val="300"/>
          <w:jc w:val="center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12" w:rsidRPr="00C27012" w:rsidRDefault="00C27012" w:rsidP="00F103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- with function prediction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12" w:rsidRPr="00C27012" w:rsidRDefault="00C27012" w:rsidP="00F103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70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5,121</w:t>
            </w:r>
          </w:p>
        </w:tc>
      </w:tr>
      <w:tr w:rsidR="00C27012" w:rsidRPr="00C27012" w:rsidTr="00F103DE">
        <w:trPr>
          <w:trHeight w:val="300"/>
          <w:jc w:val="center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12" w:rsidRPr="00C27012" w:rsidRDefault="00C27012" w:rsidP="00F103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- with signal peptide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12" w:rsidRPr="00C27012" w:rsidRDefault="00C27012" w:rsidP="00F103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70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652</w:t>
            </w:r>
          </w:p>
        </w:tc>
      </w:tr>
      <w:tr w:rsidR="00C27012" w:rsidRPr="00C27012" w:rsidTr="00F103DE">
        <w:trPr>
          <w:trHeight w:val="300"/>
          <w:jc w:val="center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12" w:rsidRPr="00C27012" w:rsidRDefault="00C27012" w:rsidP="00F103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of t(m)RNA genes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12" w:rsidRPr="00C27012" w:rsidRDefault="00C27012" w:rsidP="00F103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70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</w:tr>
      <w:tr w:rsidR="00C27012" w:rsidRPr="00C27012" w:rsidTr="00F103DE">
        <w:trPr>
          <w:trHeight w:val="300"/>
          <w:jc w:val="center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12" w:rsidRPr="00C27012" w:rsidRDefault="00C27012" w:rsidP="00F103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of other ncRNA features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12" w:rsidRPr="00C27012" w:rsidRDefault="00C27012" w:rsidP="00F103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C27012" w:rsidRPr="00C27012" w:rsidTr="00F103DE">
        <w:trPr>
          <w:trHeight w:val="315"/>
          <w:jc w:val="center"/>
        </w:trPr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012" w:rsidRPr="00C27012" w:rsidRDefault="00C27012" w:rsidP="00F103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7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G+C mol %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012" w:rsidRPr="00C27012" w:rsidRDefault="00C27012" w:rsidP="00F103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70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70.75</w:t>
            </w:r>
          </w:p>
        </w:tc>
      </w:tr>
    </w:tbl>
    <w:p w:rsidR="00C27012" w:rsidRPr="00C27012" w:rsidRDefault="00C27012" w:rsidP="00C2701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670D" w:rsidRDefault="00B2670D" w:rsidP="00C937B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937B9" w:rsidRPr="00FB6E98" w:rsidRDefault="00C937B9" w:rsidP="00C937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3188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S</w:t>
      </w:r>
      <w:r w:rsidR="00C27012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>. Oligonucleotides used in this study (Italic: endonuclease restriction enzyme site)</w:t>
      </w:r>
    </w:p>
    <w:tbl>
      <w:tblPr>
        <w:tblW w:w="8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6627"/>
      </w:tblGrid>
      <w:tr w:rsidR="00C937B9" w:rsidRPr="004E7FE4" w:rsidTr="00635B55">
        <w:trPr>
          <w:trHeight w:val="26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7B9" w:rsidRPr="006F3188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Oligonucleotide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7B9" w:rsidRPr="00D87D91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Oligonucleotide sequence</w:t>
            </w:r>
          </w:p>
        </w:tc>
      </w:tr>
      <w:tr w:rsidR="00C937B9" w:rsidRPr="004E7FE4" w:rsidTr="00635B55">
        <w:trPr>
          <w:trHeight w:val="26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7B9" w:rsidRPr="004E7FE4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278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  <w:t>genB</w:t>
            </w:r>
            <w:r w:rsidRPr="00D87D9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_HindIII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7B9" w:rsidRPr="004E7FE4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D9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CGATAAG</w:t>
            </w:r>
            <w:r w:rsidRPr="00D87D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  <w:t>AAGCTT</w:t>
            </w:r>
            <w:r w:rsidRPr="00D87D9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TGCCCTCGGGAGGCCACCAG</w:t>
            </w:r>
          </w:p>
        </w:tc>
      </w:tr>
      <w:tr w:rsidR="00C937B9" w:rsidRPr="004E7FE4" w:rsidTr="00635B55">
        <w:trPr>
          <w:trHeight w:val="26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7B9" w:rsidRPr="004E7FE4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278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  <w:t>genB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</w:t>
            </w:r>
            <w:r w:rsidRPr="00D87D9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EcoRI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7B9" w:rsidRPr="004E7FE4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D9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GAAAGC</w:t>
            </w:r>
            <w:r w:rsidRPr="00D87D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  <w:t>GAATTC</w:t>
            </w:r>
            <w:r w:rsidRPr="00D87D9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TGCTCACGCTGGGCGGTCTG</w:t>
            </w:r>
          </w:p>
        </w:tc>
      </w:tr>
      <w:tr w:rsidR="00C937B9" w:rsidRPr="004E7FE4" w:rsidTr="00635B55">
        <w:trPr>
          <w:trHeight w:val="26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9" w:rsidRPr="004E7FE4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278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  <w:t>genB</w:t>
            </w:r>
            <w:r w:rsidRPr="00D87D9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_fwd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7B9" w:rsidRPr="004E7FE4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D9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ACTGCTCGTGAACTGGGTACTC</w:t>
            </w:r>
          </w:p>
        </w:tc>
      </w:tr>
      <w:tr w:rsidR="00C937B9" w:rsidRPr="004E7FE4" w:rsidTr="00635B55">
        <w:trPr>
          <w:trHeight w:val="26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9" w:rsidRPr="004E7FE4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278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  <w:t>genB</w:t>
            </w:r>
            <w:r w:rsidRPr="00D87D9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_rev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7B9" w:rsidRPr="004E7FE4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D9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GATCCGCTCGAACCTCCAGATG</w:t>
            </w:r>
          </w:p>
        </w:tc>
      </w:tr>
    </w:tbl>
    <w:p w:rsidR="00C27012" w:rsidRDefault="00C27012" w:rsidP="00C937B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937B9" w:rsidRPr="004E7FE4" w:rsidRDefault="00C937B9" w:rsidP="00C937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188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C2701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 Plasmids and strains used in this work</w:t>
      </w:r>
    </w:p>
    <w:tbl>
      <w:tblPr>
        <w:tblW w:w="9769" w:type="dxa"/>
        <w:tblInd w:w="93" w:type="dxa"/>
        <w:tblLook w:val="04A0" w:firstRow="1" w:lastRow="0" w:firstColumn="1" w:lastColumn="0" w:noHBand="0" w:noVBand="1"/>
      </w:tblPr>
      <w:tblGrid>
        <w:gridCol w:w="3015"/>
        <w:gridCol w:w="4235"/>
        <w:gridCol w:w="2519"/>
      </w:tblGrid>
      <w:tr w:rsidR="00C937B9" w:rsidRPr="006F3188" w:rsidTr="00635B55">
        <w:trPr>
          <w:trHeight w:val="288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B9" w:rsidRPr="006F3188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F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Plasmid 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B9" w:rsidRPr="006F3188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6F3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Description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B9" w:rsidRPr="006F3188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6F3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Source</w:t>
            </w:r>
          </w:p>
        </w:tc>
      </w:tr>
      <w:tr w:rsidR="00C937B9" w:rsidRPr="004E7FE4" w:rsidTr="00635B55">
        <w:trPr>
          <w:trHeight w:val="288"/>
        </w:trPr>
        <w:tc>
          <w:tcPr>
            <w:tcW w:w="3015" w:type="dxa"/>
            <w:shd w:val="clear" w:color="auto" w:fill="auto"/>
            <w:noWrap/>
            <w:vAlign w:val="center"/>
          </w:tcPr>
          <w:p w:rsidR="00C937B9" w:rsidRPr="006F3188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F3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pSOK806</w:t>
            </w:r>
          </w:p>
        </w:tc>
        <w:tc>
          <w:tcPr>
            <w:tcW w:w="4235" w:type="dxa"/>
            <w:shd w:val="clear" w:color="auto" w:fill="auto"/>
            <w:noWrap/>
            <w:vAlign w:val="center"/>
          </w:tcPr>
          <w:p w:rsidR="00C937B9" w:rsidRPr="006F3188" w:rsidRDefault="00C937B9" w:rsidP="00635B55">
            <w:pPr>
              <w:pStyle w:val="simplepara"/>
              <w:rPr>
                <w:rStyle w:val="Emphasis"/>
              </w:rPr>
            </w:pPr>
            <w:r w:rsidRPr="006F3188">
              <w:rPr>
                <w:iCs/>
                <w:color w:val="000000"/>
              </w:rPr>
              <w:t>ColE1</w:t>
            </w:r>
            <w:r w:rsidRPr="006F3188">
              <w:rPr>
                <w:color w:val="000000"/>
              </w:rPr>
              <w:t>replicon origin, Am</w:t>
            </w:r>
            <w:r w:rsidRPr="006F3188">
              <w:rPr>
                <w:color w:val="000000"/>
                <w:vertAlign w:val="superscript"/>
              </w:rPr>
              <w:t>R</w:t>
            </w:r>
            <w:r w:rsidRPr="006F3188">
              <w:rPr>
                <w:color w:val="000000"/>
              </w:rPr>
              <w:t xml:space="preserve">, </w:t>
            </w:r>
            <w:r w:rsidRPr="006F3188">
              <w:rPr>
                <w:iCs/>
                <w:color w:val="000000"/>
              </w:rPr>
              <w:t xml:space="preserve">RP4 </w:t>
            </w:r>
            <w:r w:rsidRPr="006F3188">
              <w:rPr>
                <w:i/>
                <w:iCs/>
                <w:color w:val="000000"/>
              </w:rPr>
              <w:t>ori</w:t>
            </w:r>
            <w:r w:rsidRPr="006F3188">
              <w:rPr>
                <w:iCs/>
                <w:color w:val="000000"/>
              </w:rPr>
              <w:t>T</w:t>
            </w:r>
            <w:r w:rsidRPr="006F3188">
              <w:rPr>
                <w:i/>
                <w:iCs/>
                <w:color w:val="000000"/>
              </w:rPr>
              <w:t>,attP</w:t>
            </w:r>
            <w:r w:rsidRPr="006F3188">
              <w:rPr>
                <w:color w:val="000000"/>
                <w:vertAlign w:val="subscript"/>
              </w:rPr>
              <w:t>,</w:t>
            </w:r>
            <w:r w:rsidRPr="006F3188">
              <w:rPr>
                <w:i/>
                <w:iCs/>
                <w:color w:val="000000"/>
              </w:rPr>
              <w:t>int</w:t>
            </w:r>
            <w:r w:rsidRPr="006F3188">
              <w:rPr>
                <w:color w:val="000000"/>
              </w:rPr>
              <w:t xml:space="preserve">, </w:t>
            </w:r>
            <w:r w:rsidRPr="006F3188">
              <w:rPr>
                <w:i/>
                <w:iCs/>
                <w:color w:val="000000"/>
              </w:rPr>
              <w:t>ermE*</w:t>
            </w:r>
            <w:r w:rsidRPr="006F3188">
              <w:rPr>
                <w:color w:val="000000"/>
              </w:rPr>
              <w:t>p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C937B9" w:rsidRPr="004E7FE4" w:rsidRDefault="00382477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(1)</w:t>
            </w:r>
          </w:p>
        </w:tc>
      </w:tr>
      <w:tr w:rsidR="00C937B9" w:rsidRPr="004E7FE4" w:rsidTr="00635B55">
        <w:trPr>
          <w:trHeight w:val="288"/>
        </w:trPr>
        <w:tc>
          <w:tcPr>
            <w:tcW w:w="3015" w:type="dxa"/>
            <w:shd w:val="clear" w:color="auto" w:fill="auto"/>
            <w:noWrap/>
          </w:tcPr>
          <w:p w:rsidR="00C937B9" w:rsidRPr="004E7FE4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4E7F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pSOK201</w:t>
            </w:r>
          </w:p>
        </w:tc>
        <w:tc>
          <w:tcPr>
            <w:tcW w:w="4235" w:type="dxa"/>
            <w:shd w:val="clear" w:color="auto" w:fill="auto"/>
            <w:noWrap/>
          </w:tcPr>
          <w:p w:rsidR="00C937B9" w:rsidRPr="004E7FE4" w:rsidRDefault="00C937B9" w:rsidP="00635B55">
            <w:pPr>
              <w:pStyle w:val="simplepara"/>
            </w:pPr>
            <w:r w:rsidRPr="004E7FE4">
              <w:t>pSG5 minimal replicon, Am</w:t>
            </w:r>
            <w:r w:rsidRPr="004E7FE4">
              <w:rPr>
                <w:vertAlign w:val="superscript"/>
              </w:rPr>
              <w:t>R</w:t>
            </w:r>
            <w:r w:rsidRPr="004E7FE4">
              <w:t xml:space="preserve">, </w:t>
            </w:r>
            <w:r w:rsidRPr="004E7FE4">
              <w:rPr>
                <w:rStyle w:val="Emphasis"/>
              </w:rPr>
              <w:t>RP4 oriT</w:t>
            </w:r>
            <w:r w:rsidRPr="004E7FE4">
              <w:t xml:space="preserve">, </w:t>
            </w:r>
            <w:r w:rsidRPr="002831E3">
              <w:rPr>
                <w:rStyle w:val="Emphasis"/>
              </w:rPr>
              <w:t>ColEI</w:t>
            </w:r>
            <w:r w:rsidRPr="002831E3">
              <w:rPr>
                <w:i/>
              </w:rPr>
              <w:t xml:space="preserve"> </w:t>
            </w:r>
            <w:r w:rsidRPr="004E7FE4">
              <w:t>replication origin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C937B9" w:rsidRPr="004E7FE4" w:rsidRDefault="00382477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(2)</w:t>
            </w:r>
          </w:p>
        </w:tc>
      </w:tr>
      <w:tr w:rsidR="00C937B9" w:rsidRPr="004E7FE4" w:rsidTr="00635B55">
        <w:trPr>
          <w:trHeight w:val="288"/>
        </w:trPr>
        <w:tc>
          <w:tcPr>
            <w:tcW w:w="3015" w:type="dxa"/>
            <w:shd w:val="clear" w:color="auto" w:fill="auto"/>
            <w:noWrap/>
            <w:vAlign w:val="center"/>
          </w:tcPr>
          <w:p w:rsidR="00C937B9" w:rsidRPr="004E7FE4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pC1_KN</w:t>
            </w:r>
          </w:p>
        </w:tc>
        <w:tc>
          <w:tcPr>
            <w:tcW w:w="4235" w:type="dxa"/>
            <w:shd w:val="clear" w:color="auto" w:fill="auto"/>
            <w:noWrap/>
            <w:vAlign w:val="center"/>
          </w:tcPr>
          <w:p w:rsidR="00C937B9" w:rsidRPr="004E7FE4" w:rsidRDefault="00C937B9" w:rsidP="00635B55">
            <w:pPr>
              <w:pStyle w:val="simplepara"/>
              <w:rPr>
                <w:color w:val="000000"/>
              </w:rPr>
            </w:pPr>
            <w:r w:rsidRPr="004E7FE4">
              <w:t xml:space="preserve">Suicide plasmid for disruption of the </w:t>
            </w:r>
            <w:r>
              <w:rPr>
                <w:rStyle w:val="Emphasis"/>
              </w:rPr>
              <w:t xml:space="preserve">genB </w:t>
            </w:r>
            <w:r w:rsidRPr="004E7FE4">
              <w:t>gene, Am</w:t>
            </w:r>
            <w:r w:rsidRPr="004E7FE4">
              <w:rPr>
                <w:vertAlign w:val="superscript"/>
              </w:rPr>
              <w:t>R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C937B9" w:rsidRPr="004E7FE4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E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This work</w:t>
            </w:r>
          </w:p>
        </w:tc>
      </w:tr>
      <w:tr w:rsidR="00C937B9" w:rsidRPr="004E7FE4" w:rsidTr="00635B55">
        <w:trPr>
          <w:trHeight w:val="288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37B9" w:rsidRPr="004E7FE4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E7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Bacterial strain 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37B9" w:rsidRPr="004E7FE4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E7F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                  Description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7B9" w:rsidRPr="004E7FE4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937B9" w:rsidRPr="004E7FE4" w:rsidTr="00635B55">
        <w:trPr>
          <w:trHeight w:val="288"/>
        </w:trPr>
        <w:tc>
          <w:tcPr>
            <w:tcW w:w="3015" w:type="dxa"/>
            <w:shd w:val="clear" w:color="auto" w:fill="auto"/>
            <w:noWrap/>
          </w:tcPr>
          <w:p w:rsidR="00C937B9" w:rsidRPr="004E7FE4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E7F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E. coli</w:t>
            </w:r>
            <w:r w:rsidRPr="004E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XL1 Blue</w:t>
            </w:r>
          </w:p>
        </w:tc>
        <w:tc>
          <w:tcPr>
            <w:tcW w:w="4235" w:type="dxa"/>
            <w:shd w:val="clear" w:color="auto" w:fill="auto"/>
            <w:noWrap/>
          </w:tcPr>
          <w:p w:rsidR="00C937B9" w:rsidRPr="004E7FE4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general cloning host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C937B9" w:rsidRPr="004E7FE4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New England Biolabs</w:t>
            </w:r>
          </w:p>
        </w:tc>
      </w:tr>
      <w:tr w:rsidR="00C937B9" w:rsidRPr="004E7FE4" w:rsidTr="00635B55">
        <w:trPr>
          <w:trHeight w:val="288"/>
        </w:trPr>
        <w:tc>
          <w:tcPr>
            <w:tcW w:w="3015" w:type="dxa"/>
            <w:shd w:val="clear" w:color="auto" w:fill="auto"/>
            <w:noWrap/>
          </w:tcPr>
          <w:p w:rsidR="00C937B9" w:rsidRPr="004E7FE4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7F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E. coli</w:t>
            </w:r>
            <w:r w:rsidRPr="004E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ET12567/pUZ8002</w:t>
            </w:r>
          </w:p>
        </w:tc>
        <w:tc>
          <w:tcPr>
            <w:tcW w:w="4235" w:type="dxa"/>
            <w:shd w:val="clear" w:color="auto" w:fill="auto"/>
            <w:noWrap/>
          </w:tcPr>
          <w:p w:rsidR="00C937B9" w:rsidRPr="004E7FE4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E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strain for intergenic conjugation; Km</w:t>
            </w:r>
            <w:r w:rsidRPr="004E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GB"/>
              </w:rPr>
              <w:t>R</w:t>
            </w:r>
            <w:r w:rsidRPr="004E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 Cm</w:t>
            </w:r>
            <w:r w:rsidRPr="004E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GB"/>
              </w:rPr>
              <w:t>R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C937B9" w:rsidRPr="004E7FE4" w:rsidRDefault="00382477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(3)</w:t>
            </w:r>
          </w:p>
        </w:tc>
      </w:tr>
      <w:tr w:rsidR="00C937B9" w:rsidRPr="004E7FE4" w:rsidTr="00635B55">
        <w:trPr>
          <w:trHeight w:val="288"/>
        </w:trPr>
        <w:tc>
          <w:tcPr>
            <w:tcW w:w="3015" w:type="dxa"/>
            <w:shd w:val="clear" w:color="auto" w:fill="auto"/>
            <w:noWrap/>
          </w:tcPr>
          <w:p w:rsidR="00C937B9" w:rsidRPr="004E7FE4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YIM 130001</w:t>
            </w:r>
          </w:p>
        </w:tc>
        <w:tc>
          <w:tcPr>
            <w:tcW w:w="4235" w:type="dxa"/>
            <w:shd w:val="clear" w:color="auto" w:fill="auto"/>
            <w:noWrap/>
          </w:tcPr>
          <w:p w:rsidR="00C937B9" w:rsidRPr="004E7FE4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Wild-type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C937B9" w:rsidRPr="004E7FE4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This work</w:t>
            </w:r>
          </w:p>
        </w:tc>
      </w:tr>
      <w:tr w:rsidR="00C937B9" w:rsidRPr="009C392E" w:rsidTr="00635B55">
        <w:trPr>
          <w:trHeight w:val="288"/>
        </w:trPr>
        <w:tc>
          <w:tcPr>
            <w:tcW w:w="3015" w:type="dxa"/>
            <w:shd w:val="clear" w:color="auto" w:fill="auto"/>
            <w:noWrap/>
          </w:tcPr>
          <w:p w:rsidR="00C937B9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YIM 130001/pSOK806</w:t>
            </w:r>
          </w:p>
        </w:tc>
        <w:tc>
          <w:tcPr>
            <w:tcW w:w="4235" w:type="dxa"/>
            <w:shd w:val="clear" w:color="auto" w:fill="auto"/>
            <w:noWrap/>
          </w:tcPr>
          <w:p w:rsidR="00C937B9" w:rsidRPr="004E7FE4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Wild-type, harbouring empty pSOK806 vector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C937B9" w:rsidRPr="009C392E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This work</w:t>
            </w:r>
          </w:p>
        </w:tc>
      </w:tr>
      <w:tr w:rsidR="00C937B9" w:rsidRPr="008A7D4B" w:rsidTr="00635B55">
        <w:trPr>
          <w:trHeight w:val="288"/>
        </w:trPr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37B9" w:rsidRPr="004E7FE4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YIM 130001</w:t>
            </w:r>
            <w:r w:rsidRPr="004E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KN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37B9" w:rsidRPr="004E7FE4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Wild-type with integrated pC1_KN vector for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genB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gene disruption 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7B9" w:rsidRPr="004E7FE4" w:rsidRDefault="00C937B9" w:rsidP="0063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This work</w:t>
            </w:r>
          </w:p>
        </w:tc>
      </w:tr>
    </w:tbl>
    <w:p w:rsidR="00C27012" w:rsidRDefault="00C27012" w:rsidP="00C27012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2670D" w:rsidRDefault="00B2670D" w:rsidP="00C27012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27012" w:rsidRPr="001E3378" w:rsidRDefault="00B2670D" w:rsidP="00C2701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="00C27012" w:rsidRPr="00C27012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382477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="00C27012" w:rsidRPr="00C2701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C27012" w:rsidRPr="001E33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27012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27012" w:rsidRPr="001E3378">
        <w:rPr>
          <w:rFonts w:ascii="Times New Roman" w:hAnsi="Times New Roman" w:cs="Times New Roman"/>
          <w:sz w:val="24"/>
          <w:szCs w:val="24"/>
          <w:lang w:val="en-GB"/>
        </w:rPr>
        <w:t xml:space="preserve">ssigned </w:t>
      </w:r>
      <w:r w:rsidR="00C27012" w:rsidRPr="001E337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C27012" w:rsidRPr="001E3378">
        <w:rPr>
          <w:rFonts w:ascii="Times New Roman" w:hAnsi="Times New Roman" w:cs="Times New Roman"/>
          <w:sz w:val="24"/>
          <w:szCs w:val="24"/>
          <w:lang w:val="en-GB"/>
        </w:rPr>
        <w:t xml:space="preserve">H, </w:t>
      </w:r>
      <w:r w:rsidR="00C27012" w:rsidRPr="001E337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13</w:t>
      </w:r>
      <w:r w:rsidR="00C27012" w:rsidRPr="001E3378">
        <w:rPr>
          <w:rFonts w:ascii="Times New Roman" w:hAnsi="Times New Roman" w:cs="Times New Roman"/>
          <w:sz w:val="24"/>
          <w:szCs w:val="24"/>
          <w:lang w:val="en-GB"/>
        </w:rPr>
        <w:t xml:space="preserve">C and protonated </w:t>
      </w:r>
      <w:r w:rsidR="00C27012" w:rsidRPr="001E337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15</w:t>
      </w:r>
      <w:r w:rsidR="00C27012" w:rsidRPr="001E3378">
        <w:rPr>
          <w:rFonts w:ascii="Times New Roman" w:hAnsi="Times New Roman" w:cs="Times New Roman"/>
          <w:sz w:val="24"/>
          <w:szCs w:val="24"/>
          <w:lang w:val="en-GB"/>
        </w:rPr>
        <w:t xml:space="preserve">N shifts of </w:t>
      </w:r>
      <w:r>
        <w:rPr>
          <w:rFonts w:ascii="Times New Roman" w:hAnsi="Times New Roman" w:cs="Times New Roman"/>
          <w:sz w:val="24"/>
          <w:szCs w:val="24"/>
          <w:lang w:val="en-GB"/>
        </w:rPr>
        <w:t>the thio</w:t>
      </w:r>
      <w:r w:rsidR="00C27012" w:rsidRPr="001E3378">
        <w:rPr>
          <w:rFonts w:ascii="Times New Roman" w:hAnsi="Times New Roman" w:cs="Times New Roman"/>
          <w:sz w:val="24"/>
          <w:szCs w:val="24"/>
          <w:lang w:val="en-GB"/>
        </w:rPr>
        <w:t>peptide</w:t>
      </w:r>
    </w:p>
    <w:tbl>
      <w:tblPr>
        <w:tblStyle w:val="TableGrid"/>
        <w:tblW w:w="658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64"/>
        <w:gridCol w:w="1476"/>
        <w:gridCol w:w="236"/>
        <w:gridCol w:w="974"/>
        <w:gridCol w:w="1713"/>
        <w:gridCol w:w="425"/>
      </w:tblGrid>
      <w:tr w:rsidR="00C27012" w:rsidRPr="009F707E" w:rsidTr="00F103DE">
        <w:trPr>
          <w:cantSplit/>
          <w:tblHeader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7012" w:rsidRPr="00D97E00" w:rsidRDefault="00C27012" w:rsidP="00811755">
            <w:pPr>
              <w:spacing w:line="240" w:lineRule="auto"/>
              <w:jc w:val="center"/>
              <w:rPr>
                <w:b/>
              </w:rPr>
            </w:pPr>
            <w:r w:rsidRPr="00D97E00">
              <w:rPr>
                <w:b/>
              </w:rPr>
              <w:t>No.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  <w:rPr>
                <w:b/>
              </w:rPr>
            </w:pPr>
            <w:r w:rsidRPr="009F707E">
              <w:rPr>
                <w:b/>
              </w:rPr>
              <w:t xml:space="preserve">δ </w:t>
            </w:r>
            <w:r w:rsidRPr="009F707E">
              <w:rPr>
                <w:b/>
                <w:vertAlign w:val="superscript"/>
              </w:rPr>
              <w:t>13</w:t>
            </w:r>
            <w:r w:rsidRPr="009F707E">
              <w:rPr>
                <w:b/>
              </w:rPr>
              <w:t>C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  <w:rPr>
                <w:b/>
              </w:rPr>
            </w:pPr>
            <w:r w:rsidRPr="009F707E">
              <w:rPr>
                <w:b/>
              </w:rPr>
              <w:t xml:space="preserve">δ </w:t>
            </w:r>
            <w:r w:rsidRPr="009F707E">
              <w:rPr>
                <w:b/>
                <w:vertAlign w:val="superscript"/>
              </w:rPr>
              <w:t>1</w:t>
            </w:r>
            <w:r w:rsidRPr="009F707E">
              <w:rPr>
                <w:b/>
              </w:rPr>
              <w:t>H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  <w:rPr>
                <w:b/>
              </w:rPr>
            </w:pPr>
            <w:r w:rsidRPr="009F707E">
              <w:rPr>
                <w:b/>
              </w:rPr>
              <w:t xml:space="preserve">δ </w:t>
            </w:r>
            <w:r w:rsidRPr="009F707E">
              <w:rPr>
                <w:b/>
                <w:vertAlign w:val="superscript"/>
              </w:rPr>
              <w:t>1</w:t>
            </w:r>
            <w:r>
              <w:rPr>
                <w:b/>
                <w:vertAlign w:val="superscript"/>
              </w:rPr>
              <w:t>5</w:t>
            </w:r>
            <w:r>
              <w:rPr>
                <w:b/>
              </w:rPr>
              <w:t>N</w:t>
            </w:r>
            <w:r>
              <w:rPr>
                <w:rStyle w:val="FootnoteReference"/>
                <w:b/>
              </w:rPr>
              <w:footnoteReference w:customMarkFollows="1" w:id="1"/>
              <w:t>*</w:t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  <w:rPr>
                <w:b/>
              </w:rPr>
            </w:pPr>
            <w:r w:rsidRPr="009F707E">
              <w:rPr>
                <w:b/>
              </w:rPr>
              <w:t xml:space="preserve">δ </w:t>
            </w:r>
            <w:r w:rsidRPr="009F707E">
              <w:rPr>
                <w:b/>
                <w:vertAlign w:val="superscript"/>
              </w:rPr>
              <w:t>1</w:t>
            </w:r>
            <w:r w:rsidRPr="009F707E">
              <w:rPr>
                <w:b/>
              </w:rPr>
              <w:t>H</w:t>
            </w: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  <w:rPr>
                <w:b/>
              </w:rPr>
            </w:pPr>
          </w:p>
        </w:tc>
      </w:tr>
      <w:tr w:rsidR="00C27012" w:rsidRPr="009F707E" w:rsidTr="00F103DE"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27012" w:rsidRPr="009F707E" w:rsidRDefault="00C27012" w:rsidP="00811755">
            <w:pPr>
              <w:spacing w:before="120" w:line="240" w:lineRule="auto"/>
              <w:jc w:val="center"/>
            </w:pPr>
            <w:r w:rsidRPr="009F707E">
              <w:t>1</w:t>
            </w:r>
          </w:p>
        </w:tc>
        <w:tc>
          <w:tcPr>
            <w:tcW w:w="864" w:type="dxa"/>
            <w:tcBorders>
              <w:top w:val="single" w:sz="4" w:space="0" w:color="000000"/>
            </w:tcBorders>
            <w:shd w:val="clear" w:color="auto" w:fill="auto"/>
          </w:tcPr>
          <w:p w:rsidR="00C27012" w:rsidRPr="009F707E" w:rsidRDefault="00C27012" w:rsidP="00811755">
            <w:pPr>
              <w:spacing w:before="120" w:line="240" w:lineRule="auto"/>
              <w:jc w:val="center"/>
            </w:pPr>
            <w:r>
              <w:t>146</w:t>
            </w:r>
            <w:r w:rsidRPr="009F707E">
              <w:t>.</w:t>
            </w:r>
            <w:r>
              <w:t>8</w:t>
            </w:r>
          </w:p>
        </w:tc>
        <w:tc>
          <w:tcPr>
            <w:tcW w:w="1476" w:type="dxa"/>
            <w:tcBorders>
              <w:top w:val="single" w:sz="4" w:space="0" w:color="000000"/>
            </w:tcBorders>
            <w:shd w:val="clear" w:color="auto" w:fill="auto"/>
          </w:tcPr>
          <w:p w:rsidR="00C27012" w:rsidRPr="00F34F46" w:rsidRDefault="00C27012" w:rsidP="00811755">
            <w:pPr>
              <w:spacing w:before="120" w:line="240" w:lineRule="auto"/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C27012" w:rsidRPr="00F34F46" w:rsidRDefault="00C27012" w:rsidP="00811755">
            <w:pPr>
              <w:spacing w:before="120"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</w:tcBorders>
            <w:shd w:val="clear" w:color="auto" w:fill="auto"/>
          </w:tcPr>
          <w:p w:rsidR="00C27012" w:rsidRPr="00F34F46" w:rsidRDefault="00C27012" w:rsidP="00811755">
            <w:pPr>
              <w:spacing w:before="120" w:line="240" w:lineRule="auto"/>
              <w:jc w:val="center"/>
            </w:pPr>
          </w:p>
        </w:tc>
        <w:tc>
          <w:tcPr>
            <w:tcW w:w="1713" w:type="dxa"/>
            <w:tcBorders>
              <w:top w:val="single" w:sz="4" w:space="0" w:color="000000"/>
            </w:tcBorders>
            <w:shd w:val="clear" w:color="auto" w:fill="auto"/>
          </w:tcPr>
          <w:p w:rsidR="00C27012" w:rsidRPr="00F34F46" w:rsidRDefault="00C27012" w:rsidP="00811755">
            <w:pPr>
              <w:spacing w:before="12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F34F46" w:rsidRDefault="00C27012" w:rsidP="00811755">
            <w:pPr>
              <w:spacing w:before="120"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 w:rsidRPr="009F707E">
              <w:t>2</w:t>
            </w:r>
          </w:p>
        </w:tc>
        <w:tc>
          <w:tcPr>
            <w:tcW w:w="864" w:type="dxa"/>
            <w:shd w:val="clear" w:color="auto" w:fill="auto"/>
          </w:tcPr>
          <w:p w:rsidR="00C27012" w:rsidRPr="00435BBF" w:rsidRDefault="00C27012" w:rsidP="00811755">
            <w:pPr>
              <w:spacing w:line="240" w:lineRule="auto"/>
              <w:jc w:val="center"/>
            </w:pPr>
            <w:r w:rsidRPr="009F707E">
              <w:t>1</w:t>
            </w:r>
            <w:r>
              <w:t>30</w:t>
            </w:r>
            <w:r w:rsidRPr="009F707E">
              <w:t>.</w:t>
            </w:r>
            <w:r>
              <w:t>3</w:t>
            </w:r>
          </w:p>
        </w:tc>
        <w:tc>
          <w:tcPr>
            <w:tcW w:w="1476" w:type="dxa"/>
            <w:shd w:val="clear" w:color="auto" w:fill="auto"/>
          </w:tcPr>
          <w:p w:rsidR="00C27012" w:rsidRPr="00F34F46" w:rsidRDefault="00C27012" w:rsidP="0081175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C27012" w:rsidRPr="00F34F46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F34F46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F34F46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F34F46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 w:rsidRPr="009F707E">
              <w:t>3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140.9</w:t>
            </w:r>
          </w:p>
        </w:tc>
        <w:tc>
          <w:tcPr>
            <w:tcW w:w="1476" w:type="dxa"/>
            <w:shd w:val="clear" w:color="auto" w:fill="auto"/>
          </w:tcPr>
          <w:p w:rsidR="00C27012" w:rsidRPr="00F34F46" w:rsidRDefault="00C27012" w:rsidP="00811755">
            <w:pPr>
              <w:spacing w:line="240" w:lineRule="auto"/>
              <w:jc w:val="center"/>
            </w:pPr>
            <w:r>
              <w:t>8</w:t>
            </w:r>
            <w:r w:rsidRPr="00F34F46">
              <w:t>.</w:t>
            </w:r>
            <w:r>
              <w:t>53</w:t>
            </w:r>
            <w:r w:rsidRPr="00F34F46">
              <w:t xml:space="preserve"> (d</w:t>
            </w:r>
            <w:r>
              <w:t xml:space="preserve">, </w:t>
            </w:r>
            <w:r w:rsidRPr="003216AA">
              <w:rPr>
                <w:i/>
              </w:rPr>
              <w:t>J</w:t>
            </w:r>
            <w:r>
              <w:t>=8</w:t>
            </w:r>
            <w:r w:rsidRPr="00F34F46">
              <w:t>.</w:t>
            </w:r>
            <w:r>
              <w:t>1</w:t>
            </w:r>
            <w:r w:rsidRPr="00F34F46">
              <w:t>)</w:t>
            </w:r>
          </w:p>
        </w:tc>
        <w:tc>
          <w:tcPr>
            <w:tcW w:w="236" w:type="dxa"/>
            <w:shd w:val="clear" w:color="auto" w:fill="auto"/>
          </w:tcPr>
          <w:p w:rsidR="00C27012" w:rsidRPr="00F34F46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F34F46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F34F46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F34F46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 w:rsidRPr="009F707E">
              <w:t>4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121.5</w:t>
            </w:r>
          </w:p>
        </w:tc>
        <w:tc>
          <w:tcPr>
            <w:tcW w:w="1476" w:type="dxa"/>
            <w:shd w:val="clear" w:color="auto" w:fill="auto"/>
          </w:tcPr>
          <w:p w:rsidR="00C27012" w:rsidRPr="004B6750" w:rsidRDefault="00C27012" w:rsidP="00811755">
            <w:pPr>
              <w:spacing w:line="240" w:lineRule="auto"/>
              <w:jc w:val="center"/>
              <w:rPr>
                <w:lang w:val="en-US"/>
              </w:rPr>
            </w:pPr>
            <w:r w:rsidRPr="004B6750">
              <w:rPr>
                <w:lang w:val="en-US"/>
              </w:rPr>
              <w:t xml:space="preserve">8.25 (d, </w:t>
            </w:r>
            <w:r w:rsidRPr="003216AA">
              <w:rPr>
                <w:i/>
                <w:lang w:val="en-US"/>
              </w:rPr>
              <w:t>J</w:t>
            </w:r>
            <w:r w:rsidRPr="004B6750">
              <w:rPr>
                <w:lang w:val="en-US"/>
              </w:rPr>
              <w:t>=8.</w:t>
            </w:r>
            <w:r>
              <w:rPr>
                <w:lang w:val="en-US"/>
              </w:rPr>
              <w:t>1</w:t>
            </w:r>
            <w:r w:rsidRPr="004B6750">
              <w:rPr>
                <w:lang w:val="en-US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C27012" w:rsidRPr="004B6750" w:rsidRDefault="00C27012" w:rsidP="00811755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74" w:type="dxa"/>
            <w:shd w:val="clear" w:color="auto" w:fill="auto"/>
          </w:tcPr>
          <w:p w:rsidR="00C27012" w:rsidRPr="004B6750" w:rsidRDefault="00C27012" w:rsidP="00811755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13" w:type="dxa"/>
            <w:shd w:val="clear" w:color="auto" w:fill="auto"/>
          </w:tcPr>
          <w:p w:rsidR="00C27012" w:rsidRPr="004B6750" w:rsidRDefault="00C27012" w:rsidP="00811755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C27012" w:rsidRPr="004B6750" w:rsidRDefault="00C27012" w:rsidP="00811755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4B6750" w:rsidRDefault="00C27012" w:rsidP="00811755">
            <w:pPr>
              <w:spacing w:line="240" w:lineRule="auto"/>
              <w:jc w:val="center"/>
              <w:rPr>
                <w:lang w:val="en-US"/>
              </w:rPr>
            </w:pPr>
            <w:r w:rsidRPr="004B6750">
              <w:rPr>
                <w:lang w:val="en-US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C27012" w:rsidRPr="004B6750" w:rsidRDefault="00C27012" w:rsidP="00811755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4B6750">
              <w:rPr>
                <w:lang w:val="en-US"/>
              </w:rPr>
              <w:t>9.5</w:t>
            </w:r>
          </w:p>
        </w:tc>
        <w:tc>
          <w:tcPr>
            <w:tcW w:w="1476" w:type="dxa"/>
            <w:shd w:val="clear" w:color="auto" w:fill="auto"/>
          </w:tcPr>
          <w:p w:rsidR="00C27012" w:rsidRPr="004B6750" w:rsidRDefault="00C27012" w:rsidP="00811755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C27012" w:rsidRPr="004B6750" w:rsidRDefault="00C27012" w:rsidP="00811755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74" w:type="dxa"/>
            <w:shd w:val="clear" w:color="auto" w:fill="auto"/>
          </w:tcPr>
          <w:p w:rsidR="00C27012" w:rsidRPr="004B6750" w:rsidRDefault="00C27012" w:rsidP="00811755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13" w:type="dxa"/>
            <w:shd w:val="clear" w:color="auto" w:fill="auto"/>
          </w:tcPr>
          <w:p w:rsidR="00C27012" w:rsidRPr="004B6750" w:rsidRDefault="00C27012" w:rsidP="00811755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C27012" w:rsidRPr="004B6750" w:rsidRDefault="00C27012" w:rsidP="00811755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4B6750" w:rsidRDefault="00C27012" w:rsidP="00811755">
            <w:pPr>
              <w:spacing w:line="240" w:lineRule="auto"/>
              <w:jc w:val="center"/>
              <w:rPr>
                <w:lang w:val="en-US"/>
              </w:rPr>
            </w:pPr>
            <w:r w:rsidRPr="004B6750">
              <w:rPr>
                <w:lang w:val="en-US"/>
              </w:rPr>
              <w:t>6</w:t>
            </w:r>
          </w:p>
        </w:tc>
        <w:tc>
          <w:tcPr>
            <w:tcW w:w="864" w:type="dxa"/>
            <w:shd w:val="clear" w:color="auto" w:fill="auto"/>
          </w:tcPr>
          <w:p w:rsidR="00C27012" w:rsidRPr="004B6750" w:rsidRDefault="00C27012" w:rsidP="00811755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B6750">
              <w:rPr>
                <w:lang w:val="en-US"/>
              </w:rPr>
              <w:t>63.</w:t>
            </w:r>
            <w:r>
              <w:rPr>
                <w:lang w:val="en-US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27012" w:rsidRPr="004B6750" w:rsidRDefault="00C27012" w:rsidP="00811755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C27012" w:rsidRPr="004B6750" w:rsidRDefault="00C27012" w:rsidP="00811755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74" w:type="dxa"/>
            <w:shd w:val="clear" w:color="auto" w:fill="auto"/>
          </w:tcPr>
          <w:p w:rsidR="00C27012" w:rsidRPr="004B6750" w:rsidRDefault="00C27012" w:rsidP="00811755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13" w:type="dxa"/>
            <w:shd w:val="clear" w:color="auto" w:fill="auto"/>
          </w:tcPr>
          <w:p w:rsidR="00C27012" w:rsidRPr="00F34F46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F34F46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126.9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8.50 (s)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149.4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159.9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107.9</w:t>
            </w: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 xml:space="preserve">8.03 (d, </w:t>
            </w:r>
            <w:r w:rsidRPr="00201CC3">
              <w:rPr>
                <w:i/>
              </w:rPr>
              <w:t>J</w:t>
            </w:r>
            <w:r>
              <w:t>=8.8)</w:t>
            </w: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57.8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 xml:space="preserve">4.61 (dd, </w:t>
            </w:r>
            <w:r w:rsidRPr="00201CC3">
              <w:rPr>
                <w:i/>
              </w:rPr>
              <w:t>J</w:t>
            </w:r>
            <w:r>
              <w:t>=3.3, 8.8)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67.3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4.29 (m)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20.5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 xml:space="preserve">1.15 (d, </w:t>
            </w:r>
            <w:r w:rsidRPr="00201CC3">
              <w:rPr>
                <w:i/>
              </w:rPr>
              <w:t>J</w:t>
            </w:r>
            <w:r>
              <w:t>=6.3)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168.8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117.0</w:t>
            </w: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9.66 (bs)</w:t>
            </w: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123.1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129.6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6.56 (m)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13.8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 xml:space="preserve">1.75 (d, </w:t>
            </w:r>
            <w:r w:rsidRPr="00201CC3">
              <w:rPr>
                <w:i/>
              </w:rPr>
              <w:t>J</w:t>
            </w:r>
            <w:r>
              <w:t>=7.1)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159.4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142.8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8.71 (s)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136.1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158.4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123.0</w:t>
            </w: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9.39 (bs)</w:t>
            </w: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133.4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103.8</w:t>
            </w:r>
          </w:p>
        </w:tc>
        <w:tc>
          <w:tcPr>
            <w:tcW w:w="1476" w:type="dxa"/>
            <w:shd w:val="clear" w:color="auto" w:fill="auto"/>
          </w:tcPr>
          <w:p w:rsidR="00C27012" w:rsidRDefault="00C27012" w:rsidP="00811755">
            <w:pPr>
              <w:spacing w:line="240" w:lineRule="auto"/>
              <w:jc w:val="center"/>
            </w:pPr>
            <w:r>
              <w:t>5.89 (bs)</w:t>
            </w:r>
          </w:p>
          <w:p w:rsidR="00C27012" w:rsidRPr="009F707E" w:rsidRDefault="00C27012" w:rsidP="00811755">
            <w:pPr>
              <w:spacing w:line="240" w:lineRule="auto"/>
              <w:jc w:val="center"/>
            </w:pPr>
            <w:r>
              <w:t>6.46 (bs)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163.7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864" w:type="dxa"/>
            <w:tcBorders>
              <w:top w:val="single" w:sz="4" w:space="0" w:color="000000"/>
            </w:tcBorders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</w:tcBorders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</w:tcBorders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108.9</w:t>
            </w:r>
          </w:p>
        </w:tc>
        <w:tc>
          <w:tcPr>
            <w:tcW w:w="1713" w:type="dxa"/>
            <w:tcBorders>
              <w:top w:val="single" w:sz="4" w:space="0" w:color="000000"/>
            </w:tcBorders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 xml:space="preserve">8.30 (d, </w:t>
            </w:r>
            <w:r w:rsidRPr="00201CC3">
              <w:rPr>
                <w:i/>
              </w:rPr>
              <w:t>J</w:t>
            </w:r>
            <w:r>
              <w:t>=8.4)</w:t>
            </w: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28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61.8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 xml:space="preserve">4.64 (d, </w:t>
            </w:r>
            <w:r w:rsidRPr="00201CC3">
              <w:rPr>
                <w:i/>
              </w:rPr>
              <w:t>J</w:t>
            </w:r>
            <w:r>
              <w:t>=8.4)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74.0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26.2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1.21 (s)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31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27.3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1.22 (s)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32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169.4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33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128.1</w:t>
            </w: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9.70 (bs)</w:t>
            </w: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lastRenderedPageBreak/>
              <w:t>34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128.6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35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105.7</w:t>
            </w:r>
          </w:p>
        </w:tc>
        <w:tc>
          <w:tcPr>
            <w:tcW w:w="1476" w:type="dxa"/>
            <w:shd w:val="clear" w:color="auto" w:fill="auto"/>
          </w:tcPr>
          <w:p w:rsidR="00C27012" w:rsidRDefault="00C27012" w:rsidP="00811755">
            <w:pPr>
              <w:spacing w:line="240" w:lineRule="auto"/>
              <w:jc w:val="center"/>
            </w:pPr>
            <w:r>
              <w:t>5.65 (bs)</w:t>
            </w:r>
          </w:p>
          <w:p w:rsidR="00C27012" w:rsidRPr="009F707E" w:rsidRDefault="00C27012" w:rsidP="00811755">
            <w:pPr>
              <w:spacing w:line="240" w:lineRule="auto"/>
              <w:jc w:val="center"/>
            </w:pPr>
            <w:r>
              <w:t>6.11 (bs)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36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155.2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37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129.2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38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154.5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39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11.5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2.62 (s)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159.5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41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122.2</w:t>
            </w: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9.42 (bs)</w:t>
            </w: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42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133.9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43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105.9</w:t>
            </w:r>
          </w:p>
        </w:tc>
        <w:tc>
          <w:tcPr>
            <w:tcW w:w="1476" w:type="dxa"/>
            <w:shd w:val="clear" w:color="auto" w:fill="auto"/>
          </w:tcPr>
          <w:p w:rsidR="00C27012" w:rsidRDefault="00C27012" w:rsidP="00811755">
            <w:pPr>
              <w:spacing w:line="240" w:lineRule="auto"/>
              <w:jc w:val="center"/>
            </w:pPr>
            <w:r>
              <w:t>5.79 (bs)</w:t>
            </w:r>
          </w:p>
          <w:p w:rsidR="00C27012" w:rsidRPr="009F707E" w:rsidRDefault="00C27012" w:rsidP="00811755">
            <w:pPr>
              <w:spacing w:line="240" w:lineRule="auto"/>
              <w:jc w:val="center"/>
            </w:pPr>
            <w:r>
              <w:t>6.36 (bs)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Default="00C27012" w:rsidP="00811755">
            <w:pPr>
              <w:spacing w:line="240" w:lineRule="auto"/>
              <w:jc w:val="center"/>
            </w:pPr>
            <w:r>
              <w:t>44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162.7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Default="00C27012" w:rsidP="00811755">
            <w:pPr>
              <w:spacing w:line="240" w:lineRule="auto"/>
              <w:jc w:val="center"/>
            </w:pPr>
            <w:r>
              <w:t>45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118.8</w:t>
            </w: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9.90 (bs)</w:t>
            </w: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Default="00C27012" w:rsidP="00811755">
            <w:pPr>
              <w:spacing w:line="240" w:lineRule="auto"/>
              <w:jc w:val="center"/>
            </w:pPr>
            <w:r>
              <w:t>46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129.4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Default="00C27012" w:rsidP="00811755">
            <w:pPr>
              <w:spacing w:line="240" w:lineRule="auto"/>
              <w:jc w:val="center"/>
            </w:pPr>
            <w:r>
              <w:t>47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111.4</w:t>
            </w:r>
          </w:p>
        </w:tc>
        <w:tc>
          <w:tcPr>
            <w:tcW w:w="1476" w:type="dxa"/>
            <w:shd w:val="clear" w:color="auto" w:fill="auto"/>
          </w:tcPr>
          <w:p w:rsidR="00C27012" w:rsidRDefault="00C27012" w:rsidP="00811755">
            <w:pPr>
              <w:spacing w:line="240" w:lineRule="auto"/>
              <w:jc w:val="center"/>
            </w:pPr>
            <w:r>
              <w:t>5.71 (bs)</w:t>
            </w:r>
          </w:p>
          <w:p w:rsidR="00C27012" w:rsidRPr="009F707E" w:rsidRDefault="00C27012" w:rsidP="00811755">
            <w:pPr>
              <w:spacing w:line="240" w:lineRule="auto"/>
              <w:jc w:val="center"/>
            </w:pPr>
            <w:r>
              <w:t>5.72 (bs)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Default="00C27012" w:rsidP="00811755">
            <w:pPr>
              <w:spacing w:line="240" w:lineRule="auto"/>
              <w:jc w:val="center"/>
            </w:pPr>
            <w:r>
              <w:t>48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158.3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Default="00C27012" w:rsidP="00811755">
            <w:pPr>
              <w:spacing w:line="240" w:lineRule="auto"/>
              <w:jc w:val="center"/>
            </w:pPr>
            <w:r>
              <w:t>49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139.1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Default="00C27012" w:rsidP="00811755">
            <w:pPr>
              <w:spacing w:line="240" w:lineRule="auto"/>
              <w:jc w:val="center"/>
            </w:pPr>
            <w:r>
              <w:t>50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140.0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8.54 (s)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Default="00C27012" w:rsidP="00811755">
            <w:pPr>
              <w:spacing w:line="240" w:lineRule="auto"/>
              <w:jc w:val="center"/>
            </w:pPr>
            <w:r>
              <w:t>51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161.1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Default="00C27012" w:rsidP="00811755">
            <w:pPr>
              <w:spacing w:line="240" w:lineRule="auto"/>
              <w:jc w:val="center"/>
            </w:pPr>
            <w:r>
              <w:t>52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119.3</w:t>
            </w: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10.65 (bs)</w:t>
            </w: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Default="00C27012" w:rsidP="00811755">
            <w:pPr>
              <w:spacing w:line="240" w:lineRule="auto"/>
              <w:jc w:val="center"/>
            </w:pPr>
            <w:r>
              <w:t>53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133.7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Default="00C27012" w:rsidP="00811755">
            <w:pPr>
              <w:spacing w:line="240" w:lineRule="auto"/>
              <w:jc w:val="center"/>
            </w:pPr>
            <w:r>
              <w:t>54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102.9</w:t>
            </w:r>
          </w:p>
        </w:tc>
        <w:tc>
          <w:tcPr>
            <w:tcW w:w="1476" w:type="dxa"/>
            <w:shd w:val="clear" w:color="auto" w:fill="auto"/>
          </w:tcPr>
          <w:p w:rsidR="00C27012" w:rsidRDefault="00C27012" w:rsidP="00811755">
            <w:pPr>
              <w:spacing w:line="240" w:lineRule="auto"/>
              <w:jc w:val="center"/>
            </w:pPr>
            <w:r>
              <w:t>5.82 (bs)</w:t>
            </w:r>
          </w:p>
          <w:p w:rsidR="00C27012" w:rsidRPr="009F707E" w:rsidRDefault="00C27012" w:rsidP="00811755">
            <w:pPr>
              <w:spacing w:line="240" w:lineRule="auto"/>
              <w:jc w:val="center"/>
            </w:pPr>
            <w:r>
              <w:t>6.55 (m)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Default="00C27012" w:rsidP="00811755">
            <w:pPr>
              <w:spacing w:line="240" w:lineRule="auto"/>
              <w:jc w:val="center"/>
            </w:pPr>
            <w:r>
              <w:t>55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164.9</w:t>
            </w: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  <w:tr w:rsidR="00C27012" w:rsidRPr="009F707E" w:rsidTr="00F103DE">
        <w:tc>
          <w:tcPr>
            <w:tcW w:w="900" w:type="dxa"/>
            <w:shd w:val="clear" w:color="auto" w:fill="auto"/>
            <w:vAlign w:val="center"/>
          </w:tcPr>
          <w:p w:rsidR="00C27012" w:rsidRDefault="00C27012" w:rsidP="00811755">
            <w:pPr>
              <w:spacing w:line="240" w:lineRule="auto"/>
              <w:jc w:val="center"/>
            </w:pPr>
            <w:r>
              <w:t>56</w:t>
            </w:r>
          </w:p>
        </w:tc>
        <w:tc>
          <w:tcPr>
            <w:tcW w:w="86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  <w:r>
              <w:t>129.9</w:t>
            </w:r>
          </w:p>
        </w:tc>
        <w:tc>
          <w:tcPr>
            <w:tcW w:w="1713" w:type="dxa"/>
            <w:shd w:val="clear" w:color="auto" w:fill="auto"/>
          </w:tcPr>
          <w:p w:rsidR="00C27012" w:rsidRDefault="00C27012" w:rsidP="00811755">
            <w:pPr>
              <w:spacing w:line="240" w:lineRule="auto"/>
              <w:jc w:val="center"/>
            </w:pPr>
            <w:r>
              <w:t>7.64 (bs)</w:t>
            </w:r>
          </w:p>
          <w:p w:rsidR="00C27012" w:rsidRPr="009F707E" w:rsidRDefault="00C27012" w:rsidP="00811755">
            <w:pPr>
              <w:spacing w:line="240" w:lineRule="auto"/>
              <w:jc w:val="center"/>
            </w:pPr>
            <w:r>
              <w:t>8.16 (bs)</w:t>
            </w:r>
          </w:p>
        </w:tc>
        <w:tc>
          <w:tcPr>
            <w:tcW w:w="425" w:type="dxa"/>
            <w:shd w:val="clear" w:color="auto" w:fill="auto"/>
          </w:tcPr>
          <w:p w:rsidR="00C27012" w:rsidRPr="009F707E" w:rsidRDefault="00C27012" w:rsidP="00811755">
            <w:pPr>
              <w:spacing w:line="240" w:lineRule="auto"/>
              <w:jc w:val="center"/>
            </w:pPr>
          </w:p>
        </w:tc>
      </w:tr>
    </w:tbl>
    <w:p w:rsidR="00C27012" w:rsidRDefault="00C27012" w:rsidP="00C937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1755" w:rsidRDefault="00811755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7012" w:rsidRDefault="00C27012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7B9" w:rsidRDefault="00C937B9" w:rsidP="00C937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37B9" w:rsidRDefault="006064DD" w:rsidP="00C937B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A78D27D" wp14:editId="382FFE58">
            <wp:extent cx="5341195" cy="379476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usters and gel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727" cy="38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7B9" w:rsidRPr="00F102F9" w:rsidRDefault="00C937B9" w:rsidP="00C937B9">
      <w:pPr>
        <w:spacing w:line="480" w:lineRule="auto"/>
        <w:jc w:val="both"/>
        <w:rPr>
          <w:lang w:val="en-GB"/>
        </w:rPr>
      </w:pPr>
      <w:r w:rsidRPr="00F102F9">
        <w:rPr>
          <w:rFonts w:ascii="Times New Roman" w:hAnsi="Times New Roman" w:cs="Times New Roman"/>
          <w:b/>
          <w:sz w:val="24"/>
          <w:szCs w:val="24"/>
          <w:lang w:val="en-GB"/>
        </w:rPr>
        <w:t>Figure S</w:t>
      </w:r>
      <w:r w:rsidR="00B2670D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F102F9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1F47">
        <w:rPr>
          <w:rFonts w:ascii="Times New Roman" w:hAnsi="Times New Roman" w:cs="Times New Roman"/>
          <w:sz w:val="24"/>
          <w:szCs w:val="24"/>
          <w:lang w:val="en-GB"/>
        </w:rPr>
        <w:t xml:space="preserve">Schematic overview of </w:t>
      </w:r>
      <w:r w:rsidR="00FD16FF">
        <w:rPr>
          <w:rFonts w:ascii="Times New Roman" w:hAnsi="Times New Roman" w:cs="Times New Roman"/>
          <w:sz w:val="24"/>
          <w:szCs w:val="24"/>
          <w:lang w:val="en-GB"/>
        </w:rPr>
        <w:t>the geninthiocin B BGC</w:t>
      </w:r>
      <w:r w:rsidR="0065128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0468">
        <w:rPr>
          <w:rFonts w:ascii="Times New Roman" w:hAnsi="Times New Roman" w:cs="Times New Roman"/>
          <w:sz w:val="24"/>
          <w:szCs w:val="24"/>
          <w:lang w:val="en-GB"/>
        </w:rPr>
        <w:t>in YIM 130001 wild type (A) and knock-out mutant (B)</w:t>
      </w:r>
      <w:r w:rsidR="00FD16F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C04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16F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F102F9">
        <w:rPr>
          <w:rFonts w:ascii="Times New Roman" w:hAnsi="Times New Roman" w:cs="Times New Roman"/>
          <w:sz w:val="24"/>
          <w:szCs w:val="24"/>
          <w:lang w:val="en-GB"/>
        </w:rPr>
        <w:t xml:space="preserve">nalytical PCR </w:t>
      </w:r>
      <w:r w:rsidR="00EC0468">
        <w:rPr>
          <w:rFonts w:ascii="Times New Roman" w:hAnsi="Times New Roman" w:cs="Times New Roman"/>
          <w:sz w:val="24"/>
          <w:szCs w:val="24"/>
          <w:lang w:val="en-GB"/>
        </w:rPr>
        <w:t xml:space="preserve">verification </w:t>
      </w:r>
      <w:r w:rsidRPr="00F102F9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GB"/>
        </w:rPr>
        <w:t>pC1_KN</w:t>
      </w:r>
      <w:r w:rsidRPr="00F102F9">
        <w:rPr>
          <w:rFonts w:ascii="Times New Roman" w:hAnsi="Times New Roman" w:cs="Times New Roman"/>
          <w:sz w:val="24"/>
          <w:szCs w:val="24"/>
          <w:lang w:val="en-GB"/>
        </w:rPr>
        <w:t xml:space="preserve"> insertion into the </w:t>
      </w:r>
      <w:r>
        <w:rPr>
          <w:rFonts w:ascii="Times New Roman" w:hAnsi="Times New Roman" w:cs="Times New Roman"/>
          <w:sz w:val="24"/>
          <w:szCs w:val="24"/>
          <w:lang w:val="en-GB"/>
        </w:rPr>
        <w:t>YIM 130001</w:t>
      </w:r>
      <w:r w:rsidRPr="00F102F9">
        <w:rPr>
          <w:rFonts w:ascii="Times New Roman" w:hAnsi="Times New Roman" w:cs="Times New Roman"/>
          <w:sz w:val="24"/>
          <w:szCs w:val="24"/>
          <w:lang w:val="en-GB"/>
        </w:rPr>
        <w:t>-genome</w:t>
      </w:r>
      <w:r w:rsidR="00EC0468">
        <w:rPr>
          <w:rFonts w:ascii="Times New Roman" w:hAnsi="Times New Roman" w:cs="Times New Roman"/>
          <w:sz w:val="24"/>
          <w:szCs w:val="24"/>
          <w:lang w:val="en-GB"/>
        </w:rPr>
        <w:t xml:space="preserve"> (C) with genB_fwd/genB_rev primer set</w:t>
      </w:r>
      <w:r w:rsidRPr="00F102F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WT</w:t>
      </w:r>
      <w:r w:rsidRPr="00F102F9">
        <w:rPr>
          <w:rFonts w:ascii="Times New Roman" w:hAnsi="Times New Roman" w:cs="Times New Roman"/>
          <w:sz w:val="24"/>
          <w:szCs w:val="24"/>
          <w:lang w:val="en-GB"/>
        </w:rPr>
        <w:t xml:space="preserve">: control, product from </w:t>
      </w:r>
      <w:r>
        <w:rPr>
          <w:rFonts w:ascii="Times New Roman" w:hAnsi="Times New Roman" w:cs="Times New Roman"/>
          <w:sz w:val="24"/>
          <w:szCs w:val="24"/>
          <w:lang w:val="en-GB"/>
        </w:rPr>
        <w:t>wild type YIM 130001 as template (ca 1400 bps); M</w:t>
      </w:r>
      <w:r w:rsidRPr="00F102F9">
        <w:rPr>
          <w:rFonts w:ascii="Times New Roman" w:hAnsi="Times New Roman" w:cs="Times New Roman"/>
          <w:sz w:val="24"/>
          <w:szCs w:val="24"/>
          <w:lang w:val="en-GB"/>
        </w:rPr>
        <w:t>: GeneRuler 1 kb DNA Lad</w:t>
      </w:r>
      <w:r>
        <w:rPr>
          <w:rFonts w:ascii="Times New Roman" w:hAnsi="Times New Roman" w:cs="Times New Roman"/>
          <w:sz w:val="24"/>
          <w:szCs w:val="24"/>
          <w:lang w:val="en-GB"/>
        </w:rPr>
        <w:t>der (ThermoFisher Scientific); KN</w:t>
      </w:r>
      <w:r w:rsidRPr="00F102F9">
        <w:rPr>
          <w:rFonts w:ascii="Times New Roman" w:hAnsi="Times New Roman" w:cs="Times New Roman"/>
          <w:sz w:val="24"/>
          <w:szCs w:val="24"/>
          <w:lang w:val="en-GB"/>
        </w:rPr>
        <w:t xml:space="preserve">: PCR product using genomic DNA from knock-out mutant </w:t>
      </w:r>
      <w:r>
        <w:rPr>
          <w:rFonts w:ascii="Times New Roman" w:hAnsi="Times New Roman" w:cs="Times New Roman"/>
          <w:sz w:val="24"/>
          <w:szCs w:val="24"/>
          <w:lang w:val="en-GB"/>
        </w:rPr>
        <w:t>YIM 130001/KN</w:t>
      </w:r>
      <w:r w:rsidRPr="00F102F9">
        <w:rPr>
          <w:rFonts w:ascii="Times New Roman" w:hAnsi="Times New Roman" w:cs="Times New Roman"/>
          <w:sz w:val="24"/>
          <w:szCs w:val="24"/>
          <w:lang w:val="en-GB"/>
        </w:rPr>
        <w:t xml:space="preserve"> as template </w:t>
      </w:r>
      <w:r>
        <w:rPr>
          <w:rFonts w:ascii="Times New Roman" w:hAnsi="Times New Roman" w:cs="Times New Roman"/>
          <w:sz w:val="24"/>
          <w:szCs w:val="24"/>
          <w:lang w:val="en-GB"/>
        </w:rPr>
        <w:t>(ca 6000</w:t>
      </w:r>
      <w:r w:rsidRPr="00F102F9">
        <w:rPr>
          <w:rFonts w:ascii="Times New Roman" w:hAnsi="Times New Roman" w:cs="Times New Roman"/>
          <w:sz w:val="24"/>
          <w:szCs w:val="24"/>
          <w:lang w:val="en-GB"/>
        </w:rPr>
        <w:t xml:space="preserve"> bps).</w:t>
      </w:r>
    </w:p>
    <w:p w:rsidR="00C937B9" w:rsidRDefault="001E5D45" w:rsidP="00C937B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E5D45">
        <w:lastRenderedPageBreak/>
        <w:drawing>
          <wp:inline distT="0" distB="0" distL="0" distR="0" wp14:anchorId="243D5641" wp14:editId="6022BEBF">
            <wp:extent cx="4880996" cy="7013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3350" cy="701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7B9" w:rsidRDefault="00C937B9" w:rsidP="00C937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27012">
        <w:rPr>
          <w:rFonts w:ascii="Times New Roman" w:hAnsi="Times New Roman" w:cs="Times New Roman"/>
          <w:b/>
          <w:sz w:val="24"/>
          <w:szCs w:val="24"/>
          <w:lang w:val="en-GB"/>
        </w:rPr>
        <w:t>Figure S</w:t>
      </w:r>
      <w:r w:rsidR="00B2670D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C2701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Pr="00CE0A61">
        <w:rPr>
          <w:rFonts w:ascii="Times New Roman" w:hAnsi="Times New Roman" w:cs="Times New Roman"/>
          <w:sz w:val="24"/>
          <w:szCs w:val="24"/>
          <w:lang w:val="en-GB"/>
        </w:rPr>
        <w:t>irect fl</w:t>
      </w:r>
      <w:r>
        <w:rPr>
          <w:rFonts w:ascii="Times New Roman" w:hAnsi="Times New Roman" w:cs="Times New Roman"/>
          <w:sz w:val="24"/>
          <w:szCs w:val="24"/>
          <w:lang w:val="en-GB"/>
        </w:rPr>
        <w:t>ow injection analysis FIA-ESI</w:t>
      </w:r>
      <w:r w:rsidRPr="00CE0A61">
        <w:rPr>
          <w:rFonts w:ascii="Times New Roman" w:hAnsi="Times New Roman" w:cs="Times New Roman"/>
          <w:sz w:val="24"/>
          <w:szCs w:val="24"/>
          <w:lang w:val="en-GB"/>
        </w:rPr>
        <w:t>-MS spectra obtained in negative ion mode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from geninthiocin B (A) and compound 2 (B) after separation via preparative HPLC with respective masses (</w:t>
      </w:r>
      <w:r w:rsidRPr="00786DFC">
        <w:rPr>
          <w:rFonts w:ascii="Times New Roman" w:hAnsi="Times New Roman" w:cs="Times New Roman"/>
          <w:color w:val="FF0000"/>
          <w:sz w:val="24"/>
          <w:szCs w:val="24"/>
          <w:lang w:val="en-GB"/>
        </w:rPr>
        <w:t>*</w:t>
      </w:r>
      <w:r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C937B9" w:rsidRPr="00786DFC" w:rsidRDefault="00C937B9" w:rsidP="00C937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7B9" w:rsidRDefault="00C937B9" w:rsidP="00C937B9">
      <w:pPr>
        <w:rPr>
          <w:lang w:val="en-GB"/>
        </w:rPr>
      </w:pPr>
    </w:p>
    <w:p w:rsidR="00C937B9" w:rsidRDefault="00C937B9" w:rsidP="00C937B9">
      <w:pPr>
        <w:rPr>
          <w:lang w:val="en-GB"/>
        </w:rPr>
      </w:pPr>
    </w:p>
    <w:p w:rsidR="00C937B9" w:rsidRDefault="00C937B9" w:rsidP="00C937B9">
      <w:pPr>
        <w:rPr>
          <w:lang w:val="en-GB"/>
        </w:rPr>
      </w:pPr>
    </w:p>
    <w:p w:rsidR="00C937B9" w:rsidRDefault="00C937B9" w:rsidP="00C937B9">
      <w:pPr>
        <w:rPr>
          <w:lang w:val="en-GB"/>
        </w:rPr>
      </w:pPr>
    </w:p>
    <w:p w:rsidR="00C937B9" w:rsidRDefault="00C937B9" w:rsidP="00C937B9">
      <w:pPr>
        <w:rPr>
          <w:lang w:val="en-GB"/>
        </w:rPr>
      </w:pPr>
    </w:p>
    <w:p w:rsidR="00C937B9" w:rsidRDefault="00C937B9" w:rsidP="00C937B9">
      <w:pPr>
        <w:rPr>
          <w:lang w:val="en-GB"/>
        </w:rPr>
      </w:pPr>
    </w:p>
    <w:p w:rsidR="00C937B9" w:rsidRDefault="00C937B9" w:rsidP="00C937B9">
      <w:pPr>
        <w:rPr>
          <w:lang w:val="en-GB"/>
        </w:rPr>
      </w:pPr>
    </w:p>
    <w:p w:rsidR="00C937B9" w:rsidRDefault="00C937B9" w:rsidP="00C937B9">
      <w:pPr>
        <w:rPr>
          <w:lang w:val="en-GB"/>
        </w:rPr>
      </w:pPr>
      <w:r w:rsidRPr="003B290D">
        <w:rPr>
          <w:noProof/>
          <w:lang w:val="en-US"/>
        </w:rPr>
        <w:drawing>
          <wp:inline distT="0" distB="0" distL="0" distR="0" wp14:anchorId="2FFC9C00" wp14:editId="08F97416">
            <wp:extent cx="5006159" cy="3539709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9163" cy="354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CF9" w:rsidRDefault="00C937B9" w:rsidP="00C937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3378">
        <w:rPr>
          <w:rFonts w:ascii="Times New Roman" w:hAnsi="Times New Roman" w:cs="Times New Roman"/>
          <w:b/>
          <w:sz w:val="24"/>
          <w:szCs w:val="24"/>
          <w:lang w:val="en-GB"/>
        </w:rPr>
        <w:t>Figure S</w:t>
      </w:r>
      <w:r w:rsidR="00B2670D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Structure of </w:t>
      </w:r>
      <w:r w:rsidR="00AA6DB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35 macrocycle-membered geninthiocin B. For a</w:t>
      </w:r>
      <w:r w:rsidRPr="001E3378">
        <w:rPr>
          <w:rFonts w:ascii="Times New Roman" w:hAnsi="Times New Roman" w:cs="Times New Roman"/>
          <w:sz w:val="24"/>
          <w:szCs w:val="24"/>
          <w:lang w:val="en-GB"/>
        </w:rPr>
        <w:t xml:space="preserve">ssigned </w:t>
      </w:r>
      <w:r w:rsidRPr="001E337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1E3378">
        <w:rPr>
          <w:rFonts w:ascii="Times New Roman" w:hAnsi="Times New Roman" w:cs="Times New Roman"/>
          <w:sz w:val="24"/>
          <w:szCs w:val="24"/>
          <w:lang w:val="en-GB"/>
        </w:rPr>
        <w:t xml:space="preserve">H, </w:t>
      </w:r>
      <w:r w:rsidRPr="001E337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13</w:t>
      </w:r>
      <w:r w:rsidRPr="001E3378">
        <w:rPr>
          <w:rFonts w:ascii="Times New Roman" w:hAnsi="Times New Roman" w:cs="Times New Roman"/>
          <w:sz w:val="24"/>
          <w:szCs w:val="24"/>
          <w:lang w:val="en-GB"/>
        </w:rPr>
        <w:t xml:space="preserve">C and protonated </w:t>
      </w:r>
      <w:r w:rsidRPr="001E337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15</w:t>
      </w:r>
      <w:r w:rsidRPr="001E3378">
        <w:rPr>
          <w:rFonts w:ascii="Times New Roman" w:hAnsi="Times New Roman" w:cs="Times New Roman"/>
          <w:sz w:val="24"/>
          <w:szCs w:val="24"/>
          <w:lang w:val="en-GB"/>
        </w:rPr>
        <w:t>N shifts of peptide</w:t>
      </w:r>
      <w:r w:rsidR="00B2670D">
        <w:rPr>
          <w:rFonts w:ascii="Times New Roman" w:hAnsi="Times New Roman" w:cs="Times New Roman"/>
          <w:sz w:val="24"/>
          <w:szCs w:val="24"/>
          <w:lang w:val="en-GB"/>
        </w:rPr>
        <w:t xml:space="preserve"> see Table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82477">
        <w:rPr>
          <w:rFonts w:ascii="Times New Roman" w:hAnsi="Times New Roman" w:cs="Times New Roman"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E33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D2FCC" w:rsidRDefault="003D2FCC" w:rsidP="00C937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3D2FCC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4B12" w:rsidRDefault="00334B12" w:rsidP="00C937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64E7196D" wp14:editId="10C75599">
            <wp:extent cx="8036054" cy="4311650"/>
            <wp:effectExtent l="0" t="0" r="317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synthesi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9352" cy="431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FCC" w:rsidRPr="004652FB" w:rsidRDefault="003D2FCC" w:rsidP="00AA6DB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6DBB">
        <w:rPr>
          <w:rFonts w:ascii="Times New Roman" w:hAnsi="Times New Roman" w:cs="Times New Roman"/>
          <w:b/>
          <w:sz w:val="24"/>
          <w:szCs w:val="24"/>
          <w:lang w:val="en-GB"/>
        </w:rPr>
        <w:t>Figure S4</w:t>
      </w:r>
      <w:r w:rsidRPr="004652F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23270">
        <w:rPr>
          <w:rFonts w:ascii="Times New Roman" w:hAnsi="Times New Roman" w:cs="Times New Roman"/>
          <w:sz w:val="24"/>
          <w:szCs w:val="24"/>
          <w:lang w:val="en-GB"/>
        </w:rPr>
        <w:t xml:space="preserve"> Proposed biosynthesis </w:t>
      </w:r>
      <w:r w:rsidR="00AA6DBB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D311C2">
        <w:rPr>
          <w:rFonts w:ascii="Times New Roman" w:hAnsi="Times New Roman" w:cs="Times New Roman"/>
          <w:sz w:val="24"/>
          <w:szCs w:val="24"/>
          <w:lang w:val="en-GB"/>
        </w:rPr>
        <w:t xml:space="preserve"> geninthiocin B. Precursor pepide </w:t>
      </w:r>
      <w:r w:rsidR="0032052F">
        <w:rPr>
          <w:rFonts w:ascii="Times New Roman" w:hAnsi="Times New Roman" w:cs="Times New Roman"/>
          <w:sz w:val="24"/>
          <w:szCs w:val="24"/>
          <w:lang w:val="en-GB"/>
        </w:rPr>
        <w:t xml:space="preserve">GenA </w:t>
      </w:r>
      <w:r w:rsidR="00D311C2">
        <w:rPr>
          <w:rFonts w:ascii="Times New Roman" w:hAnsi="Times New Roman" w:cs="Times New Roman"/>
          <w:sz w:val="24"/>
          <w:szCs w:val="24"/>
          <w:lang w:val="en-GB"/>
        </w:rPr>
        <w:t>contains a 31-aa leader peptide (LP) linked to a C-terminal 15-aa core peptide.</w:t>
      </w:r>
      <w:r w:rsidR="0032052F">
        <w:rPr>
          <w:rFonts w:ascii="Times New Roman" w:hAnsi="Times New Roman" w:cs="Times New Roman"/>
          <w:sz w:val="24"/>
          <w:szCs w:val="24"/>
          <w:lang w:val="en-GB"/>
        </w:rPr>
        <w:t xml:space="preserve"> In the first step of posttranslational modification proteins GenG1 and GenG2 will catalyse the processing of azole</w:t>
      </w:r>
      <w:r w:rsidR="00AA6D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052F">
        <w:rPr>
          <w:rFonts w:ascii="Times New Roman" w:hAnsi="Times New Roman" w:cs="Times New Roman"/>
          <w:sz w:val="24"/>
          <w:szCs w:val="24"/>
          <w:lang w:val="en-GB"/>
        </w:rPr>
        <w:t xml:space="preserve">rings formation, whereas GenB and GenC, which showed high similarity to lanthipeptide-like dehydratases, will catalyse the formation of dehydroalanine </w:t>
      </w:r>
      <w:r w:rsidR="002D4E77">
        <w:rPr>
          <w:rFonts w:ascii="Times New Roman" w:hAnsi="Times New Roman" w:cs="Times New Roman"/>
          <w:sz w:val="24"/>
          <w:szCs w:val="24"/>
          <w:lang w:val="en-GB"/>
        </w:rPr>
        <w:t xml:space="preserve">(Dha) </w:t>
      </w:r>
      <w:r w:rsidR="0032052F">
        <w:rPr>
          <w:rFonts w:ascii="Times New Roman" w:hAnsi="Times New Roman" w:cs="Times New Roman"/>
          <w:sz w:val="24"/>
          <w:szCs w:val="24"/>
          <w:lang w:val="en-GB"/>
        </w:rPr>
        <w:t>and dehydrobutyrine</w:t>
      </w:r>
      <w:r w:rsidR="002D4E77">
        <w:rPr>
          <w:rFonts w:ascii="Times New Roman" w:hAnsi="Times New Roman" w:cs="Times New Roman"/>
          <w:sz w:val="24"/>
          <w:szCs w:val="24"/>
          <w:lang w:val="en-GB"/>
        </w:rPr>
        <w:t xml:space="preserve"> (Dhb)</w:t>
      </w:r>
      <w:r w:rsidR="0032052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D4E77">
        <w:rPr>
          <w:rFonts w:ascii="Times New Roman" w:hAnsi="Times New Roman" w:cs="Times New Roman"/>
          <w:sz w:val="24"/>
          <w:szCs w:val="24"/>
          <w:lang w:val="en-GB"/>
        </w:rPr>
        <w:t xml:space="preserve"> Two Dha groups from Ser</w:t>
      </w:r>
      <w:r w:rsidR="002D4E77" w:rsidRPr="00AA6DB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</w:t>
      </w:r>
      <w:r w:rsidR="002D4E77">
        <w:rPr>
          <w:rFonts w:ascii="Times New Roman" w:hAnsi="Times New Roman" w:cs="Times New Roman"/>
          <w:sz w:val="24"/>
          <w:szCs w:val="24"/>
          <w:lang w:val="en-GB"/>
        </w:rPr>
        <w:t xml:space="preserve"> and Ser</w:t>
      </w:r>
      <w:r w:rsidR="002D4E77" w:rsidRPr="00AA6DB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13</w:t>
      </w:r>
      <w:r w:rsidR="002D4E77">
        <w:rPr>
          <w:rFonts w:ascii="Times New Roman" w:hAnsi="Times New Roman" w:cs="Times New Roman"/>
          <w:sz w:val="24"/>
          <w:szCs w:val="24"/>
          <w:lang w:val="en-GB"/>
        </w:rPr>
        <w:t xml:space="preserve"> will be utilized by GenD for assembly of </w:t>
      </w:r>
      <w:r w:rsidR="00AA6DB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D4E77">
        <w:rPr>
          <w:rFonts w:ascii="Times New Roman" w:hAnsi="Times New Roman" w:cs="Times New Roman"/>
          <w:sz w:val="24"/>
          <w:szCs w:val="24"/>
          <w:lang w:val="en-GB"/>
        </w:rPr>
        <w:t xml:space="preserve">central six-membered nitrogenous heterocycle. </w:t>
      </w:r>
      <w:r w:rsidR="00326BCE">
        <w:rPr>
          <w:rFonts w:ascii="Times New Roman" w:hAnsi="Times New Roman" w:cs="Times New Roman"/>
          <w:sz w:val="24"/>
          <w:szCs w:val="24"/>
          <w:lang w:val="en-GB"/>
        </w:rPr>
        <w:t>The cleavage of Ser</w:t>
      </w:r>
      <w:r w:rsidR="00326BCE" w:rsidRPr="00AA6DB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15 </w:t>
      </w:r>
      <w:r w:rsidR="00326BCE">
        <w:rPr>
          <w:rFonts w:ascii="Times New Roman" w:hAnsi="Times New Roman" w:cs="Times New Roman"/>
          <w:sz w:val="24"/>
          <w:szCs w:val="24"/>
          <w:lang w:val="en-GB"/>
        </w:rPr>
        <w:t>to afford the C-terminus amide and the hydroxylation of Val</w:t>
      </w:r>
      <w:r w:rsidR="00326BCE" w:rsidRPr="00AA6DB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7</w:t>
      </w:r>
      <w:r w:rsidR="00326BCE">
        <w:rPr>
          <w:rFonts w:ascii="Times New Roman" w:hAnsi="Times New Roman" w:cs="Times New Roman"/>
          <w:sz w:val="24"/>
          <w:szCs w:val="24"/>
          <w:lang w:val="en-GB"/>
        </w:rPr>
        <w:t xml:space="preserve"> will be catalysed most probably by GenI and GenH, respectively.</w:t>
      </w:r>
      <w:r w:rsidR="002D4E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11C2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3D2FCC" w:rsidRDefault="00C937B9" w:rsidP="00C937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3D2FCC" w:rsidSect="00AA6DB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A2D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937B9" w:rsidRDefault="00C937B9" w:rsidP="00C937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2477" w:rsidRDefault="00382477" w:rsidP="0038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2477" w:rsidRDefault="00382477" w:rsidP="003824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2477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:rsidR="00382477" w:rsidRDefault="00382477" w:rsidP="00382477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51289">
        <w:rPr>
          <w:rFonts w:ascii="Times New Roman" w:hAnsi="Times New Roman" w:cs="Times New Roman"/>
          <w:sz w:val="24"/>
          <w:szCs w:val="24"/>
          <w:lang w:val="nn-NO"/>
        </w:rPr>
        <w:t xml:space="preserve">Sekurova ON, Zhang J, Kristiansen KA, Zotchev SB. 2016. </w:t>
      </w:r>
      <w:r w:rsidRPr="00382477">
        <w:rPr>
          <w:rFonts w:ascii="Times New Roman" w:hAnsi="Times New Roman" w:cs="Times New Roman"/>
          <w:sz w:val="24"/>
          <w:szCs w:val="24"/>
          <w:lang w:val="en-GB"/>
        </w:rPr>
        <w:t xml:space="preserve">Activation of chloramphenicol biosynthesis in </w:t>
      </w:r>
      <w:r w:rsidRPr="00382477">
        <w:rPr>
          <w:rFonts w:ascii="Times New Roman" w:hAnsi="Times New Roman" w:cs="Times New Roman"/>
          <w:i/>
          <w:sz w:val="24"/>
          <w:szCs w:val="24"/>
          <w:lang w:val="en-GB"/>
        </w:rPr>
        <w:t>Streptomyces venezuelae</w:t>
      </w:r>
      <w:r w:rsidRPr="00382477">
        <w:rPr>
          <w:rFonts w:ascii="Times New Roman" w:hAnsi="Times New Roman" w:cs="Times New Roman"/>
          <w:sz w:val="24"/>
          <w:szCs w:val="24"/>
          <w:lang w:val="en-GB"/>
        </w:rPr>
        <w:t xml:space="preserve"> ATCC 10712 by ethanol shock: insights from the promoter fusion studies.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2477">
        <w:rPr>
          <w:rFonts w:ascii="Times New Roman" w:hAnsi="Times New Roman" w:cs="Times New Roman"/>
          <w:sz w:val="24"/>
          <w:szCs w:val="24"/>
          <w:lang w:val="en-GB"/>
        </w:rPr>
        <w:t>Microb Cell Fact. 15:85.</w:t>
      </w:r>
    </w:p>
    <w:p w:rsidR="00382477" w:rsidRDefault="00382477" w:rsidP="00382477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51289">
        <w:rPr>
          <w:rFonts w:ascii="Times New Roman" w:hAnsi="Times New Roman" w:cs="Times New Roman"/>
          <w:sz w:val="24"/>
          <w:szCs w:val="24"/>
          <w:lang w:val="nn-NO"/>
        </w:rPr>
        <w:t xml:space="preserve">Zotchev S, Haugan K, Sekurova O, Sletta H, Ellingsen TE, Valla S. 2000. </w:t>
      </w:r>
      <w:r w:rsidRPr="00382477">
        <w:rPr>
          <w:rFonts w:ascii="Times New Roman" w:hAnsi="Times New Roman" w:cs="Times New Roman"/>
          <w:sz w:val="24"/>
          <w:szCs w:val="24"/>
          <w:lang w:val="en-GB"/>
        </w:rPr>
        <w:t xml:space="preserve">Identification of a gene cluster for antibacterial polyketide-derived antibiotic biosynthesis in the nystatin producer </w:t>
      </w:r>
      <w:r w:rsidRPr="00382477">
        <w:rPr>
          <w:rFonts w:ascii="Times New Roman" w:hAnsi="Times New Roman" w:cs="Times New Roman"/>
          <w:i/>
          <w:sz w:val="24"/>
          <w:szCs w:val="24"/>
          <w:lang w:val="en-GB"/>
        </w:rPr>
        <w:t>Streptomyces noursei</w:t>
      </w:r>
      <w:r w:rsidRPr="00382477">
        <w:rPr>
          <w:rFonts w:ascii="Times New Roman" w:hAnsi="Times New Roman" w:cs="Times New Roman"/>
          <w:sz w:val="24"/>
          <w:szCs w:val="24"/>
          <w:lang w:val="en-GB"/>
        </w:rPr>
        <w:t xml:space="preserve"> ATCC 11455.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2477">
        <w:rPr>
          <w:rFonts w:ascii="Times New Roman" w:hAnsi="Times New Roman" w:cs="Times New Roman"/>
          <w:sz w:val="24"/>
          <w:szCs w:val="24"/>
          <w:lang w:val="en-GB"/>
        </w:rPr>
        <w:t>Microbiology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2477">
        <w:rPr>
          <w:rFonts w:ascii="Times New Roman" w:hAnsi="Times New Roman" w:cs="Times New Roman"/>
          <w:sz w:val="24"/>
          <w:szCs w:val="24"/>
          <w:lang w:val="en-GB"/>
        </w:rPr>
        <w:t>146:611-</w:t>
      </w:r>
      <w:r>
        <w:rPr>
          <w:rFonts w:ascii="Times New Roman" w:hAnsi="Times New Roman" w:cs="Times New Roman"/>
          <w:sz w:val="24"/>
          <w:szCs w:val="24"/>
          <w:lang w:val="en-GB"/>
        </w:rPr>
        <w:t>61</w:t>
      </w:r>
      <w:r w:rsidRPr="00382477">
        <w:rPr>
          <w:rFonts w:ascii="Times New Roman" w:hAnsi="Times New Roman" w:cs="Times New Roman"/>
          <w:sz w:val="24"/>
          <w:szCs w:val="24"/>
          <w:lang w:val="en-GB"/>
        </w:rPr>
        <w:t>9.</w:t>
      </w:r>
    </w:p>
    <w:p w:rsidR="00382477" w:rsidRPr="00382477" w:rsidRDefault="00382477" w:rsidP="00382477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477">
        <w:rPr>
          <w:rFonts w:ascii="Times New Roman" w:hAnsi="Times New Roman" w:cs="Times New Roman"/>
          <w:sz w:val="24"/>
          <w:szCs w:val="24"/>
          <w:lang w:val="en-GB"/>
        </w:rPr>
        <w:t xml:space="preserve">Flett F, Mersinias V, Smith CP. 1997. High efficiency intergeneric conjugal transfer of plasmid DNA from </w:t>
      </w:r>
      <w:r w:rsidRPr="0025612C">
        <w:rPr>
          <w:rFonts w:ascii="Times New Roman" w:hAnsi="Times New Roman" w:cs="Times New Roman"/>
          <w:i/>
          <w:sz w:val="24"/>
          <w:szCs w:val="24"/>
          <w:lang w:val="en-GB"/>
        </w:rPr>
        <w:t>Escherichia coli</w:t>
      </w:r>
      <w:r w:rsidRPr="00382477">
        <w:rPr>
          <w:rFonts w:ascii="Times New Roman" w:hAnsi="Times New Roman" w:cs="Times New Roman"/>
          <w:sz w:val="24"/>
          <w:szCs w:val="24"/>
          <w:lang w:val="en-GB"/>
        </w:rPr>
        <w:t xml:space="preserve"> to methyl DNA-restricting streptomycetes.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2477">
        <w:rPr>
          <w:rFonts w:ascii="Times New Roman" w:hAnsi="Times New Roman" w:cs="Times New Roman"/>
          <w:sz w:val="24"/>
          <w:szCs w:val="24"/>
          <w:lang w:val="en-GB"/>
        </w:rPr>
        <w:t>FEMS Microbiol Lett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2477">
        <w:rPr>
          <w:rFonts w:ascii="Times New Roman" w:hAnsi="Times New Roman" w:cs="Times New Roman"/>
          <w:sz w:val="24"/>
          <w:szCs w:val="24"/>
          <w:lang w:val="en-GB"/>
        </w:rPr>
        <w:t>155:223-</w:t>
      </w:r>
      <w:r>
        <w:rPr>
          <w:rFonts w:ascii="Times New Roman" w:hAnsi="Times New Roman" w:cs="Times New Roman"/>
          <w:sz w:val="24"/>
          <w:szCs w:val="24"/>
          <w:lang w:val="en-GB"/>
        </w:rPr>
        <w:t>22</w:t>
      </w:r>
      <w:r w:rsidRPr="00382477">
        <w:rPr>
          <w:rFonts w:ascii="Times New Roman" w:hAnsi="Times New Roman" w:cs="Times New Roman"/>
          <w:sz w:val="24"/>
          <w:szCs w:val="24"/>
          <w:lang w:val="en-GB"/>
        </w:rPr>
        <w:t>9.</w:t>
      </w:r>
    </w:p>
    <w:p w:rsidR="00C937B9" w:rsidRPr="004E7FE4" w:rsidRDefault="00C937B9" w:rsidP="0038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7EAB" w:rsidRDefault="00AE7EAB" w:rsidP="00382477">
      <w:pPr>
        <w:spacing w:after="0" w:line="240" w:lineRule="auto"/>
      </w:pPr>
    </w:p>
    <w:sectPr w:rsidR="00AE7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E2" w:rsidRDefault="004914E2" w:rsidP="00C937B9">
      <w:pPr>
        <w:spacing w:after="0" w:line="240" w:lineRule="auto"/>
      </w:pPr>
      <w:r>
        <w:separator/>
      </w:r>
    </w:p>
  </w:endnote>
  <w:endnote w:type="continuationSeparator" w:id="0">
    <w:p w:rsidR="004914E2" w:rsidRDefault="004914E2" w:rsidP="00C9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943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670D" w:rsidRDefault="00B26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DB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2670D" w:rsidRDefault="00B26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E2" w:rsidRDefault="004914E2" w:rsidP="00C937B9">
      <w:pPr>
        <w:spacing w:after="0" w:line="240" w:lineRule="auto"/>
      </w:pPr>
      <w:r>
        <w:separator/>
      </w:r>
    </w:p>
  </w:footnote>
  <w:footnote w:type="continuationSeparator" w:id="0">
    <w:p w:rsidR="004914E2" w:rsidRDefault="004914E2" w:rsidP="00C937B9">
      <w:pPr>
        <w:spacing w:after="0" w:line="240" w:lineRule="auto"/>
      </w:pPr>
      <w:r>
        <w:continuationSeparator/>
      </w:r>
    </w:p>
  </w:footnote>
  <w:footnote w:id="1">
    <w:p w:rsidR="00C27012" w:rsidRPr="007E0BC9" w:rsidRDefault="00C27012" w:rsidP="00C27012">
      <w:pPr>
        <w:pStyle w:val="FootnoteText"/>
      </w:pPr>
      <w:r>
        <w:rPr>
          <w:rStyle w:val="FootnoteReference"/>
        </w:rPr>
        <w:t>*</w:t>
      </w:r>
      <w:r>
        <w:t xml:space="preserve"> Shifts for protonated </w:t>
      </w:r>
      <w:r w:rsidRPr="007E0BC9">
        <w:rPr>
          <w:vertAlign w:val="superscript"/>
        </w:rPr>
        <w:t>15</w:t>
      </w:r>
      <w:r>
        <w:t xml:space="preserve">N have been determined from </w:t>
      </w:r>
      <w:r w:rsidRPr="007E0BC9">
        <w:rPr>
          <w:vertAlign w:val="superscript"/>
        </w:rPr>
        <w:t>15</w:t>
      </w:r>
      <w:r>
        <w:t xml:space="preserve">N HSQC experiment. </w:t>
      </w:r>
      <w:r w:rsidRPr="007E0BC9">
        <w:t xml:space="preserve">Non-protonated </w:t>
      </w:r>
      <w:r w:rsidRPr="007E0BC9">
        <w:rPr>
          <w:vertAlign w:val="superscript"/>
        </w:rPr>
        <w:t>15</w:t>
      </w:r>
      <w:r w:rsidRPr="007E0BC9">
        <w:t>N-atoms</w:t>
      </w:r>
      <w:r>
        <w:t xml:space="preserve"> have not been assigned.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66AE5"/>
    <w:multiLevelType w:val="hybridMultilevel"/>
    <w:tmpl w:val="DA8E0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neider.12@web.de">
    <w15:presenceInfo w15:providerId="None" w15:userId="schneider.12@web.de"/>
  </w15:person>
  <w15:person w15:author="Olha Schneider">
    <w15:presenceInfo w15:providerId="None" w15:userId="Olha Schnei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B9"/>
    <w:rsid w:val="00050B63"/>
    <w:rsid w:val="00095B0F"/>
    <w:rsid w:val="000E7D98"/>
    <w:rsid w:val="00123270"/>
    <w:rsid w:val="001C6CF9"/>
    <w:rsid w:val="001E4A1B"/>
    <w:rsid w:val="001E5D45"/>
    <w:rsid w:val="0020508C"/>
    <w:rsid w:val="0025612C"/>
    <w:rsid w:val="00263E36"/>
    <w:rsid w:val="002D4E77"/>
    <w:rsid w:val="0032052F"/>
    <w:rsid w:val="00326BCE"/>
    <w:rsid w:val="00334B12"/>
    <w:rsid w:val="00382477"/>
    <w:rsid w:val="00391340"/>
    <w:rsid w:val="003D2FCC"/>
    <w:rsid w:val="004652FB"/>
    <w:rsid w:val="004914E2"/>
    <w:rsid w:val="005D0E36"/>
    <w:rsid w:val="005F03F2"/>
    <w:rsid w:val="006064DD"/>
    <w:rsid w:val="00651289"/>
    <w:rsid w:val="00811755"/>
    <w:rsid w:val="00812AC3"/>
    <w:rsid w:val="00855461"/>
    <w:rsid w:val="00952F90"/>
    <w:rsid w:val="00A767D6"/>
    <w:rsid w:val="00AA6DBB"/>
    <w:rsid w:val="00AE7EAB"/>
    <w:rsid w:val="00B0157E"/>
    <w:rsid w:val="00B160FB"/>
    <w:rsid w:val="00B2670D"/>
    <w:rsid w:val="00B54CAE"/>
    <w:rsid w:val="00B638B1"/>
    <w:rsid w:val="00BF197E"/>
    <w:rsid w:val="00C27012"/>
    <w:rsid w:val="00C51B38"/>
    <w:rsid w:val="00C61D2D"/>
    <w:rsid w:val="00C937B9"/>
    <w:rsid w:val="00D311C2"/>
    <w:rsid w:val="00DF748D"/>
    <w:rsid w:val="00E071C9"/>
    <w:rsid w:val="00EC0468"/>
    <w:rsid w:val="00F11997"/>
    <w:rsid w:val="00F11F47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B9"/>
    <w:pPr>
      <w:spacing w:after="160" w:line="259" w:lineRule="auto"/>
    </w:pPr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937B9"/>
    <w:rPr>
      <w:i/>
      <w:iCs/>
    </w:rPr>
  </w:style>
  <w:style w:type="paragraph" w:customStyle="1" w:styleId="simplepara">
    <w:name w:val="simplepara"/>
    <w:basedOn w:val="Normal"/>
    <w:rsid w:val="00C9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C937B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937B9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7B9"/>
    <w:rPr>
      <w:rFonts w:ascii="Times New Roman" w:eastAsiaTheme="minorEastAsia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7B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B9"/>
    <w:rPr>
      <w:rFonts w:ascii="Tahoma" w:hAnsi="Tahoma" w:cs="Tahoma"/>
      <w:sz w:val="16"/>
      <w:szCs w:val="16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B2670D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uiPriority w:val="99"/>
    <w:unhideWhenUsed/>
    <w:qFormat/>
    <w:rsid w:val="00B2670D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1">
    <w:name w:val="Plain Text Char1"/>
    <w:basedOn w:val="DefaultParagraphFont"/>
    <w:uiPriority w:val="99"/>
    <w:semiHidden/>
    <w:rsid w:val="00B2670D"/>
    <w:rPr>
      <w:rFonts w:ascii="Consolas" w:hAnsi="Consolas"/>
      <w:sz w:val="21"/>
      <w:szCs w:val="21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B26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70D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B26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70D"/>
    <w:rPr>
      <w:lang w:val="nb-NO"/>
    </w:rPr>
  </w:style>
  <w:style w:type="paragraph" w:styleId="ListParagraph">
    <w:name w:val="List Paragraph"/>
    <w:basedOn w:val="Normal"/>
    <w:uiPriority w:val="34"/>
    <w:qFormat/>
    <w:rsid w:val="00382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B9"/>
    <w:pPr>
      <w:spacing w:after="160" w:line="259" w:lineRule="auto"/>
    </w:pPr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937B9"/>
    <w:rPr>
      <w:i/>
      <w:iCs/>
    </w:rPr>
  </w:style>
  <w:style w:type="paragraph" w:customStyle="1" w:styleId="simplepara">
    <w:name w:val="simplepara"/>
    <w:basedOn w:val="Normal"/>
    <w:rsid w:val="00C9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C937B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937B9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7B9"/>
    <w:rPr>
      <w:rFonts w:ascii="Times New Roman" w:eastAsiaTheme="minorEastAsia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7B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B9"/>
    <w:rPr>
      <w:rFonts w:ascii="Tahoma" w:hAnsi="Tahoma" w:cs="Tahoma"/>
      <w:sz w:val="16"/>
      <w:szCs w:val="16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B2670D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uiPriority w:val="99"/>
    <w:unhideWhenUsed/>
    <w:qFormat/>
    <w:rsid w:val="00B2670D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1">
    <w:name w:val="Plain Text Char1"/>
    <w:basedOn w:val="DefaultParagraphFont"/>
    <w:uiPriority w:val="99"/>
    <w:semiHidden/>
    <w:rsid w:val="00B2670D"/>
    <w:rPr>
      <w:rFonts w:ascii="Consolas" w:hAnsi="Consolas"/>
      <w:sz w:val="21"/>
      <w:szCs w:val="21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B26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70D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B26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70D"/>
    <w:rPr>
      <w:lang w:val="nb-NO"/>
    </w:rPr>
  </w:style>
  <w:style w:type="paragraph" w:styleId="ListParagraph">
    <w:name w:val="List Paragraph"/>
    <w:basedOn w:val="Normal"/>
    <w:uiPriority w:val="34"/>
    <w:qFormat/>
    <w:rsid w:val="0038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42F1-BA33-4833-A730-46400109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772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Vienna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Zotchev</dc:creator>
  <cp:lastModifiedBy>Sergey Zotchev</cp:lastModifiedBy>
  <cp:revision>2</cp:revision>
  <dcterms:created xsi:type="dcterms:W3CDTF">2018-11-23T11:08:00Z</dcterms:created>
  <dcterms:modified xsi:type="dcterms:W3CDTF">2018-11-23T11:08:00Z</dcterms:modified>
</cp:coreProperties>
</file>