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B43F17">
      <w:pPr>
        <w:pStyle w:val="SupplementaryMaterial"/>
        <w:spacing w:after="0" w:line="276" w:lineRule="auto"/>
        <w:rPr>
          <w:b w:val="0"/>
        </w:rPr>
      </w:pPr>
      <w:r w:rsidRPr="001549D3">
        <w:t>Supplementary Material</w:t>
      </w:r>
    </w:p>
    <w:p w14:paraId="23781E49" w14:textId="4EB09E02" w:rsidR="002631C6" w:rsidRDefault="002631C6" w:rsidP="00B43F17">
      <w:pPr>
        <w:pStyle w:val="Title"/>
        <w:spacing w:after="0"/>
      </w:pPr>
      <w:r w:rsidRPr="00E70907">
        <w:t xml:space="preserve">Natural </w:t>
      </w:r>
      <w:r w:rsidR="00C52EE8">
        <w:t>K</w:t>
      </w:r>
      <w:r w:rsidR="00C52EE8" w:rsidRPr="00E70907">
        <w:t xml:space="preserve">iller </w:t>
      </w:r>
      <w:r w:rsidR="00C52EE8">
        <w:t>C</w:t>
      </w:r>
      <w:r w:rsidR="00C52EE8" w:rsidRPr="00E70907">
        <w:t xml:space="preserve">ell </w:t>
      </w:r>
      <w:r w:rsidR="00C52EE8">
        <w:t>E</w:t>
      </w:r>
      <w:r w:rsidR="00C52EE8" w:rsidRPr="00E70907">
        <w:t xml:space="preserve">ducation </w:t>
      </w:r>
      <w:r w:rsidR="00C52EE8">
        <w:t>I</w:t>
      </w:r>
      <w:r w:rsidRPr="00E70907">
        <w:t xml:space="preserve">s </w:t>
      </w:r>
      <w:r w:rsidR="00C52EE8">
        <w:t>A</w:t>
      </w:r>
      <w:r w:rsidR="00C52EE8" w:rsidRPr="00E70907">
        <w:t xml:space="preserve">ssociated </w:t>
      </w:r>
      <w:r w:rsidR="00C52EE8">
        <w:t>W</w:t>
      </w:r>
      <w:r w:rsidRPr="00E70907">
        <w:t>ith</w:t>
      </w:r>
    </w:p>
    <w:p w14:paraId="522EA86A" w14:textId="67A6A70F" w:rsidR="002631C6" w:rsidRPr="0044439A" w:rsidRDefault="00C64289" w:rsidP="00B43F17">
      <w:pPr>
        <w:pStyle w:val="Title"/>
        <w:spacing w:after="0"/>
      </w:pPr>
      <w:r>
        <w:t xml:space="preserve">a </w:t>
      </w:r>
      <w:r w:rsidR="00C52EE8">
        <w:t>D</w:t>
      </w:r>
      <w:r w:rsidR="00C52EE8" w:rsidRPr="00E70907">
        <w:t xml:space="preserve">istinct </w:t>
      </w:r>
      <w:r w:rsidR="00C52EE8">
        <w:t>G</w:t>
      </w:r>
      <w:r w:rsidR="00831E73">
        <w:t>lycolytic</w:t>
      </w:r>
      <w:r w:rsidR="00831E73" w:rsidRPr="00E70907">
        <w:t xml:space="preserve"> </w:t>
      </w:r>
      <w:r w:rsidR="00C52EE8">
        <w:t>P</w:t>
      </w:r>
      <w:r w:rsidR="002631C6" w:rsidRPr="00E70907">
        <w:t>rofile</w:t>
      </w:r>
    </w:p>
    <w:p w14:paraId="41617908" w14:textId="275623B4" w:rsidR="008D414A" w:rsidRPr="0086645B" w:rsidRDefault="008D414A" w:rsidP="008D414A">
      <w:pPr>
        <w:pStyle w:val="AuthorList"/>
        <w:rPr>
          <w:color w:val="000000" w:themeColor="text1"/>
        </w:rPr>
      </w:pPr>
      <w:r w:rsidRPr="0086645B">
        <w:t xml:space="preserve">Caroline </w:t>
      </w:r>
      <w:r w:rsidRPr="0086645B">
        <w:rPr>
          <w:color w:val="000000" w:themeColor="text1"/>
        </w:rPr>
        <w:t>Pfeifer</w:t>
      </w:r>
      <w:r w:rsidRPr="0086645B">
        <w:rPr>
          <w:color w:val="000000" w:themeColor="text1"/>
          <w:vertAlign w:val="superscript"/>
        </w:rPr>
        <w:t>1</w:t>
      </w:r>
      <w:r w:rsidRPr="0086645B">
        <w:rPr>
          <w:color w:val="000000" w:themeColor="text1"/>
        </w:rPr>
        <w:t xml:space="preserve">, </w:t>
      </w:r>
      <w:r w:rsidR="00831E73" w:rsidRPr="0086645B">
        <w:rPr>
          <w:color w:val="000000" w:themeColor="text1"/>
        </w:rPr>
        <w:t>Andrew J. Highton</w:t>
      </w:r>
      <w:r w:rsidR="00831E73" w:rsidRPr="0086645B">
        <w:rPr>
          <w:color w:val="000000" w:themeColor="text1"/>
          <w:vertAlign w:val="superscript"/>
        </w:rPr>
        <w:t>1</w:t>
      </w:r>
      <w:r w:rsidR="00831E73" w:rsidRPr="0086645B">
        <w:rPr>
          <w:color w:val="000000" w:themeColor="text1"/>
        </w:rPr>
        <w:t xml:space="preserve">, </w:t>
      </w:r>
      <w:r w:rsidRPr="0086645B">
        <w:rPr>
          <w:color w:val="000000" w:themeColor="text1"/>
        </w:rPr>
        <w:t>Sven Peine</w:t>
      </w:r>
      <w:r w:rsidRPr="0086645B">
        <w:rPr>
          <w:color w:val="000000" w:themeColor="text1"/>
          <w:vertAlign w:val="superscript"/>
        </w:rPr>
        <w:t>2</w:t>
      </w:r>
      <w:r w:rsidRPr="0086645B">
        <w:rPr>
          <w:color w:val="000000" w:themeColor="text1"/>
        </w:rPr>
        <w:t>, Jürgen Sauter</w:t>
      </w:r>
      <w:r w:rsidRPr="0086645B">
        <w:rPr>
          <w:color w:val="000000" w:themeColor="text1"/>
          <w:vertAlign w:val="superscript"/>
        </w:rPr>
        <w:t>3</w:t>
      </w:r>
      <w:r w:rsidRPr="0086645B">
        <w:rPr>
          <w:color w:val="000000" w:themeColor="text1"/>
        </w:rPr>
        <w:t>, Alexander H. Schmidt</w:t>
      </w:r>
      <w:r w:rsidRPr="0086645B">
        <w:rPr>
          <w:color w:val="000000" w:themeColor="text1"/>
          <w:vertAlign w:val="superscript"/>
        </w:rPr>
        <w:t>3,4</w:t>
      </w:r>
      <w:r w:rsidRPr="0086645B">
        <w:rPr>
          <w:color w:val="000000" w:themeColor="text1"/>
        </w:rPr>
        <w:t>, Madeleine J. Bunders</w:t>
      </w:r>
      <w:r w:rsidRPr="0086645B">
        <w:rPr>
          <w:color w:val="000000" w:themeColor="text1"/>
          <w:vertAlign w:val="superscript"/>
        </w:rPr>
        <w:t>1,5</w:t>
      </w:r>
      <w:r w:rsidRPr="0086645B">
        <w:rPr>
          <w:color w:val="000000" w:themeColor="text1"/>
        </w:rPr>
        <w:t>, Marcus Altfeld</w:t>
      </w:r>
      <w:r w:rsidRPr="0086645B">
        <w:rPr>
          <w:color w:val="000000" w:themeColor="text1"/>
          <w:vertAlign w:val="superscript"/>
        </w:rPr>
        <w:t>1,6</w:t>
      </w:r>
      <w:r w:rsidRPr="0086645B">
        <w:rPr>
          <w:color w:val="000000" w:themeColor="text1"/>
        </w:rPr>
        <w:t>, Christian Körner</w:t>
      </w:r>
      <w:r w:rsidRPr="0086645B">
        <w:rPr>
          <w:color w:val="000000" w:themeColor="text1"/>
          <w:vertAlign w:val="superscript"/>
        </w:rPr>
        <w:t>1*</w:t>
      </w:r>
    </w:p>
    <w:p w14:paraId="536CFC0D" w14:textId="77777777" w:rsidR="008D414A" w:rsidRDefault="008D414A" w:rsidP="008D414A">
      <w:pPr>
        <w:spacing w:beforeLines="100" w:before="240" w:after="0"/>
        <w:rPr>
          <w:rFonts w:cs="Times New Roman"/>
          <w:color w:val="000000" w:themeColor="text1"/>
          <w:szCs w:val="24"/>
        </w:rPr>
      </w:pPr>
      <w:r w:rsidRPr="00940923">
        <w:rPr>
          <w:rFonts w:cs="Times New Roman"/>
          <w:color w:val="000000" w:themeColor="text1"/>
          <w:szCs w:val="24"/>
          <w:vertAlign w:val="superscript"/>
        </w:rPr>
        <w:t>1</w:t>
      </w:r>
      <w:r w:rsidRPr="00940923">
        <w:rPr>
          <w:rFonts w:cs="Times New Roman"/>
          <w:color w:val="000000" w:themeColor="text1"/>
          <w:szCs w:val="24"/>
        </w:rPr>
        <w:t>Research Department Virus Immunology, Heinrich Pette Institute, Leibniz Institute for Experimental Virology, Hamburg, Germany</w:t>
      </w:r>
    </w:p>
    <w:p w14:paraId="170E57E4" w14:textId="77777777" w:rsidR="008D414A" w:rsidRDefault="008D414A" w:rsidP="008D414A">
      <w:pPr>
        <w:spacing w:beforeLines="100" w:before="240"/>
        <w:rPr>
          <w:bCs/>
          <w:color w:val="000000" w:themeColor="text1"/>
        </w:rPr>
      </w:pPr>
      <w:r>
        <w:rPr>
          <w:rFonts w:cs="Times New Roman"/>
          <w:color w:val="000000" w:themeColor="text1"/>
          <w:szCs w:val="24"/>
          <w:vertAlign w:val="superscript"/>
        </w:rPr>
        <w:t>2</w:t>
      </w:r>
      <w:r w:rsidRPr="00940923">
        <w:rPr>
          <w:bCs/>
          <w:color w:val="000000" w:themeColor="text1"/>
        </w:rPr>
        <w:t xml:space="preserve">Institute for Transfusion Medicine, University Medical Center Hamburg-Eppendorf, </w:t>
      </w:r>
      <w:r>
        <w:rPr>
          <w:bCs/>
          <w:color w:val="000000" w:themeColor="text1"/>
        </w:rPr>
        <w:t xml:space="preserve">Hamburg, </w:t>
      </w:r>
      <w:r w:rsidRPr="00940923">
        <w:rPr>
          <w:bCs/>
          <w:color w:val="000000" w:themeColor="text1"/>
        </w:rPr>
        <w:t>Germany</w:t>
      </w:r>
    </w:p>
    <w:p w14:paraId="1C4E7F27" w14:textId="77777777" w:rsidR="008D414A" w:rsidRPr="008D414A" w:rsidRDefault="008D414A" w:rsidP="008D414A">
      <w:pPr>
        <w:spacing w:beforeLines="100" w:before="240" w:after="0"/>
        <w:rPr>
          <w:rFonts w:cs="Times New Roman"/>
          <w:szCs w:val="24"/>
        </w:rPr>
      </w:pPr>
      <w:r w:rsidRPr="008D414A">
        <w:rPr>
          <w:rFonts w:cs="Times New Roman"/>
          <w:szCs w:val="24"/>
          <w:vertAlign w:val="superscript"/>
        </w:rPr>
        <w:t>3</w:t>
      </w:r>
      <w:r w:rsidRPr="008D414A">
        <w:rPr>
          <w:rFonts w:cs="Times New Roman"/>
          <w:szCs w:val="24"/>
        </w:rPr>
        <w:t>DKMS gemeinnützige GmbH, Tübingen, Germany</w:t>
      </w:r>
    </w:p>
    <w:p w14:paraId="0A70ACED" w14:textId="77777777" w:rsidR="008D414A" w:rsidRDefault="008D414A" w:rsidP="008D414A">
      <w:pPr>
        <w:spacing w:beforeLines="100"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 w:rsidRPr="00025196">
        <w:rPr>
          <w:rFonts w:cs="Times New Roman"/>
          <w:szCs w:val="24"/>
        </w:rPr>
        <w:t>DKMS Life Science Lab, Dresden, Germany</w:t>
      </w:r>
    </w:p>
    <w:p w14:paraId="1FA6A497" w14:textId="78C32F60" w:rsidR="008D414A" w:rsidRPr="00E70907" w:rsidRDefault="008D414A" w:rsidP="008D414A">
      <w:pPr>
        <w:spacing w:beforeLines="100"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5</w:t>
      </w:r>
      <w:r w:rsidRPr="00E70907">
        <w:rPr>
          <w:rFonts w:cs="Times New Roman"/>
          <w:szCs w:val="24"/>
        </w:rPr>
        <w:t>Department of Experimental Immunology and the Emma Children's Hospital, A</w:t>
      </w:r>
      <w:r>
        <w:rPr>
          <w:rFonts w:cs="Times New Roman"/>
          <w:szCs w:val="24"/>
        </w:rPr>
        <w:t xml:space="preserve">msterdam </w:t>
      </w:r>
      <w:r w:rsidR="00844E8B">
        <w:rPr>
          <w:rFonts w:cs="Times New Roman"/>
          <w:szCs w:val="24"/>
        </w:rPr>
        <w:t xml:space="preserve">University </w:t>
      </w:r>
      <w:r w:rsidRPr="00E70907">
        <w:rPr>
          <w:rFonts w:cs="Times New Roman"/>
          <w:szCs w:val="24"/>
        </w:rPr>
        <w:t xml:space="preserve">Medical Center, </w:t>
      </w:r>
      <w:r w:rsidR="00D66CFD">
        <w:rPr>
          <w:rFonts w:cs="Times New Roman"/>
          <w:szCs w:val="24"/>
        </w:rPr>
        <w:t xml:space="preserve">University of Amsterdam, </w:t>
      </w:r>
      <w:r w:rsidRPr="00E70907">
        <w:rPr>
          <w:rFonts w:cs="Times New Roman"/>
          <w:szCs w:val="24"/>
        </w:rPr>
        <w:t>Amsterdam, the Netherlands</w:t>
      </w:r>
    </w:p>
    <w:p w14:paraId="5704F9F0" w14:textId="77777777" w:rsidR="008D414A" w:rsidRPr="00025196" w:rsidRDefault="008D414A" w:rsidP="008D414A">
      <w:pPr>
        <w:spacing w:beforeLines="100"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6</w:t>
      </w:r>
      <w:r w:rsidRPr="00025196">
        <w:rPr>
          <w:rFonts w:cs="Times New Roman"/>
          <w:szCs w:val="24"/>
        </w:rPr>
        <w:t>Institute of Immunology, University Medical Center Hamburg-Eppendorf, Hamburg, Germany</w:t>
      </w:r>
    </w:p>
    <w:p w14:paraId="74F55828" w14:textId="77777777" w:rsidR="008D414A" w:rsidRPr="00E70907" w:rsidRDefault="008D414A" w:rsidP="008D414A">
      <w:pPr>
        <w:spacing w:beforeLines="100" w:before="240" w:after="0"/>
        <w:rPr>
          <w:rFonts w:cs="Times New Roman"/>
          <w:szCs w:val="24"/>
        </w:rPr>
      </w:pPr>
      <w:r w:rsidRPr="00025196">
        <w:rPr>
          <w:rFonts w:cs="Times New Roman"/>
          <w:b/>
          <w:szCs w:val="24"/>
        </w:rPr>
        <w:t>* Correspondence:</w:t>
      </w:r>
      <w:r w:rsidRPr="00025196">
        <w:rPr>
          <w:rFonts w:cs="Times New Roman"/>
          <w:szCs w:val="24"/>
        </w:rPr>
        <w:br/>
      </w:r>
      <w:r w:rsidRPr="00E70907">
        <w:rPr>
          <w:rFonts w:cs="Times New Roman"/>
          <w:szCs w:val="24"/>
        </w:rPr>
        <w:t>Christian Körner</w:t>
      </w:r>
    </w:p>
    <w:p w14:paraId="0343ECEC" w14:textId="75178F3B" w:rsidR="008D414A" w:rsidRDefault="00934FE1" w:rsidP="008D414A">
      <w:pPr>
        <w:spacing w:before="0" w:after="0"/>
        <w:rPr>
          <w:rFonts w:cs="Times New Roman"/>
          <w:szCs w:val="24"/>
        </w:rPr>
      </w:pPr>
      <w:hyperlink r:id="rId8" w:history="1">
        <w:r w:rsidR="00D66CFD" w:rsidRPr="0087719F">
          <w:rPr>
            <w:rStyle w:val="Hyperlink"/>
            <w:rFonts w:cs="Times New Roman"/>
            <w:szCs w:val="24"/>
          </w:rPr>
          <w:t>christian.koerner@leibniz-hpi.de</w:t>
        </w:r>
      </w:hyperlink>
    </w:p>
    <w:p w14:paraId="47576D83" w14:textId="2E8F550D" w:rsidR="00125FDF" w:rsidRDefault="00125FDF" w:rsidP="00E43D6A">
      <w:pPr>
        <w:spacing w:before="0" w:after="0" w:line="276" w:lineRule="auto"/>
      </w:pPr>
      <w:r>
        <w:br w:type="page"/>
      </w:r>
    </w:p>
    <w:p w14:paraId="37CBBBC3" w14:textId="2F8153FA" w:rsidR="00181F82" w:rsidRDefault="00994A3D" w:rsidP="00181F82">
      <w:pPr>
        <w:pStyle w:val="Heading1"/>
        <w:spacing w:before="0" w:after="0" w:line="276" w:lineRule="auto"/>
      </w:pPr>
      <w:r w:rsidRPr="0001436A">
        <w:lastRenderedPageBreak/>
        <w:t>Supplementary</w:t>
      </w:r>
      <w:r w:rsidRPr="001549D3">
        <w:t xml:space="preserve"> </w:t>
      </w:r>
      <w:r w:rsidR="006F1A96">
        <w:t>F</w:t>
      </w:r>
      <w:r w:rsidR="006F1A96" w:rsidRPr="001549D3">
        <w:t>igures</w:t>
      </w:r>
    </w:p>
    <w:p w14:paraId="4EDE3970" w14:textId="45BD28C1" w:rsidR="0012073D" w:rsidRPr="00F342D2" w:rsidRDefault="0012073D" w:rsidP="00181F82">
      <w:pPr>
        <w:pStyle w:val="Heading2"/>
        <w:tabs>
          <w:tab w:val="clear" w:pos="709"/>
        </w:tabs>
        <w:ind w:left="567"/>
        <w:rPr>
          <w:noProof/>
          <w:lang w:eastAsia="de-DE"/>
        </w:rPr>
      </w:pPr>
      <w:r>
        <w:t xml:space="preserve">Supplementary </w:t>
      </w:r>
      <w:r w:rsidR="006F1A96">
        <w:t>Figure </w:t>
      </w:r>
      <w:r>
        <w:t>1</w:t>
      </w:r>
      <w:r w:rsidR="00852A86" w:rsidRPr="00852A86">
        <w:t xml:space="preserve"> | NK</w:t>
      </w:r>
      <w:r w:rsidR="00745056">
        <w:noBreakHyphen/>
      </w:r>
      <w:r w:rsidR="0069355F">
        <w:t>cell gating strategy</w:t>
      </w:r>
    </w:p>
    <w:p w14:paraId="04D15BAB" w14:textId="66199771" w:rsidR="00F342D2" w:rsidRPr="00F342D2" w:rsidRDefault="00F342D2" w:rsidP="00F342D2">
      <w:pPr>
        <w:rPr>
          <w:lang w:eastAsia="de-DE"/>
        </w:rPr>
      </w:pPr>
      <w:r>
        <w:rPr>
          <w:noProof/>
          <w:lang w:val="de-DE" w:eastAsia="de-DE"/>
        </w:rPr>
        <w:drawing>
          <wp:inline distT="0" distB="0" distL="0" distR="0" wp14:anchorId="7ED3B678" wp14:editId="0C5E7B5A">
            <wp:extent cx="5287557" cy="5271654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_1_Proof_Gating Stratgey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760" cy="527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4E2D" w14:textId="6A4685FC" w:rsidR="00B43F17" w:rsidRDefault="00B43F17" w:rsidP="00E43D6A">
      <w:pPr>
        <w:keepNext/>
        <w:spacing w:before="0" w:after="0" w:line="276" w:lineRule="auto"/>
      </w:pPr>
    </w:p>
    <w:p w14:paraId="30585615" w14:textId="59D9EFC3" w:rsidR="00520EB4" w:rsidRPr="00700A03" w:rsidRDefault="00520EB4" w:rsidP="000B2336">
      <w:pPr>
        <w:keepNext/>
        <w:spacing w:before="0" w:after="0" w:line="360" w:lineRule="auto"/>
        <w:jc w:val="both"/>
        <w:rPr>
          <w:rFonts w:cs="Times New Roman"/>
          <w:b/>
          <w:sz w:val="18"/>
          <w:szCs w:val="18"/>
        </w:rPr>
      </w:pPr>
      <w:r w:rsidRPr="00700A03">
        <w:rPr>
          <w:rFonts w:cs="Times New Roman"/>
          <w:b/>
          <w:sz w:val="18"/>
          <w:szCs w:val="18"/>
        </w:rPr>
        <w:t xml:space="preserve">Supplementary </w:t>
      </w:r>
      <w:r w:rsidR="006F1A96">
        <w:rPr>
          <w:rFonts w:cs="Times New Roman"/>
          <w:b/>
          <w:sz w:val="18"/>
          <w:szCs w:val="18"/>
        </w:rPr>
        <w:t>F</w:t>
      </w:r>
      <w:r w:rsidR="006F1A96" w:rsidRPr="00700A03">
        <w:rPr>
          <w:rFonts w:cs="Times New Roman"/>
          <w:b/>
          <w:sz w:val="18"/>
          <w:szCs w:val="18"/>
        </w:rPr>
        <w:t>igure </w:t>
      </w:r>
      <w:r w:rsidR="0069355F" w:rsidRPr="00700A03">
        <w:rPr>
          <w:rFonts w:cs="Times New Roman"/>
          <w:b/>
          <w:sz w:val="18"/>
          <w:szCs w:val="18"/>
        </w:rPr>
        <w:t>1 | NK-cell gating strategy</w:t>
      </w:r>
    </w:p>
    <w:p w14:paraId="47CBFCD3" w14:textId="497ED108" w:rsidR="00C7572F" w:rsidRDefault="00520EB4" w:rsidP="00C52EE8">
      <w:pPr>
        <w:spacing w:line="360" w:lineRule="auto"/>
        <w:jc w:val="both"/>
        <w:rPr>
          <w:rFonts w:eastAsia="Cambria" w:cs="Times New Roman"/>
          <w:b/>
          <w:szCs w:val="24"/>
        </w:rPr>
      </w:pPr>
      <w:r w:rsidRPr="008734DC">
        <w:rPr>
          <w:sz w:val="18"/>
          <w:szCs w:val="18"/>
        </w:rPr>
        <w:t>Flow cytometric assessment of NK</w:t>
      </w:r>
      <w:r w:rsidR="00B83403" w:rsidRPr="008734DC">
        <w:rPr>
          <w:sz w:val="18"/>
          <w:szCs w:val="18"/>
        </w:rPr>
        <w:noBreakHyphen/>
      </w:r>
      <w:r w:rsidRPr="008734DC">
        <w:rPr>
          <w:sz w:val="18"/>
          <w:szCs w:val="18"/>
        </w:rPr>
        <w:t>cell subsets. Lymphocytes were gated using forward and sideward scatter</w:t>
      </w:r>
      <w:r w:rsidR="00B83403" w:rsidRPr="008734DC">
        <w:rPr>
          <w:sz w:val="18"/>
          <w:szCs w:val="18"/>
        </w:rPr>
        <w:t> </w:t>
      </w:r>
      <w:r w:rsidRPr="008734DC">
        <w:rPr>
          <w:sz w:val="18"/>
          <w:szCs w:val="18"/>
        </w:rPr>
        <w:t>(FSC</w:t>
      </w:r>
      <w:r w:rsidR="00CE54E6" w:rsidRPr="008734DC">
        <w:rPr>
          <w:sz w:val="18"/>
          <w:szCs w:val="18"/>
        </w:rPr>
        <w:noBreakHyphen/>
      </w:r>
      <w:r w:rsidRPr="008734DC">
        <w:rPr>
          <w:sz w:val="18"/>
          <w:szCs w:val="18"/>
        </w:rPr>
        <w:t>A/SSC</w:t>
      </w:r>
      <w:r w:rsidR="00CE54E6" w:rsidRPr="008734DC">
        <w:rPr>
          <w:sz w:val="18"/>
          <w:szCs w:val="18"/>
        </w:rPr>
        <w:noBreakHyphen/>
      </w:r>
      <w:r w:rsidRPr="008734DC">
        <w:rPr>
          <w:sz w:val="18"/>
          <w:szCs w:val="18"/>
        </w:rPr>
        <w:t xml:space="preserve">A). Single cells were then identified by area and height of the forward scatter. Exclusion of dead cells was performed using the viability dye LIVE/DEAD </w:t>
      </w:r>
      <w:r w:rsidR="00D66CFD">
        <w:rPr>
          <w:sz w:val="18"/>
          <w:szCs w:val="18"/>
        </w:rPr>
        <w:t xml:space="preserve">Fixable </w:t>
      </w:r>
      <w:r w:rsidRPr="008734DC">
        <w:rPr>
          <w:sz w:val="18"/>
          <w:szCs w:val="18"/>
        </w:rPr>
        <w:t>Blue. Subsequently NK</w:t>
      </w:r>
      <w:r w:rsidR="00B83403" w:rsidRPr="008734DC">
        <w:rPr>
          <w:sz w:val="18"/>
          <w:szCs w:val="18"/>
        </w:rPr>
        <w:t> </w:t>
      </w:r>
      <w:r w:rsidRPr="008734DC">
        <w:rPr>
          <w:sz w:val="18"/>
          <w:szCs w:val="18"/>
        </w:rPr>
        <w:t>cells were identified by the exclusion of CD3</w:t>
      </w:r>
      <w:r w:rsidR="00B83403" w:rsidRPr="008734DC">
        <w:rPr>
          <w:sz w:val="18"/>
          <w:szCs w:val="18"/>
          <w:vertAlign w:val="superscript"/>
        </w:rPr>
        <w:t>+</w:t>
      </w:r>
      <w:r w:rsidRPr="008734DC">
        <w:rPr>
          <w:sz w:val="18"/>
          <w:szCs w:val="18"/>
        </w:rPr>
        <w:t>, CD14</w:t>
      </w:r>
      <w:r w:rsidR="00B83403" w:rsidRPr="008734DC">
        <w:rPr>
          <w:sz w:val="18"/>
          <w:szCs w:val="18"/>
          <w:vertAlign w:val="superscript"/>
        </w:rPr>
        <w:t>+</w:t>
      </w:r>
      <w:r w:rsidRPr="008734DC">
        <w:rPr>
          <w:sz w:val="18"/>
          <w:szCs w:val="18"/>
        </w:rPr>
        <w:t>, and CD19</w:t>
      </w:r>
      <w:r w:rsidR="00B83403" w:rsidRPr="008734DC">
        <w:rPr>
          <w:sz w:val="18"/>
          <w:szCs w:val="18"/>
          <w:vertAlign w:val="superscript"/>
        </w:rPr>
        <w:t>+</w:t>
      </w:r>
      <w:r w:rsidR="00B83403" w:rsidRPr="008734DC">
        <w:rPr>
          <w:sz w:val="18"/>
          <w:szCs w:val="18"/>
        </w:rPr>
        <w:t xml:space="preserve"> </w:t>
      </w:r>
      <w:r w:rsidRPr="008734DC">
        <w:rPr>
          <w:sz w:val="18"/>
          <w:szCs w:val="18"/>
        </w:rPr>
        <w:t>cells and the expression of either CD56 or CD16. NK</w:t>
      </w:r>
      <w:r w:rsidR="00B83403" w:rsidRPr="008734DC">
        <w:rPr>
          <w:sz w:val="18"/>
          <w:szCs w:val="18"/>
        </w:rPr>
        <w:noBreakHyphen/>
      </w:r>
      <w:r w:rsidRPr="008734DC">
        <w:rPr>
          <w:sz w:val="18"/>
          <w:szCs w:val="18"/>
        </w:rPr>
        <w:t>cell subsets were further defined by the expression of the inhibitory receptors KIR2DL1, KIR2DL2/L3, KIR3DL1 and NKG2A.</w:t>
      </w:r>
      <w:r w:rsidR="00C7572F">
        <w:br w:type="page"/>
      </w:r>
    </w:p>
    <w:p w14:paraId="52BA582D" w14:textId="405F793A" w:rsidR="00C7572F" w:rsidRPr="00591752" w:rsidRDefault="00C7572F" w:rsidP="00591752">
      <w:pPr>
        <w:pStyle w:val="Heading2"/>
      </w:pPr>
      <w:r w:rsidRPr="00591752">
        <w:lastRenderedPageBreak/>
        <w:t xml:space="preserve">Supplementary </w:t>
      </w:r>
      <w:r w:rsidR="006F1A96">
        <w:t>F</w:t>
      </w:r>
      <w:r w:rsidRPr="00591752">
        <w:t xml:space="preserve">igure 2 | </w:t>
      </w:r>
      <w:r w:rsidR="00C02AFD">
        <w:t>Increased levels of</w:t>
      </w:r>
      <w:r w:rsidRPr="00591752">
        <w:t xml:space="preserve"> </w:t>
      </w:r>
      <w:r>
        <w:t xml:space="preserve">CD107a </w:t>
      </w:r>
      <w:r w:rsidRPr="00591752">
        <w:t>in educated NK</w:t>
      </w:r>
      <w:r w:rsidR="00212B38">
        <w:t>-</w:t>
      </w:r>
      <w:r w:rsidRPr="00591752">
        <w:t>cell subsets</w:t>
      </w:r>
    </w:p>
    <w:p w14:paraId="772747E3" w14:textId="78EFC913" w:rsidR="00C7572F" w:rsidRDefault="00C7572F" w:rsidP="00591752">
      <w:r>
        <w:rPr>
          <w:noProof/>
          <w:lang w:val="de-DE" w:eastAsia="de-DE"/>
        </w:rPr>
        <w:drawing>
          <wp:inline distT="0" distB="0" distL="0" distR="0" wp14:anchorId="2201E79F" wp14:editId="5C596730">
            <wp:extent cx="5117592" cy="4789932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R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47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4218" w14:textId="70CFF613" w:rsidR="00C02AFD" w:rsidRPr="000B2336" w:rsidRDefault="00C02AFD" w:rsidP="00C02AFD">
      <w:pPr>
        <w:keepNext/>
        <w:spacing w:before="0" w:after="0" w:line="360" w:lineRule="auto"/>
        <w:jc w:val="both"/>
        <w:rPr>
          <w:rFonts w:cs="Times New Roman"/>
          <w:b/>
          <w:sz w:val="18"/>
          <w:szCs w:val="18"/>
        </w:rPr>
      </w:pPr>
      <w:r w:rsidRPr="000B2336">
        <w:rPr>
          <w:rFonts w:cs="Times New Roman"/>
          <w:b/>
          <w:sz w:val="18"/>
          <w:szCs w:val="18"/>
        </w:rPr>
        <w:t xml:space="preserve">Supplementary </w:t>
      </w:r>
      <w:r w:rsidR="006F1A96">
        <w:rPr>
          <w:rFonts w:cs="Times New Roman"/>
          <w:b/>
          <w:sz w:val="18"/>
          <w:szCs w:val="18"/>
        </w:rPr>
        <w:t>F</w:t>
      </w:r>
      <w:r w:rsidRPr="000B2336">
        <w:rPr>
          <w:rFonts w:cs="Times New Roman"/>
          <w:b/>
          <w:sz w:val="18"/>
          <w:szCs w:val="18"/>
        </w:rPr>
        <w:t>igure </w:t>
      </w:r>
      <w:r>
        <w:rPr>
          <w:rFonts w:cs="Times New Roman"/>
          <w:b/>
          <w:sz w:val="18"/>
          <w:szCs w:val="18"/>
        </w:rPr>
        <w:t>2</w:t>
      </w:r>
      <w:r w:rsidRPr="000B2336">
        <w:rPr>
          <w:rFonts w:cs="Times New Roman"/>
          <w:b/>
          <w:sz w:val="18"/>
          <w:szCs w:val="18"/>
        </w:rPr>
        <w:t xml:space="preserve"> | </w:t>
      </w:r>
      <w:r w:rsidRPr="00591752">
        <w:rPr>
          <w:rFonts w:cs="Times New Roman"/>
          <w:b/>
          <w:sz w:val="18"/>
          <w:szCs w:val="18"/>
        </w:rPr>
        <w:t>Increased levels of CD107a in educated NK</w:t>
      </w:r>
      <w:r w:rsidR="00212B38">
        <w:rPr>
          <w:rFonts w:cs="Times New Roman"/>
          <w:b/>
          <w:sz w:val="18"/>
          <w:szCs w:val="18"/>
        </w:rPr>
        <w:t>-</w:t>
      </w:r>
      <w:r w:rsidRPr="00591752">
        <w:rPr>
          <w:rFonts w:cs="Times New Roman"/>
          <w:b/>
          <w:sz w:val="18"/>
          <w:szCs w:val="18"/>
        </w:rPr>
        <w:t>cell subsets</w:t>
      </w:r>
    </w:p>
    <w:p w14:paraId="6CD873E0" w14:textId="0D35F7F2" w:rsidR="00C7572F" w:rsidRPr="00591752" w:rsidRDefault="00C02AFD" w:rsidP="0059175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18"/>
          <w:szCs w:val="18"/>
        </w:rPr>
      </w:pPr>
      <w:r w:rsidRPr="00591752">
        <w:rPr>
          <w:rFonts w:cs="Times New Roman"/>
          <w:sz w:val="18"/>
          <w:szCs w:val="18"/>
        </w:rPr>
        <w:t>Flow cytometric assessment of NK</w:t>
      </w:r>
      <w:r w:rsidRPr="00591752">
        <w:rPr>
          <w:rFonts w:cs="Times New Roman"/>
          <w:sz w:val="18"/>
          <w:szCs w:val="18"/>
        </w:rPr>
        <w:noBreakHyphen/>
        <w:t xml:space="preserve">cell function after exposure to various target cells. Enriched primary NK cells from healthy donors were cultured </w:t>
      </w:r>
      <w:r w:rsidR="00234A78">
        <w:rPr>
          <w:rFonts w:cs="Times New Roman"/>
          <w:sz w:val="18"/>
          <w:szCs w:val="18"/>
        </w:rPr>
        <w:t xml:space="preserve">for 4 h </w:t>
      </w:r>
      <w:r w:rsidRPr="00591752">
        <w:rPr>
          <w:rFonts w:cs="Times New Roman"/>
          <w:sz w:val="18"/>
          <w:szCs w:val="18"/>
        </w:rPr>
        <w:t>in the presence of 721.221 cells (cyan) or K</w:t>
      </w:r>
      <w:r w:rsidRPr="00591752">
        <w:rPr>
          <w:rFonts w:cs="Times New Roman"/>
          <w:sz w:val="18"/>
          <w:szCs w:val="18"/>
        </w:rPr>
        <w:noBreakHyphen/>
        <w:t>562 cells (purple).</w:t>
      </w:r>
      <w:r>
        <w:rPr>
          <w:rFonts w:cs="Times New Roman"/>
          <w:sz w:val="18"/>
          <w:szCs w:val="18"/>
        </w:rPr>
        <w:t xml:space="preserve"> </w:t>
      </w:r>
      <w:r w:rsidR="00234A78">
        <w:rPr>
          <w:rFonts w:cs="Times New Roman"/>
          <w:sz w:val="18"/>
          <w:szCs w:val="18"/>
        </w:rPr>
        <w:t>The figure shows the</w:t>
      </w:r>
      <w:r w:rsidRPr="00591752">
        <w:rPr>
          <w:rFonts w:cs="Times New Roman"/>
          <w:sz w:val="18"/>
          <w:szCs w:val="18"/>
        </w:rPr>
        <w:t xml:space="preserve"> CD107a expression frequency </w:t>
      </w:r>
      <w:r>
        <w:rPr>
          <w:rFonts w:cs="Times New Roman"/>
          <w:sz w:val="18"/>
          <w:szCs w:val="18"/>
        </w:rPr>
        <w:t xml:space="preserve">of </w:t>
      </w:r>
      <w:r w:rsidRPr="00DE13B4">
        <w:rPr>
          <w:rFonts w:cs="Times New Roman"/>
          <w:sz w:val="18"/>
          <w:szCs w:val="18"/>
        </w:rPr>
        <w:t>NK</w:t>
      </w:r>
      <w:r>
        <w:rPr>
          <w:rFonts w:cs="Times New Roman"/>
          <w:sz w:val="18"/>
          <w:szCs w:val="18"/>
        </w:rPr>
        <w:t>-</w:t>
      </w:r>
      <w:r w:rsidRPr="00DE13B4">
        <w:rPr>
          <w:rFonts w:cs="Times New Roman"/>
          <w:sz w:val="18"/>
          <w:szCs w:val="18"/>
        </w:rPr>
        <w:t>cell subsets that are</w:t>
      </w:r>
      <w:r w:rsidR="00234A78">
        <w:rPr>
          <w:rFonts w:cs="Times New Roman"/>
          <w:sz w:val="18"/>
          <w:szCs w:val="18"/>
        </w:rPr>
        <w:t xml:space="preserve"> either</w:t>
      </w:r>
      <w:r w:rsidRPr="00DE13B4">
        <w:rPr>
          <w:rFonts w:cs="Times New Roman"/>
          <w:sz w:val="18"/>
          <w:szCs w:val="18"/>
        </w:rPr>
        <w:t xml:space="preserve"> single positive for one of the investigated self-inhibitory receptors (2DL1, 2DL2/L3, 3DL1 or NKG2A) </w:t>
      </w:r>
      <w:r w:rsidR="00234A78">
        <w:rPr>
          <w:rFonts w:cs="Times New Roman"/>
          <w:sz w:val="18"/>
          <w:szCs w:val="18"/>
        </w:rPr>
        <w:t>or</w:t>
      </w:r>
      <w:r w:rsidRPr="00DE13B4">
        <w:rPr>
          <w:rFonts w:cs="Times New Roman"/>
          <w:sz w:val="18"/>
          <w:szCs w:val="18"/>
        </w:rPr>
        <w:t xml:space="preserve"> subsets that lack all of the investigated self-inhibitory receptors in donors that express the cognate HLA class I molecule (</w:t>
      </w:r>
      <w:r>
        <w:rPr>
          <w:rFonts w:cs="Times New Roman"/>
          <w:sz w:val="18"/>
          <w:szCs w:val="18"/>
        </w:rPr>
        <w:t xml:space="preserve">Upper panel: </w:t>
      </w:r>
      <w:r w:rsidRPr="00DE13B4">
        <w:rPr>
          <w:rFonts w:cs="Times New Roman"/>
          <w:sz w:val="18"/>
          <w:szCs w:val="18"/>
        </w:rPr>
        <w:t xml:space="preserve">+721.221, lower panel: +K-562). </w:t>
      </w:r>
      <w:r w:rsidR="00685CA6">
        <w:rPr>
          <w:rFonts w:cs="Times New Roman"/>
          <w:sz w:val="18"/>
          <w:szCs w:val="18"/>
        </w:rPr>
        <w:t xml:space="preserve">Statistical analysis: </w:t>
      </w:r>
      <w:r w:rsidR="00D66CFD">
        <w:rPr>
          <w:rFonts w:cs="Times New Roman"/>
          <w:sz w:val="18"/>
          <w:szCs w:val="18"/>
        </w:rPr>
        <w:t>Wilcoxon matched-</w:t>
      </w:r>
      <w:r w:rsidR="00D66CFD" w:rsidRPr="00D66CFD">
        <w:rPr>
          <w:rFonts w:cs="Times New Roman"/>
          <w:sz w:val="18"/>
          <w:szCs w:val="18"/>
        </w:rPr>
        <w:t>pairs signed-rank test with subsequent Bonferroni correct</w:t>
      </w:r>
      <w:r w:rsidR="008A7B5D">
        <w:rPr>
          <w:rFonts w:cs="Times New Roman"/>
          <w:sz w:val="18"/>
          <w:szCs w:val="18"/>
        </w:rPr>
        <w:t>ion</w:t>
      </w:r>
      <w:r w:rsidRPr="00591752">
        <w:rPr>
          <w:rFonts w:cs="Times New Roman"/>
          <w:sz w:val="18"/>
          <w:szCs w:val="18"/>
        </w:rPr>
        <w:t>. Black bars represent the median.</w:t>
      </w:r>
    </w:p>
    <w:p w14:paraId="61658B03" w14:textId="02AE57B2" w:rsidR="00591752" w:rsidRDefault="004735C2" w:rsidP="00C52EE8">
      <w:pPr>
        <w:pStyle w:val="Heading2"/>
      </w:pPr>
      <w:r w:rsidRPr="008734DC">
        <w:rPr>
          <w:sz w:val="18"/>
          <w:szCs w:val="18"/>
        </w:rPr>
        <w:br w:type="page"/>
      </w:r>
      <w:r w:rsidR="00CB15F9" w:rsidRPr="008734DC">
        <w:lastRenderedPageBreak/>
        <w:t>Suppl</w:t>
      </w:r>
      <w:r w:rsidR="00AC592A" w:rsidRPr="008734DC">
        <w:t>e</w:t>
      </w:r>
      <w:r w:rsidR="00CB15F9" w:rsidRPr="008734DC">
        <w:t xml:space="preserve">mentary </w:t>
      </w:r>
      <w:r w:rsidR="006F1A96">
        <w:t>F</w:t>
      </w:r>
      <w:r w:rsidR="006F1A96" w:rsidRPr="008734DC">
        <w:t>igure </w:t>
      </w:r>
      <w:r w:rsidR="00C02AFD">
        <w:t>3</w:t>
      </w:r>
      <w:r w:rsidR="00C02AFD" w:rsidRPr="008734DC">
        <w:t xml:space="preserve"> </w:t>
      </w:r>
      <w:r w:rsidR="00F93C54" w:rsidRPr="008734DC">
        <w:t xml:space="preserve">| Upregulation of Glut1 </w:t>
      </w:r>
      <w:r w:rsidR="007300E0" w:rsidRPr="008734DC">
        <w:t xml:space="preserve">in </w:t>
      </w:r>
      <w:r w:rsidR="00F93C54" w:rsidRPr="008734DC">
        <w:t>educated</w:t>
      </w:r>
      <w:r w:rsidR="0069355F" w:rsidRPr="008734DC">
        <w:t xml:space="preserve"> and uneducated NK cell </w:t>
      </w:r>
      <w:r w:rsidR="00C52EE8"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2D3A06A5" wp14:editId="101FDB86">
            <wp:simplePos x="0" y="0"/>
            <wp:positionH relativeFrom="column">
              <wp:posOffset>-2540</wp:posOffset>
            </wp:positionH>
            <wp:positionV relativeFrom="paragraph">
              <wp:posOffset>549275</wp:posOffset>
            </wp:positionV>
            <wp:extent cx="4162425" cy="7560310"/>
            <wp:effectExtent l="0" t="0" r="9525" b="2540"/>
            <wp:wrapTight wrapText="bothSides">
              <wp:wrapPolygon edited="0">
                <wp:start x="0" y="0"/>
                <wp:lineTo x="0" y="21553"/>
                <wp:lineTo x="21551" y="21553"/>
                <wp:lineTo x="2155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R3 Glut1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"/>
                    <a:stretch/>
                  </pic:blipFill>
                  <pic:spPr bwMode="auto">
                    <a:xfrm>
                      <a:off x="0" y="0"/>
                      <a:ext cx="4162425" cy="756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5F" w:rsidRPr="008734DC">
        <w:t>subsets</w:t>
      </w:r>
    </w:p>
    <w:p w14:paraId="6E4CA360" w14:textId="7C772AB5" w:rsidR="002217DF" w:rsidRPr="000B2336" w:rsidRDefault="002217DF" w:rsidP="002217DF">
      <w:pPr>
        <w:keepNext/>
        <w:spacing w:before="0" w:after="0" w:line="360" w:lineRule="auto"/>
        <w:jc w:val="both"/>
        <w:rPr>
          <w:rFonts w:cs="Times New Roman"/>
          <w:b/>
          <w:sz w:val="18"/>
          <w:szCs w:val="18"/>
        </w:rPr>
      </w:pPr>
      <w:r w:rsidRPr="000B2336">
        <w:rPr>
          <w:rFonts w:cs="Times New Roman"/>
          <w:b/>
          <w:sz w:val="18"/>
          <w:szCs w:val="18"/>
        </w:rPr>
        <w:t xml:space="preserve">Supplementary </w:t>
      </w:r>
      <w:r w:rsidR="006F1A96">
        <w:rPr>
          <w:rFonts w:cs="Times New Roman"/>
          <w:b/>
          <w:sz w:val="18"/>
          <w:szCs w:val="18"/>
        </w:rPr>
        <w:t>F</w:t>
      </w:r>
      <w:r w:rsidR="006F1A96" w:rsidRPr="000B2336">
        <w:rPr>
          <w:rFonts w:cs="Times New Roman"/>
          <w:b/>
          <w:sz w:val="18"/>
          <w:szCs w:val="18"/>
        </w:rPr>
        <w:t>igure </w:t>
      </w:r>
      <w:r w:rsidR="00C02AFD">
        <w:rPr>
          <w:rFonts w:cs="Times New Roman"/>
          <w:b/>
          <w:sz w:val="18"/>
          <w:szCs w:val="18"/>
        </w:rPr>
        <w:t>3</w:t>
      </w:r>
      <w:r w:rsidR="00C02AFD" w:rsidRPr="000B2336">
        <w:rPr>
          <w:rFonts w:cs="Times New Roman"/>
          <w:b/>
          <w:sz w:val="18"/>
          <w:szCs w:val="18"/>
        </w:rPr>
        <w:t xml:space="preserve"> </w:t>
      </w:r>
      <w:r w:rsidRPr="000B2336">
        <w:rPr>
          <w:rFonts w:cs="Times New Roman"/>
          <w:b/>
          <w:sz w:val="18"/>
          <w:szCs w:val="18"/>
        </w:rPr>
        <w:t xml:space="preserve">| Upregulation of Glut1 in educated and uneducated </w:t>
      </w:r>
      <w:r w:rsidR="00C02AFD" w:rsidRPr="000B2336">
        <w:rPr>
          <w:rFonts w:cs="Times New Roman"/>
          <w:b/>
          <w:sz w:val="18"/>
          <w:szCs w:val="18"/>
        </w:rPr>
        <w:t>NK</w:t>
      </w:r>
      <w:r w:rsidR="00C02AFD">
        <w:rPr>
          <w:rFonts w:cs="Times New Roman"/>
          <w:b/>
          <w:sz w:val="18"/>
          <w:szCs w:val="18"/>
        </w:rPr>
        <w:t>-</w:t>
      </w:r>
      <w:r w:rsidRPr="000B2336">
        <w:rPr>
          <w:rFonts w:cs="Times New Roman"/>
          <w:b/>
          <w:sz w:val="18"/>
          <w:szCs w:val="18"/>
        </w:rPr>
        <w:t>cell subsets</w:t>
      </w:r>
      <w:r w:rsidR="00D66CFD">
        <w:rPr>
          <w:rFonts w:cs="Times New Roman"/>
          <w:b/>
          <w:sz w:val="18"/>
          <w:szCs w:val="18"/>
        </w:rPr>
        <w:t>.</w:t>
      </w:r>
    </w:p>
    <w:p w14:paraId="4C896DB7" w14:textId="38F77A71" w:rsidR="00DE13B4" w:rsidRPr="006851AD" w:rsidRDefault="002217DF" w:rsidP="00DE13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18"/>
          <w:szCs w:val="18"/>
        </w:rPr>
      </w:pPr>
      <w:r w:rsidRPr="000B2336">
        <w:rPr>
          <w:rFonts w:cs="Times New Roman"/>
          <w:sz w:val="18"/>
          <w:szCs w:val="18"/>
        </w:rPr>
        <w:t xml:space="preserve">Flow cytometric assessment of the glucose transporter Glut1 expression on NK cells </w:t>
      </w:r>
      <w:r w:rsidR="00DE13B4">
        <w:rPr>
          <w:rFonts w:cs="Times New Roman"/>
          <w:sz w:val="18"/>
          <w:szCs w:val="18"/>
        </w:rPr>
        <w:t xml:space="preserve">with and without </w:t>
      </w:r>
      <w:r w:rsidRPr="000B2336">
        <w:rPr>
          <w:rFonts w:cs="Times New Roman"/>
          <w:sz w:val="18"/>
          <w:szCs w:val="18"/>
        </w:rPr>
        <w:t>exposure to various target cells. Enriched primary NK cells from healthy donors were culture</w:t>
      </w:r>
      <w:r w:rsidR="008B37E8">
        <w:rPr>
          <w:rFonts w:cs="Times New Roman"/>
          <w:sz w:val="18"/>
          <w:szCs w:val="18"/>
        </w:rPr>
        <w:t xml:space="preserve">d for 4 h </w:t>
      </w:r>
      <w:bookmarkStart w:id="0" w:name="_GoBack"/>
      <w:bookmarkEnd w:id="0"/>
      <w:r w:rsidR="00934FE1">
        <w:rPr>
          <w:rFonts w:cs="Times New Roman"/>
          <w:sz w:val="18"/>
          <w:szCs w:val="18"/>
        </w:rPr>
        <w:t>either in absence (gra</w:t>
      </w:r>
      <w:r w:rsidR="00934FE1" w:rsidRPr="000B2336">
        <w:rPr>
          <w:rFonts w:cs="Times New Roman"/>
          <w:sz w:val="18"/>
          <w:szCs w:val="18"/>
        </w:rPr>
        <w:t>y) or in presence</w:t>
      </w:r>
      <w:r w:rsidRPr="000B2336">
        <w:rPr>
          <w:rFonts w:cs="Times New Roman"/>
          <w:sz w:val="18"/>
          <w:szCs w:val="18"/>
        </w:rPr>
        <w:t xml:space="preserve"> of 721.221 cells (cyan) or K</w:t>
      </w:r>
      <w:r w:rsidRPr="000B2336">
        <w:rPr>
          <w:rFonts w:cs="Times New Roman"/>
          <w:sz w:val="18"/>
          <w:szCs w:val="18"/>
        </w:rPr>
        <w:noBreakHyphen/>
        <w:t xml:space="preserve">562 cells (purple). </w:t>
      </w:r>
      <w:r w:rsidR="00DA5E61" w:rsidRPr="002057DB">
        <w:rPr>
          <w:rFonts w:cs="Times New Roman"/>
          <w:b/>
          <w:sz w:val="18"/>
          <w:szCs w:val="18"/>
        </w:rPr>
        <w:t>(A)</w:t>
      </w:r>
      <w:r w:rsidR="00DA5E61">
        <w:rPr>
          <w:rFonts w:cs="Times New Roman"/>
          <w:sz w:val="18"/>
          <w:szCs w:val="18"/>
        </w:rPr>
        <w:t xml:space="preserve"> </w:t>
      </w:r>
      <w:r w:rsidRPr="000B2336">
        <w:rPr>
          <w:rFonts w:cs="Times New Roman"/>
          <w:sz w:val="18"/>
          <w:szCs w:val="18"/>
        </w:rPr>
        <w:t xml:space="preserve">Comparison of Glut1 expression (RFI) within educated and uneducated NK cells. </w:t>
      </w:r>
      <w:r w:rsidR="00DE13B4" w:rsidRPr="000B2336">
        <w:rPr>
          <w:rFonts w:cs="Times New Roman"/>
          <w:sz w:val="18"/>
          <w:szCs w:val="18"/>
        </w:rPr>
        <w:t>Statistical analysis: Friedman test, Dunn's multiple comparisons test. Black bars represent the median.</w:t>
      </w:r>
      <w:r w:rsidR="00DE13B4" w:rsidRPr="00452EEA">
        <w:rPr>
          <w:rFonts w:cs="Times New Roman"/>
          <w:b/>
          <w:sz w:val="18"/>
          <w:szCs w:val="18"/>
        </w:rPr>
        <w:t xml:space="preserve"> </w:t>
      </w:r>
      <w:r w:rsidR="00DA5E61" w:rsidRPr="002057DB">
        <w:rPr>
          <w:rFonts w:cs="Times New Roman"/>
          <w:b/>
          <w:sz w:val="18"/>
          <w:szCs w:val="18"/>
        </w:rPr>
        <w:t>(B)</w:t>
      </w:r>
      <w:r w:rsidR="004D07B7">
        <w:rPr>
          <w:rFonts w:cs="Times New Roman"/>
          <w:b/>
          <w:sz w:val="18"/>
          <w:szCs w:val="18"/>
        </w:rPr>
        <w:t xml:space="preserve"> </w:t>
      </w:r>
      <w:r w:rsidR="004D07B7" w:rsidRPr="000B2336">
        <w:rPr>
          <w:rFonts w:cs="Times New Roman"/>
          <w:sz w:val="18"/>
          <w:szCs w:val="18"/>
        </w:rPr>
        <w:t xml:space="preserve">Comparison of Glut1 expression (RFI) </w:t>
      </w:r>
      <w:r w:rsidR="00DE13B4">
        <w:rPr>
          <w:rFonts w:cs="Times New Roman"/>
          <w:sz w:val="18"/>
          <w:szCs w:val="18"/>
        </w:rPr>
        <w:t>between</w:t>
      </w:r>
      <w:r w:rsidR="00DE13B4" w:rsidRPr="00DE13B4">
        <w:rPr>
          <w:rFonts w:cs="Times New Roman"/>
          <w:sz w:val="18"/>
          <w:szCs w:val="18"/>
        </w:rPr>
        <w:t xml:space="preserve"> NK</w:t>
      </w:r>
      <w:r w:rsidR="006F1A96">
        <w:rPr>
          <w:rFonts w:cs="Times New Roman"/>
          <w:sz w:val="18"/>
          <w:szCs w:val="18"/>
        </w:rPr>
        <w:t>-</w:t>
      </w:r>
      <w:r w:rsidR="00DE13B4" w:rsidRPr="00DE13B4">
        <w:rPr>
          <w:rFonts w:cs="Times New Roman"/>
          <w:sz w:val="18"/>
          <w:szCs w:val="18"/>
        </w:rPr>
        <w:t xml:space="preserve">cell subsets that are single positive for one of the investigated self-inhibitory receptors (2DL1, 2DL2/L3, 3DL1 or NKG2A) </w:t>
      </w:r>
      <w:r w:rsidR="00DE13B4">
        <w:rPr>
          <w:rFonts w:cs="Times New Roman"/>
          <w:sz w:val="18"/>
          <w:szCs w:val="18"/>
        </w:rPr>
        <w:t>and</w:t>
      </w:r>
      <w:r w:rsidR="00DE13B4" w:rsidRPr="00DE13B4">
        <w:rPr>
          <w:rFonts w:cs="Times New Roman"/>
          <w:sz w:val="18"/>
          <w:szCs w:val="18"/>
        </w:rPr>
        <w:t xml:space="preserve"> subsets that lack all of the investigated self-inhibitory receptors in donors that express the cognate HLA class I molecule (</w:t>
      </w:r>
      <w:r w:rsidR="00DE13B4">
        <w:rPr>
          <w:rFonts w:cs="Times New Roman"/>
          <w:sz w:val="18"/>
          <w:szCs w:val="18"/>
        </w:rPr>
        <w:t>Upper panel: no target, middle</w:t>
      </w:r>
      <w:r w:rsidR="00DE13B4" w:rsidRPr="00DE13B4">
        <w:rPr>
          <w:rFonts w:cs="Times New Roman"/>
          <w:sz w:val="18"/>
          <w:szCs w:val="18"/>
        </w:rPr>
        <w:t xml:space="preserve"> panel: +721.221, lower panel: +K-562). </w:t>
      </w:r>
      <w:r w:rsidR="00DE13B4" w:rsidRPr="006851AD">
        <w:rPr>
          <w:rFonts w:cs="Times New Roman"/>
          <w:sz w:val="18"/>
          <w:szCs w:val="18"/>
        </w:rPr>
        <w:t>Statistical analysis: Wilcoxon matched</w:t>
      </w:r>
      <w:r w:rsidR="00DE13B4" w:rsidRPr="006851AD">
        <w:rPr>
          <w:rFonts w:cs="Times New Roman"/>
          <w:sz w:val="18"/>
          <w:szCs w:val="18"/>
        </w:rPr>
        <w:noBreakHyphen/>
        <w:t>pairs signed-rank test with subsequent Bonferroni correction. Black bars represent the median.</w:t>
      </w:r>
    </w:p>
    <w:p w14:paraId="0D247FC8" w14:textId="46E2579A" w:rsidR="00C7572F" w:rsidRDefault="00C7572F">
      <w:pPr>
        <w:spacing w:before="0" w:after="200" w:line="276" w:lineRule="auto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br w:type="page"/>
      </w:r>
    </w:p>
    <w:p w14:paraId="6D7415F0" w14:textId="1CC626EC" w:rsidR="00125FDF" w:rsidRDefault="00CB15F9" w:rsidP="0086645B">
      <w:pPr>
        <w:pStyle w:val="Heading1"/>
      </w:pPr>
      <w:r>
        <w:lastRenderedPageBreak/>
        <w:t xml:space="preserve">Supplementary </w:t>
      </w:r>
      <w:r w:rsidR="006F1A96">
        <w:t>Tables</w:t>
      </w:r>
    </w:p>
    <w:p w14:paraId="6BFC733F" w14:textId="2A142EB9" w:rsidR="0012073D" w:rsidRDefault="00125FDF" w:rsidP="00181F82">
      <w:pPr>
        <w:pStyle w:val="Heading2"/>
        <w:tabs>
          <w:tab w:val="clear" w:pos="709"/>
          <w:tab w:val="num" w:pos="567"/>
        </w:tabs>
        <w:ind w:hanging="709"/>
      </w:pPr>
      <w:r>
        <w:t xml:space="preserve">Supplementary </w:t>
      </w:r>
      <w:r w:rsidR="006F1A96">
        <w:t>Table </w:t>
      </w:r>
      <w:r w:rsidR="001C690F">
        <w:t>1</w:t>
      </w:r>
      <w:r w:rsidR="001D5421" w:rsidRPr="00125FDF">
        <w:t xml:space="preserve"> | Key resource table</w:t>
      </w:r>
    </w:p>
    <w:tbl>
      <w:tblPr>
        <w:tblStyle w:val="TableGrid"/>
        <w:tblW w:w="9707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992"/>
        <w:gridCol w:w="1944"/>
        <w:gridCol w:w="2977"/>
      </w:tblGrid>
      <w:tr w:rsidR="00400CD2" w:rsidRPr="00E43D6A" w14:paraId="15636AC9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46834738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bCs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bCs/>
                <w:color w:val="221E1F"/>
                <w:sz w:val="14"/>
                <w:szCs w:val="14"/>
              </w:rPr>
              <w:t>Reagent or resource</w:t>
            </w:r>
          </w:p>
        </w:tc>
        <w:tc>
          <w:tcPr>
            <w:tcW w:w="1134" w:type="dxa"/>
            <w:vAlign w:val="center"/>
          </w:tcPr>
          <w:p w14:paraId="35501ACB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bCs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bCs/>
                <w:color w:val="221E1F"/>
                <w:sz w:val="14"/>
                <w:szCs w:val="14"/>
              </w:rPr>
              <w:t>Conjugate</w:t>
            </w:r>
          </w:p>
        </w:tc>
        <w:tc>
          <w:tcPr>
            <w:tcW w:w="992" w:type="dxa"/>
            <w:vAlign w:val="center"/>
          </w:tcPr>
          <w:p w14:paraId="5D20A35A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bCs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bCs/>
                <w:color w:val="221E1F"/>
                <w:sz w:val="14"/>
                <w:szCs w:val="14"/>
              </w:rPr>
              <w:t>Clone</w:t>
            </w:r>
          </w:p>
        </w:tc>
        <w:tc>
          <w:tcPr>
            <w:tcW w:w="1944" w:type="dxa"/>
            <w:vAlign w:val="center"/>
          </w:tcPr>
          <w:p w14:paraId="4827AA15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bCs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bCs/>
                <w:color w:val="221E1F"/>
                <w:sz w:val="14"/>
                <w:szCs w:val="14"/>
              </w:rPr>
              <w:t>Source</w:t>
            </w:r>
          </w:p>
        </w:tc>
        <w:tc>
          <w:tcPr>
            <w:tcW w:w="2977" w:type="dxa"/>
            <w:vAlign w:val="center"/>
          </w:tcPr>
          <w:p w14:paraId="34B4C12B" w14:textId="5EA6F428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bCs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bCs/>
                <w:color w:val="221E1F"/>
                <w:sz w:val="14"/>
                <w:szCs w:val="14"/>
              </w:rPr>
              <w:t xml:space="preserve">Catalogue Number / </w:t>
            </w:r>
            <w:r w:rsidR="00897F8A" w:rsidRPr="00E43D6A">
              <w:rPr>
                <w:rFonts w:cs="Times New Roman"/>
                <w:b/>
                <w:bCs/>
                <w:color w:val="221E1F"/>
                <w:sz w:val="14"/>
                <w:szCs w:val="14"/>
              </w:rPr>
              <w:t>Research Resource Identifiers (RRIDs)</w:t>
            </w:r>
          </w:p>
        </w:tc>
      </w:tr>
      <w:tr w:rsidR="00400CD2" w:rsidRPr="00E43D6A" w14:paraId="3C39608F" w14:textId="77777777" w:rsidTr="000B2336">
        <w:trPr>
          <w:trHeight w:val="255"/>
        </w:trPr>
        <w:tc>
          <w:tcPr>
            <w:tcW w:w="2660" w:type="dxa"/>
            <w:shd w:val="clear" w:color="auto" w:fill="DBE5F1" w:themeFill="accent1" w:themeFillTint="33"/>
            <w:vAlign w:val="center"/>
          </w:tcPr>
          <w:p w14:paraId="22046488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color w:val="221E1F"/>
                <w:sz w:val="14"/>
                <w:szCs w:val="14"/>
              </w:rPr>
              <w:t>Antibodies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1D918223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723A2C30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shd w:val="clear" w:color="auto" w:fill="DBE5F1" w:themeFill="accent1" w:themeFillTint="33"/>
            <w:vAlign w:val="center"/>
          </w:tcPr>
          <w:p w14:paraId="3CBE2579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14:paraId="65B06C58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</w:tr>
      <w:tr w:rsidR="00400CD2" w:rsidRPr="00E43D6A" w14:paraId="276D6B9C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003A19B5" w14:textId="76897843" w:rsidR="00400CD2" w:rsidRPr="00E43D6A" w:rsidRDefault="0003325A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CD56</w:t>
            </w:r>
          </w:p>
        </w:tc>
        <w:tc>
          <w:tcPr>
            <w:tcW w:w="1134" w:type="dxa"/>
            <w:vAlign w:val="center"/>
          </w:tcPr>
          <w:p w14:paraId="4FF8DA5E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BUV395</w:t>
            </w:r>
          </w:p>
        </w:tc>
        <w:tc>
          <w:tcPr>
            <w:tcW w:w="992" w:type="dxa"/>
            <w:vAlign w:val="center"/>
          </w:tcPr>
          <w:p w14:paraId="18DE2909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NCAM16.2</w:t>
            </w:r>
          </w:p>
        </w:tc>
        <w:tc>
          <w:tcPr>
            <w:tcW w:w="1944" w:type="dxa"/>
            <w:vAlign w:val="center"/>
          </w:tcPr>
          <w:p w14:paraId="1DD8FAD0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BD Bioscience</w:t>
            </w:r>
          </w:p>
        </w:tc>
        <w:tc>
          <w:tcPr>
            <w:tcW w:w="2977" w:type="dxa"/>
            <w:vAlign w:val="center"/>
          </w:tcPr>
          <w:p w14:paraId="281ACE69" w14:textId="2D5AC905" w:rsidR="00400CD2" w:rsidRPr="00E43D6A" w:rsidRDefault="00186205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Cat#563554, </w:t>
            </w:r>
            <w:r w:rsidR="00400CD2" w:rsidRPr="00E43D6A">
              <w:rPr>
                <w:rFonts w:cs="Times New Roman"/>
                <w:color w:val="221E1F"/>
                <w:sz w:val="14"/>
                <w:szCs w:val="14"/>
              </w:rPr>
              <w:t>RRID:AB_2687886</w:t>
            </w:r>
          </w:p>
        </w:tc>
      </w:tr>
      <w:tr w:rsidR="00400CD2" w:rsidRPr="00E43D6A" w14:paraId="6FC39314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2BC614DE" w14:textId="12D78FBD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CD16</w:t>
            </w:r>
          </w:p>
        </w:tc>
        <w:tc>
          <w:tcPr>
            <w:tcW w:w="1134" w:type="dxa"/>
            <w:vAlign w:val="center"/>
          </w:tcPr>
          <w:p w14:paraId="691B5047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BV785</w:t>
            </w:r>
          </w:p>
        </w:tc>
        <w:tc>
          <w:tcPr>
            <w:tcW w:w="992" w:type="dxa"/>
            <w:vAlign w:val="center"/>
          </w:tcPr>
          <w:p w14:paraId="57E3A682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3G8</w:t>
            </w:r>
          </w:p>
        </w:tc>
        <w:tc>
          <w:tcPr>
            <w:tcW w:w="1944" w:type="dxa"/>
            <w:vAlign w:val="center"/>
          </w:tcPr>
          <w:p w14:paraId="5377A69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Biolegend, Inc.</w:t>
            </w:r>
          </w:p>
        </w:tc>
        <w:tc>
          <w:tcPr>
            <w:tcW w:w="2977" w:type="dxa"/>
            <w:vAlign w:val="center"/>
          </w:tcPr>
          <w:p w14:paraId="303EAEC5" w14:textId="0EDE9538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Cat#302046</w:t>
            </w:r>
            <w:r w:rsidR="00186205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RRID:AB_2563803</w:t>
            </w:r>
          </w:p>
        </w:tc>
      </w:tr>
      <w:tr w:rsidR="00400CD2" w:rsidRPr="00E43D6A" w14:paraId="1D7991DB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3CEE6C76" w14:textId="72B200A0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CD107a</w:t>
            </w:r>
          </w:p>
        </w:tc>
        <w:tc>
          <w:tcPr>
            <w:tcW w:w="1134" w:type="dxa"/>
            <w:vAlign w:val="center"/>
          </w:tcPr>
          <w:p w14:paraId="21C3D0FF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BV510</w:t>
            </w:r>
          </w:p>
        </w:tc>
        <w:tc>
          <w:tcPr>
            <w:tcW w:w="992" w:type="dxa"/>
            <w:vAlign w:val="center"/>
          </w:tcPr>
          <w:p w14:paraId="70359037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H4A3</w:t>
            </w:r>
          </w:p>
        </w:tc>
        <w:tc>
          <w:tcPr>
            <w:tcW w:w="1944" w:type="dxa"/>
            <w:vAlign w:val="center"/>
          </w:tcPr>
          <w:p w14:paraId="51EA760E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Biolegend, Inc.</w:t>
            </w:r>
          </w:p>
        </w:tc>
        <w:tc>
          <w:tcPr>
            <w:tcW w:w="2977" w:type="dxa"/>
            <w:vAlign w:val="center"/>
          </w:tcPr>
          <w:p w14:paraId="2ABFDC77" w14:textId="0C0F3500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Cat#328632</w:t>
            </w:r>
            <w:r w:rsidR="00186205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RRID:AB_2562648</w:t>
            </w:r>
          </w:p>
        </w:tc>
      </w:tr>
      <w:tr w:rsidR="00400CD2" w:rsidRPr="00E43D6A" w14:paraId="20137A02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5BDD431E" w14:textId="31CEF875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KIR3DL1</w:t>
            </w:r>
          </w:p>
        </w:tc>
        <w:tc>
          <w:tcPr>
            <w:tcW w:w="1134" w:type="dxa"/>
            <w:vAlign w:val="center"/>
          </w:tcPr>
          <w:p w14:paraId="5264B774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BV421</w:t>
            </w:r>
          </w:p>
        </w:tc>
        <w:tc>
          <w:tcPr>
            <w:tcW w:w="992" w:type="dxa"/>
            <w:vAlign w:val="center"/>
          </w:tcPr>
          <w:p w14:paraId="7CDECA02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DX9</w:t>
            </w:r>
          </w:p>
        </w:tc>
        <w:tc>
          <w:tcPr>
            <w:tcW w:w="1944" w:type="dxa"/>
            <w:vAlign w:val="center"/>
          </w:tcPr>
          <w:p w14:paraId="09F8AC03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Biolegend, Inc.</w:t>
            </w:r>
          </w:p>
        </w:tc>
        <w:tc>
          <w:tcPr>
            <w:tcW w:w="2977" w:type="dxa"/>
            <w:vAlign w:val="center"/>
          </w:tcPr>
          <w:p w14:paraId="23EB972E" w14:textId="3E71088F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Cat#312714</w:t>
            </w:r>
            <w:r w:rsidR="00186205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RRID:AB_2561652</w:t>
            </w:r>
          </w:p>
        </w:tc>
      </w:tr>
      <w:tr w:rsidR="00400CD2" w:rsidRPr="00E43D6A" w14:paraId="61E6FFE1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263C5E58" w14:textId="6C1E5D6B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CD3</w:t>
            </w:r>
          </w:p>
        </w:tc>
        <w:tc>
          <w:tcPr>
            <w:tcW w:w="1134" w:type="dxa"/>
            <w:vAlign w:val="center"/>
          </w:tcPr>
          <w:p w14:paraId="74FC119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PerCP-Cy5.5</w:t>
            </w:r>
          </w:p>
        </w:tc>
        <w:tc>
          <w:tcPr>
            <w:tcW w:w="992" w:type="dxa"/>
            <w:vAlign w:val="center"/>
          </w:tcPr>
          <w:p w14:paraId="053C7DFE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UCHT1</w:t>
            </w:r>
          </w:p>
        </w:tc>
        <w:tc>
          <w:tcPr>
            <w:tcW w:w="1944" w:type="dxa"/>
            <w:vAlign w:val="center"/>
          </w:tcPr>
          <w:p w14:paraId="7CBA3789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Biolegend, Inc.</w:t>
            </w:r>
          </w:p>
        </w:tc>
        <w:tc>
          <w:tcPr>
            <w:tcW w:w="2977" w:type="dxa"/>
            <w:vAlign w:val="center"/>
          </w:tcPr>
          <w:p w14:paraId="0EF180CD" w14:textId="11621B56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Cat#300430</w:t>
            </w:r>
            <w:r w:rsidR="00186205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RRID:AB_893299</w:t>
            </w:r>
          </w:p>
        </w:tc>
      </w:tr>
      <w:tr w:rsidR="00400CD2" w:rsidRPr="00E43D6A" w14:paraId="7B307C43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75F3388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α-human CD14 </w:t>
            </w:r>
          </w:p>
        </w:tc>
        <w:tc>
          <w:tcPr>
            <w:tcW w:w="1134" w:type="dxa"/>
            <w:vAlign w:val="center"/>
          </w:tcPr>
          <w:p w14:paraId="0ECD3C9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PerCP-Cy5.5</w:t>
            </w:r>
          </w:p>
        </w:tc>
        <w:tc>
          <w:tcPr>
            <w:tcW w:w="992" w:type="dxa"/>
            <w:vAlign w:val="center"/>
          </w:tcPr>
          <w:p w14:paraId="729A055B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HCD14</w:t>
            </w:r>
          </w:p>
        </w:tc>
        <w:tc>
          <w:tcPr>
            <w:tcW w:w="1944" w:type="dxa"/>
            <w:vAlign w:val="center"/>
          </w:tcPr>
          <w:p w14:paraId="19CC5D1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Biolegend, Inc.</w:t>
            </w:r>
          </w:p>
        </w:tc>
        <w:tc>
          <w:tcPr>
            <w:tcW w:w="2977" w:type="dxa"/>
            <w:vAlign w:val="center"/>
          </w:tcPr>
          <w:p w14:paraId="501CC7F9" w14:textId="398A7331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Cat#325622</w:t>
            </w:r>
            <w:r w:rsidR="00186205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RRID:AB_893250</w:t>
            </w:r>
          </w:p>
        </w:tc>
      </w:tr>
      <w:tr w:rsidR="00400CD2" w:rsidRPr="00E43D6A" w14:paraId="5082E266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0E1C0A42" w14:textId="63F2C58F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CD19</w:t>
            </w:r>
          </w:p>
        </w:tc>
        <w:tc>
          <w:tcPr>
            <w:tcW w:w="1134" w:type="dxa"/>
            <w:vAlign w:val="center"/>
          </w:tcPr>
          <w:p w14:paraId="64C23973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PerCP-Cy5.5</w:t>
            </w:r>
          </w:p>
        </w:tc>
        <w:tc>
          <w:tcPr>
            <w:tcW w:w="992" w:type="dxa"/>
            <w:vAlign w:val="center"/>
          </w:tcPr>
          <w:p w14:paraId="0A22E8D1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HIB19</w:t>
            </w:r>
          </w:p>
        </w:tc>
        <w:tc>
          <w:tcPr>
            <w:tcW w:w="1944" w:type="dxa"/>
            <w:vAlign w:val="center"/>
          </w:tcPr>
          <w:p w14:paraId="784A4CF3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Biolegend, Inc.</w:t>
            </w:r>
          </w:p>
        </w:tc>
        <w:tc>
          <w:tcPr>
            <w:tcW w:w="2977" w:type="dxa"/>
            <w:vAlign w:val="center"/>
          </w:tcPr>
          <w:p w14:paraId="5576FADD" w14:textId="4A52572C" w:rsidR="00400CD2" w:rsidRPr="00E43D6A" w:rsidRDefault="00186205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Cat#302230,</w:t>
            </w:r>
            <w:r w:rsidR="00400CD2"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RRID:AB_2073119</w:t>
            </w:r>
          </w:p>
        </w:tc>
      </w:tr>
      <w:tr w:rsidR="00400CD2" w:rsidRPr="00E43D6A" w14:paraId="15B5F76B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48345565" w14:textId="7391EA2B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NKG2A</w:t>
            </w:r>
          </w:p>
        </w:tc>
        <w:tc>
          <w:tcPr>
            <w:tcW w:w="1134" w:type="dxa"/>
            <w:vAlign w:val="center"/>
          </w:tcPr>
          <w:p w14:paraId="1ABCE494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Pe-Cy7</w:t>
            </w:r>
          </w:p>
        </w:tc>
        <w:tc>
          <w:tcPr>
            <w:tcW w:w="992" w:type="dxa"/>
            <w:vAlign w:val="center"/>
          </w:tcPr>
          <w:p w14:paraId="5B99AFE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Z199</w:t>
            </w:r>
          </w:p>
        </w:tc>
        <w:tc>
          <w:tcPr>
            <w:tcW w:w="1944" w:type="dxa"/>
            <w:vAlign w:val="center"/>
          </w:tcPr>
          <w:p w14:paraId="31FEC661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Beckman Coulter</w:t>
            </w:r>
          </w:p>
        </w:tc>
        <w:tc>
          <w:tcPr>
            <w:tcW w:w="2977" w:type="dxa"/>
            <w:vAlign w:val="center"/>
          </w:tcPr>
          <w:p w14:paraId="160D4252" w14:textId="2488782B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Cat#B10246</w:t>
            </w:r>
            <w:r w:rsidR="00186205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RRID:AB_2687887</w:t>
            </w:r>
          </w:p>
        </w:tc>
      </w:tr>
      <w:tr w:rsidR="00400CD2" w:rsidRPr="00E43D6A" w14:paraId="28123778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00E17D1F" w14:textId="2D0AF697" w:rsidR="00400CD2" w:rsidRPr="00E43D6A" w:rsidRDefault="0003325A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α-human </w:t>
            </w:r>
            <w:r w:rsidR="00400CD2" w:rsidRPr="00E43D6A">
              <w:rPr>
                <w:rFonts w:cs="Times New Roman"/>
                <w:color w:val="221E1F"/>
                <w:sz w:val="14"/>
                <w:szCs w:val="14"/>
              </w:rPr>
              <w:t>KIR2DL2/L3/S2</w:t>
            </w:r>
          </w:p>
        </w:tc>
        <w:tc>
          <w:tcPr>
            <w:tcW w:w="1134" w:type="dxa"/>
            <w:vAlign w:val="center"/>
          </w:tcPr>
          <w:p w14:paraId="6589B90B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PE</w:t>
            </w:r>
          </w:p>
        </w:tc>
        <w:tc>
          <w:tcPr>
            <w:tcW w:w="992" w:type="dxa"/>
            <w:vAlign w:val="center"/>
          </w:tcPr>
          <w:p w14:paraId="6F8CD055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DX27</w:t>
            </w:r>
          </w:p>
        </w:tc>
        <w:tc>
          <w:tcPr>
            <w:tcW w:w="1944" w:type="dxa"/>
            <w:vAlign w:val="center"/>
          </w:tcPr>
          <w:p w14:paraId="0821436B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Biolegend, Inc.</w:t>
            </w:r>
          </w:p>
        </w:tc>
        <w:tc>
          <w:tcPr>
            <w:tcW w:w="2977" w:type="dxa"/>
            <w:vAlign w:val="center"/>
          </w:tcPr>
          <w:p w14:paraId="7F2420FB" w14:textId="33E12190" w:rsidR="00400CD2" w:rsidRPr="00E43D6A" w:rsidRDefault="00186205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Cat#312606,</w:t>
            </w:r>
            <w:r w:rsidR="00400CD2"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RRID:AB_2130554</w:t>
            </w:r>
          </w:p>
        </w:tc>
      </w:tr>
      <w:tr w:rsidR="00400CD2" w:rsidRPr="00E43D6A" w14:paraId="22C9949B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5DE6BADA" w14:textId="1C020223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KIR2DL1</w:t>
            </w:r>
            <w:r w:rsidR="0003325A" w:rsidRPr="00E43D6A">
              <w:rPr>
                <w:rFonts w:cs="Times New Roman"/>
                <w:color w:val="221E1F"/>
                <w:sz w:val="14"/>
                <w:szCs w:val="14"/>
              </w:rPr>
              <w:t>/S5</w:t>
            </w:r>
          </w:p>
        </w:tc>
        <w:tc>
          <w:tcPr>
            <w:tcW w:w="1134" w:type="dxa"/>
            <w:vAlign w:val="center"/>
          </w:tcPr>
          <w:p w14:paraId="779B293D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APC</w:t>
            </w:r>
          </w:p>
        </w:tc>
        <w:tc>
          <w:tcPr>
            <w:tcW w:w="992" w:type="dxa"/>
            <w:vAlign w:val="center"/>
          </w:tcPr>
          <w:p w14:paraId="168A0685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143211</w:t>
            </w:r>
          </w:p>
        </w:tc>
        <w:tc>
          <w:tcPr>
            <w:tcW w:w="1944" w:type="dxa"/>
            <w:vAlign w:val="center"/>
          </w:tcPr>
          <w:p w14:paraId="4828CB72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R&amp;D Systems</w:t>
            </w:r>
          </w:p>
        </w:tc>
        <w:tc>
          <w:tcPr>
            <w:tcW w:w="2977" w:type="dxa"/>
            <w:vAlign w:val="center"/>
          </w:tcPr>
          <w:p w14:paraId="6011B7EB" w14:textId="5D0B7E3B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Cat#FAB1844A-100</w:t>
            </w:r>
            <w:r w:rsidR="00186205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RRID:AB_416855</w:t>
            </w:r>
          </w:p>
        </w:tc>
      </w:tr>
      <w:tr w:rsidR="00400CD2" w:rsidRPr="00E43D6A" w14:paraId="0C8FAAD2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2A56B6CE" w14:textId="1418CC90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KIR2DL1</w:t>
            </w:r>
            <w:r w:rsidR="0003325A" w:rsidRPr="00E43D6A">
              <w:rPr>
                <w:rFonts w:cs="Times New Roman"/>
                <w:color w:val="221E1F"/>
                <w:sz w:val="14"/>
                <w:szCs w:val="14"/>
              </w:rPr>
              <w:t>/S5</w:t>
            </w:r>
          </w:p>
        </w:tc>
        <w:tc>
          <w:tcPr>
            <w:tcW w:w="1134" w:type="dxa"/>
            <w:vAlign w:val="center"/>
          </w:tcPr>
          <w:p w14:paraId="5BAFD50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FITC</w:t>
            </w:r>
          </w:p>
        </w:tc>
        <w:tc>
          <w:tcPr>
            <w:tcW w:w="992" w:type="dxa"/>
            <w:vAlign w:val="center"/>
          </w:tcPr>
          <w:p w14:paraId="038C3F5E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143211</w:t>
            </w:r>
          </w:p>
        </w:tc>
        <w:tc>
          <w:tcPr>
            <w:tcW w:w="1944" w:type="dxa"/>
            <w:vAlign w:val="center"/>
          </w:tcPr>
          <w:p w14:paraId="3667BA1D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R&amp;D Systems</w:t>
            </w:r>
          </w:p>
        </w:tc>
        <w:tc>
          <w:tcPr>
            <w:tcW w:w="2977" w:type="dxa"/>
            <w:vAlign w:val="center"/>
          </w:tcPr>
          <w:p w14:paraId="445BB085" w14:textId="0F1C0A72" w:rsidR="00400CD2" w:rsidRPr="00E43D6A" w:rsidRDefault="00186205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Cat#FAB1844F-100,</w:t>
            </w:r>
            <w:r w:rsidR="00400CD2"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RRID:AB_2130402</w:t>
            </w:r>
          </w:p>
        </w:tc>
      </w:tr>
      <w:tr w:rsidR="00400CD2" w:rsidRPr="00E43D6A" w14:paraId="272338F0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7E98FF38" w14:textId="18F577CF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KIR2DL3</w:t>
            </w:r>
          </w:p>
        </w:tc>
        <w:tc>
          <w:tcPr>
            <w:tcW w:w="1134" w:type="dxa"/>
            <w:vAlign w:val="center"/>
          </w:tcPr>
          <w:p w14:paraId="4E840BBE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APC</w:t>
            </w:r>
          </w:p>
        </w:tc>
        <w:tc>
          <w:tcPr>
            <w:tcW w:w="992" w:type="dxa"/>
            <w:vAlign w:val="center"/>
          </w:tcPr>
          <w:p w14:paraId="3AC3505D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180701</w:t>
            </w:r>
          </w:p>
        </w:tc>
        <w:tc>
          <w:tcPr>
            <w:tcW w:w="1944" w:type="dxa"/>
            <w:vAlign w:val="center"/>
          </w:tcPr>
          <w:p w14:paraId="71EEDF8A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R&amp;D Systems</w:t>
            </w:r>
          </w:p>
        </w:tc>
        <w:tc>
          <w:tcPr>
            <w:tcW w:w="2977" w:type="dxa"/>
            <w:vAlign w:val="center"/>
          </w:tcPr>
          <w:p w14:paraId="7402B694" w14:textId="160170C6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Cat#FAB2014A-100</w:t>
            </w:r>
            <w:r w:rsidR="00186205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 RRID:AB_416869</w:t>
            </w:r>
          </w:p>
        </w:tc>
      </w:tr>
      <w:tr w:rsidR="00400CD2" w:rsidRPr="00E43D6A" w14:paraId="6DA68F36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0D4C1BB1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α-human GLUT1 (SLC2A1)  receptor binding protein (RBD)</w:t>
            </w:r>
          </w:p>
        </w:tc>
        <w:tc>
          <w:tcPr>
            <w:tcW w:w="1134" w:type="dxa"/>
            <w:vAlign w:val="center"/>
          </w:tcPr>
          <w:p w14:paraId="3BCF1A3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eGFP</w:t>
            </w:r>
          </w:p>
        </w:tc>
        <w:tc>
          <w:tcPr>
            <w:tcW w:w="992" w:type="dxa"/>
            <w:vAlign w:val="center"/>
          </w:tcPr>
          <w:p w14:paraId="132E4DD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726CBCA4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Metafora Biosystems</w:t>
            </w:r>
          </w:p>
        </w:tc>
        <w:tc>
          <w:tcPr>
            <w:tcW w:w="2977" w:type="dxa"/>
            <w:vAlign w:val="center"/>
          </w:tcPr>
          <w:p w14:paraId="508DDEBB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Cat#GLUT1-G100</w:t>
            </w:r>
          </w:p>
        </w:tc>
      </w:tr>
      <w:tr w:rsidR="00400CD2" w:rsidRPr="00E43D6A" w14:paraId="09DB8C0C" w14:textId="77777777" w:rsidTr="000B2336">
        <w:trPr>
          <w:trHeight w:val="255"/>
        </w:trPr>
        <w:tc>
          <w:tcPr>
            <w:tcW w:w="2660" w:type="dxa"/>
            <w:shd w:val="clear" w:color="auto" w:fill="DBE5F1" w:themeFill="accent1" w:themeFillTint="33"/>
            <w:vAlign w:val="center"/>
          </w:tcPr>
          <w:p w14:paraId="29D0FE4F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color w:val="221E1F"/>
                <w:sz w:val="14"/>
                <w:szCs w:val="14"/>
              </w:rPr>
              <w:t>Biological Samples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1B8E18F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3CB20204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shd w:val="clear" w:color="auto" w:fill="DBE5F1" w:themeFill="accent1" w:themeFillTint="33"/>
            <w:vAlign w:val="center"/>
          </w:tcPr>
          <w:p w14:paraId="14042FD8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14:paraId="7FAC2384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</w:tr>
      <w:tr w:rsidR="00400CD2" w:rsidRPr="00E43D6A" w14:paraId="63B2509F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46985D09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Human peripheral blood mononuclear cells (PBMCs)</w:t>
            </w:r>
          </w:p>
        </w:tc>
        <w:tc>
          <w:tcPr>
            <w:tcW w:w="1134" w:type="dxa"/>
            <w:vAlign w:val="center"/>
          </w:tcPr>
          <w:p w14:paraId="5E35F058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5652442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2D0D3A07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University medical center Hamburg-Eppendorf, Hamburg, Germany</w:t>
            </w:r>
          </w:p>
        </w:tc>
        <w:tc>
          <w:tcPr>
            <w:tcW w:w="2977" w:type="dxa"/>
            <w:vAlign w:val="center"/>
          </w:tcPr>
          <w:p w14:paraId="6F77D84F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</w:tr>
      <w:tr w:rsidR="00400CD2" w:rsidRPr="00E43D6A" w14:paraId="6938B05B" w14:textId="77777777" w:rsidTr="000B2336">
        <w:trPr>
          <w:trHeight w:val="255"/>
        </w:trPr>
        <w:tc>
          <w:tcPr>
            <w:tcW w:w="2660" w:type="dxa"/>
            <w:shd w:val="clear" w:color="auto" w:fill="DBE5F1" w:themeFill="accent1" w:themeFillTint="33"/>
            <w:vAlign w:val="center"/>
          </w:tcPr>
          <w:p w14:paraId="4ACBE29D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color w:val="221E1F"/>
                <w:sz w:val="14"/>
                <w:szCs w:val="14"/>
              </w:rPr>
              <w:t>Chemicals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0AC18EB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3E8D72C7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shd w:val="clear" w:color="auto" w:fill="DBE5F1" w:themeFill="accent1" w:themeFillTint="33"/>
            <w:vAlign w:val="center"/>
          </w:tcPr>
          <w:p w14:paraId="537903C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14:paraId="6492A7B5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</w:tr>
      <w:tr w:rsidR="00400CD2" w:rsidRPr="00E43D6A" w14:paraId="16C87358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3ED27896" w14:textId="3D8641F3" w:rsidR="00400CD2" w:rsidRPr="00E43D6A" w:rsidRDefault="0003325A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LIVE/DEAD</w:t>
            </w:r>
            <w:r w:rsidR="00400CD2" w:rsidRPr="00E43D6A">
              <w:rPr>
                <w:rFonts w:cs="Times New Roman"/>
                <w:color w:val="221E1F"/>
                <w:sz w:val="14"/>
                <w:szCs w:val="14"/>
              </w:rPr>
              <w:t xml:space="preserve"> Fixable Blue Dead Cell Stain Kit, for UV excitation</w:t>
            </w:r>
          </w:p>
        </w:tc>
        <w:tc>
          <w:tcPr>
            <w:tcW w:w="1134" w:type="dxa"/>
            <w:vAlign w:val="center"/>
          </w:tcPr>
          <w:p w14:paraId="2B68F10E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73F4626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016FEBBA" w14:textId="7080D2AF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Invitrogen</w:t>
            </w:r>
          </w:p>
        </w:tc>
        <w:tc>
          <w:tcPr>
            <w:tcW w:w="2977" w:type="dxa"/>
            <w:vAlign w:val="center"/>
          </w:tcPr>
          <w:p w14:paraId="3DB2FE09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Cat#L23105</w:t>
            </w:r>
          </w:p>
        </w:tc>
      </w:tr>
      <w:tr w:rsidR="00400CD2" w:rsidRPr="00E43D6A" w14:paraId="433CACA5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22FDAE45" w14:textId="1B2B8DFB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Protein Transport Inhibitor (containing Monensin) / </w:t>
            </w:r>
            <w:r w:rsidR="0003325A" w:rsidRPr="00E43D6A">
              <w:rPr>
                <w:rFonts w:cs="Times New Roman"/>
                <w:color w:val="221E1F"/>
                <w:sz w:val="14"/>
                <w:szCs w:val="14"/>
              </w:rPr>
              <w:t>BD GolgiStop</w:t>
            </w:r>
          </w:p>
        </w:tc>
        <w:tc>
          <w:tcPr>
            <w:tcW w:w="1134" w:type="dxa"/>
            <w:vAlign w:val="center"/>
          </w:tcPr>
          <w:p w14:paraId="7913427D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72EAA2CD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2E749A2B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BD Bioscience</w:t>
            </w:r>
          </w:p>
        </w:tc>
        <w:tc>
          <w:tcPr>
            <w:tcW w:w="2977" w:type="dxa"/>
            <w:vAlign w:val="center"/>
          </w:tcPr>
          <w:p w14:paraId="4A4B3BA9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Cat#554724</w:t>
            </w:r>
          </w:p>
        </w:tc>
      </w:tr>
      <w:tr w:rsidR="00AF3CE8" w:rsidRPr="00E43D6A" w14:paraId="5F3571EF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27EFA343" w14:textId="7CA43FBA" w:rsidR="00AF3CE8" w:rsidRPr="00E43D6A" w:rsidRDefault="00AF3CE8" w:rsidP="00AF3CE8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>
              <w:rPr>
                <w:rFonts w:cs="Times New Roman"/>
                <w:color w:val="221E1F"/>
                <w:sz w:val="14"/>
                <w:szCs w:val="14"/>
              </w:rPr>
              <w:t>2-NBDG (</w:t>
            </w:r>
            <w:r w:rsidRPr="00AF3CE8">
              <w:rPr>
                <w:rFonts w:cs="Times New Roman"/>
                <w:color w:val="221E1F"/>
                <w:sz w:val="14"/>
                <w:szCs w:val="14"/>
              </w:rPr>
              <w:t>2-deoxy-2-[(7-nitro-2,1,3-benzoxadiazol-4-yl)amino]-D-Glucose</w:t>
            </w:r>
            <w:r>
              <w:rPr>
                <w:rFonts w:cs="Times New Roman"/>
                <w:color w:val="221E1F"/>
                <w:sz w:val="14"/>
                <w:szCs w:val="14"/>
              </w:rPr>
              <w:t>)</w:t>
            </w:r>
          </w:p>
        </w:tc>
        <w:tc>
          <w:tcPr>
            <w:tcW w:w="1134" w:type="dxa"/>
            <w:vAlign w:val="center"/>
          </w:tcPr>
          <w:p w14:paraId="2F570633" w14:textId="77777777" w:rsidR="00AF3CE8" w:rsidRPr="00E43D6A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3895A998" w14:textId="77777777" w:rsidR="00AF3CE8" w:rsidRPr="00E43D6A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6098089B" w14:textId="4A7A30B9" w:rsidR="00AF3CE8" w:rsidRPr="00E43D6A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>
              <w:rPr>
                <w:rFonts w:cs="Times New Roman"/>
                <w:color w:val="221E1F"/>
                <w:sz w:val="14"/>
                <w:szCs w:val="14"/>
              </w:rPr>
              <w:t>Biomol</w:t>
            </w:r>
          </w:p>
        </w:tc>
        <w:tc>
          <w:tcPr>
            <w:tcW w:w="2977" w:type="dxa"/>
            <w:vAlign w:val="center"/>
          </w:tcPr>
          <w:p w14:paraId="438EFAB9" w14:textId="2C2E4C55" w:rsidR="00AF3CE8" w:rsidRPr="00E43D6A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AF3CE8">
              <w:rPr>
                <w:rFonts w:cs="Times New Roman"/>
                <w:color w:val="221E1F"/>
                <w:sz w:val="14"/>
                <w:szCs w:val="14"/>
              </w:rPr>
              <w:t>Cay11046</w:t>
            </w:r>
            <w:r>
              <w:rPr>
                <w:rFonts w:cs="Times New Roman"/>
                <w:color w:val="221E1F"/>
                <w:sz w:val="14"/>
                <w:szCs w:val="14"/>
              </w:rPr>
              <w:t>-1</w:t>
            </w:r>
          </w:p>
        </w:tc>
      </w:tr>
      <w:tr w:rsidR="00AF3CE8" w:rsidRPr="00E43D6A" w14:paraId="3224142E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0CF30CD1" w14:textId="0D0F23B8" w:rsidR="00AF3CE8" w:rsidRPr="00AF3CE8" w:rsidRDefault="00AF3CE8" w:rsidP="00AF3CE8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>
              <w:rPr>
                <w:rFonts w:cs="Times New Roman"/>
                <w:color w:val="221E1F"/>
                <w:sz w:val="14"/>
                <w:szCs w:val="14"/>
              </w:rPr>
              <w:t>2-DG (</w:t>
            </w:r>
            <w:r w:rsidRPr="00AF3CE8">
              <w:rPr>
                <w:rFonts w:cs="Times New Roman"/>
                <w:color w:val="221E1F"/>
                <w:sz w:val="14"/>
                <w:szCs w:val="14"/>
              </w:rPr>
              <w:t>2-Deoxy-D-glucose</w:t>
            </w:r>
            <w:r>
              <w:rPr>
                <w:rFonts w:cs="Times New Roman"/>
                <w:color w:val="221E1F"/>
                <w:sz w:val="14"/>
                <w:szCs w:val="14"/>
              </w:rPr>
              <w:t>)</w:t>
            </w:r>
          </w:p>
        </w:tc>
        <w:tc>
          <w:tcPr>
            <w:tcW w:w="1134" w:type="dxa"/>
            <w:vAlign w:val="center"/>
          </w:tcPr>
          <w:p w14:paraId="633F6452" w14:textId="77777777" w:rsidR="00AF3CE8" w:rsidRPr="00E43D6A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11F8990D" w14:textId="77777777" w:rsidR="00AF3CE8" w:rsidRPr="00E43D6A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0914337C" w14:textId="442DAE18" w:rsidR="00AF3CE8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>
              <w:rPr>
                <w:rFonts w:cs="Times New Roman"/>
                <w:color w:val="221E1F"/>
                <w:sz w:val="14"/>
                <w:szCs w:val="14"/>
              </w:rPr>
              <w:t>Sigma-Aldrich</w:t>
            </w:r>
          </w:p>
        </w:tc>
        <w:tc>
          <w:tcPr>
            <w:tcW w:w="2977" w:type="dxa"/>
            <w:vAlign w:val="center"/>
          </w:tcPr>
          <w:p w14:paraId="6707D285" w14:textId="29881731" w:rsidR="00AF3CE8" w:rsidRPr="00AF3CE8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AF3CE8">
              <w:rPr>
                <w:rFonts w:cs="Times New Roman"/>
                <w:color w:val="221E1F"/>
                <w:sz w:val="14"/>
                <w:szCs w:val="14"/>
              </w:rPr>
              <w:t>D3179-1G </w:t>
            </w:r>
          </w:p>
        </w:tc>
      </w:tr>
      <w:tr w:rsidR="00AF3CE8" w:rsidRPr="00E43D6A" w14:paraId="421A195A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52E6C6B3" w14:textId="24CC2F54" w:rsidR="00AF3CE8" w:rsidRDefault="00AF3CE8" w:rsidP="00AF3CE8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AF3CE8">
              <w:rPr>
                <w:rFonts w:cs="Times New Roman"/>
                <w:color w:val="221E1F"/>
                <w:sz w:val="14"/>
                <w:szCs w:val="14"/>
              </w:rPr>
              <w:t>RPMI 1640 Medium, no glucose</w:t>
            </w:r>
          </w:p>
        </w:tc>
        <w:tc>
          <w:tcPr>
            <w:tcW w:w="1134" w:type="dxa"/>
            <w:vAlign w:val="center"/>
          </w:tcPr>
          <w:p w14:paraId="7A61AEDE" w14:textId="77777777" w:rsidR="00AF3CE8" w:rsidRPr="00E43D6A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107E85CB" w14:textId="77777777" w:rsidR="00AF3CE8" w:rsidRPr="00E43D6A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60DF7C0F" w14:textId="2CBFD9B2" w:rsidR="00AF3CE8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>
              <w:rPr>
                <w:rFonts w:cs="Times New Roman"/>
                <w:color w:val="221E1F"/>
                <w:sz w:val="14"/>
                <w:szCs w:val="14"/>
              </w:rPr>
              <w:t>ThermoFisher</w:t>
            </w:r>
          </w:p>
        </w:tc>
        <w:tc>
          <w:tcPr>
            <w:tcW w:w="2977" w:type="dxa"/>
            <w:vAlign w:val="center"/>
          </w:tcPr>
          <w:p w14:paraId="78A737F1" w14:textId="16695C85" w:rsidR="00AF3CE8" w:rsidRPr="00AF3CE8" w:rsidRDefault="00AF3CE8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AF3CE8">
              <w:rPr>
                <w:rFonts w:cs="Times New Roman"/>
                <w:color w:val="221E1F"/>
                <w:sz w:val="14"/>
                <w:szCs w:val="14"/>
              </w:rPr>
              <w:t>11879020</w:t>
            </w:r>
          </w:p>
        </w:tc>
      </w:tr>
      <w:tr w:rsidR="00400CD2" w:rsidRPr="00E43D6A" w14:paraId="2FE1D5D3" w14:textId="77777777" w:rsidTr="000B2336">
        <w:trPr>
          <w:trHeight w:val="255"/>
        </w:trPr>
        <w:tc>
          <w:tcPr>
            <w:tcW w:w="2660" w:type="dxa"/>
            <w:shd w:val="clear" w:color="auto" w:fill="DBE5F1" w:themeFill="accent1" w:themeFillTint="33"/>
            <w:vAlign w:val="center"/>
          </w:tcPr>
          <w:p w14:paraId="09B7FF2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color w:val="221E1F"/>
                <w:sz w:val="14"/>
                <w:szCs w:val="14"/>
              </w:rPr>
              <w:t>Critical Commercial Assays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2C41A09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6827C52D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shd w:val="clear" w:color="auto" w:fill="DBE5F1" w:themeFill="accent1" w:themeFillTint="33"/>
            <w:vAlign w:val="center"/>
          </w:tcPr>
          <w:p w14:paraId="58C43D91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14:paraId="7B7AC4EE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</w:tr>
      <w:tr w:rsidR="00400CD2" w:rsidRPr="00E43D6A" w14:paraId="10F39788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05D4C0C5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EasySep Human NK Cell Enrichment Kit</w:t>
            </w:r>
          </w:p>
        </w:tc>
        <w:tc>
          <w:tcPr>
            <w:tcW w:w="1134" w:type="dxa"/>
            <w:vAlign w:val="center"/>
          </w:tcPr>
          <w:p w14:paraId="4DF3F31F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22C2D6E3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27BA882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Stemcell</w:t>
            </w:r>
          </w:p>
        </w:tc>
        <w:tc>
          <w:tcPr>
            <w:tcW w:w="2977" w:type="dxa"/>
            <w:vAlign w:val="center"/>
          </w:tcPr>
          <w:p w14:paraId="3A05F0C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Cat#19055</w:t>
            </w:r>
          </w:p>
        </w:tc>
      </w:tr>
      <w:tr w:rsidR="00400CD2" w:rsidRPr="00E43D6A" w14:paraId="0DC969DE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6C08F294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Seahorse XF Glycolysis Stress Test Kit</w:t>
            </w:r>
          </w:p>
        </w:tc>
        <w:tc>
          <w:tcPr>
            <w:tcW w:w="1134" w:type="dxa"/>
            <w:vAlign w:val="center"/>
          </w:tcPr>
          <w:p w14:paraId="2E4EFE1E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2777A363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33C3C251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Seahorse Bioscience/Agilent</w:t>
            </w:r>
          </w:p>
        </w:tc>
        <w:tc>
          <w:tcPr>
            <w:tcW w:w="2977" w:type="dxa"/>
            <w:vAlign w:val="center"/>
          </w:tcPr>
          <w:p w14:paraId="78025D7D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Cat#103020-100</w:t>
            </w:r>
          </w:p>
        </w:tc>
      </w:tr>
      <w:tr w:rsidR="00400CD2" w:rsidRPr="00E43D6A" w14:paraId="0F14D544" w14:textId="77777777" w:rsidTr="000B2336">
        <w:trPr>
          <w:trHeight w:val="255"/>
        </w:trPr>
        <w:tc>
          <w:tcPr>
            <w:tcW w:w="2660" w:type="dxa"/>
            <w:shd w:val="clear" w:color="auto" w:fill="DBE5F1" w:themeFill="accent1" w:themeFillTint="33"/>
            <w:vAlign w:val="center"/>
          </w:tcPr>
          <w:p w14:paraId="668C89F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color w:val="221E1F"/>
                <w:sz w:val="14"/>
                <w:szCs w:val="14"/>
              </w:rPr>
              <w:t>Cell lines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896739F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7EDE63E3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shd w:val="clear" w:color="auto" w:fill="DBE5F1" w:themeFill="accent1" w:themeFillTint="33"/>
            <w:vAlign w:val="center"/>
          </w:tcPr>
          <w:p w14:paraId="34AB0675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14:paraId="20238E3F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</w:tr>
      <w:tr w:rsidR="00400CD2" w:rsidRPr="00E43D6A" w14:paraId="72F5ACAA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2D464508" w14:textId="24942A81" w:rsidR="00400CD2" w:rsidRPr="00E43D6A" w:rsidRDefault="001D5421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LCL 721.221</w:t>
            </w:r>
          </w:p>
        </w:tc>
        <w:tc>
          <w:tcPr>
            <w:tcW w:w="1134" w:type="dxa"/>
            <w:vAlign w:val="center"/>
          </w:tcPr>
          <w:p w14:paraId="7BD307A3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69D90035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44E9E52B" w14:textId="16EA4723" w:rsidR="00400CD2" w:rsidRPr="00E43D6A" w:rsidRDefault="001D5421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ATCC</w:t>
            </w:r>
          </w:p>
        </w:tc>
        <w:tc>
          <w:tcPr>
            <w:tcW w:w="2977" w:type="dxa"/>
            <w:vAlign w:val="center"/>
          </w:tcPr>
          <w:p w14:paraId="5C097C62" w14:textId="3AACEC19" w:rsidR="00400CD2" w:rsidRPr="00E43D6A" w:rsidRDefault="001D5421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ATCC Cat# CRL-1855, RRID:CVCL_6263</w:t>
            </w:r>
          </w:p>
        </w:tc>
      </w:tr>
      <w:tr w:rsidR="00400CD2" w:rsidRPr="00E43D6A" w14:paraId="2A10202A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55EDF9A1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K-562</w:t>
            </w:r>
          </w:p>
        </w:tc>
        <w:tc>
          <w:tcPr>
            <w:tcW w:w="1134" w:type="dxa"/>
            <w:vAlign w:val="center"/>
          </w:tcPr>
          <w:p w14:paraId="258E89B4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68458DAA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4F589357" w14:textId="5F25A549" w:rsidR="00400CD2" w:rsidRPr="00E43D6A" w:rsidRDefault="008B05EB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8B05EB">
              <w:rPr>
                <w:rFonts w:cs="Times New Roman"/>
                <w:color w:val="221E1F"/>
                <w:sz w:val="14"/>
                <w:szCs w:val="14"/>
              </w:rPr>
              <w:t>DSMZ </w:t>
            </w:r>
          </w:p>
        </w:tc>
        <w:tc>
          <w:tcPr>
            <w:tcW w:w="2977" w:type="dxa"/>
            <w:vAlign w:val="center"/>
          </w:tcPr>
          <w:p w14:paraId="14194F9E" w14:textId="0C80CAE3" w:rsidR="00400CD2" w:rsidRPr="00E43D6A" w:rsidRDefault="00B529C6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>
              <w:rPr>
                <w:rFonts w:cs="Times New Roman"/>
                <w:color w:val="221E1F"/>
                <w:sz w:val="14"/>
                <w:szCs w:val="14"/>
              </w:rPr>
              <w:t xml:space="preserve">DSMZ Cat# ACC 10. </w:t>
            </w:r>
            <w:r w:rsidRPr="00B529C6">
              <w:rPr>
                <w:rFonts w:cs="Times New Roman"/>
                <w:color w:val="221E1F"/>
                <w:sz w:val="14"/>
                <w:szCs w:val="14"/>
              </w:rPr>
              <w:t>RRID:CVCL_0004</w:t>
            </w:r>
          </w:p>
        </w:tc>
      </w:tr>
      <w:tr w:rsidR="00400CD2" w:rsidRPr="00E43D6A" w14:paraId="04361275" w14:textId="77777777" w:rsidTr="000B2336">
        <w:trPr>
          <w:trHeight w:val="255"/>
        </w:trPr>
        <w:tc>
          <w:tcPr>
            <w:tcW w:w="2660" w:type="dxa"/>
            <w:shd w:val="clear" w:color="auto" w:fill="DBE5F1" w:themeFill="accent1" w:themeFillTint="33"/>
            <w:vAlign w:val="center"/>
          </w:tcPr>
          <w:p w14:paraId="47AEB4D6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b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b/>
                <w:color w:val="221E1F"/>
                <w:sz w:val="14"/>
                <w:szCs w:val="14"/>
              </w:rPr>
              <w:t>Software and Algorithms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145C5DD2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3688003B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shd w:val="clear" w:color="auto" w:fill="DBE5F1" w:themeFill="accent1" w:themeFillTint="33"/>
            <w:vAlign w:val="center"/>
          </w:tcPr>
          <w:p w14:paraId="1A7DA117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14:paraId="6099B809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</w:tr>
      <w:tr w:rsidR="00400CD2" w:rsidRPr="00E43D6A" w14:paraId="319E6D1E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296EB62C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 xml:space="preserve">FlowJo software v10.4.2 </w:t>
            </w:r>
          </w:p>
        </w:tc>
        <w:tc>
          <w:tcPr>
            <w:tcW w:w="1134" w:type="dxa"/>
            <w:vAlign w:val="center"/>
          </w:tcPr>
          <w:p w14:paraId="174F7B25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5F340704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69FE16B7" w14:textId="77777777" w:rsidR="00400CD2" w:rsidRPr="00E43D6A" w:rsidRDefault="00400CD2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E43D6A">
              <w:rPr>
                <w:rFonts w:cs="Times New Roman"/>
                <w:color w:val="221E1F"/>
                <w:sz w:val="14"/>
                <w:szCs w:val="14"/>
              </w:rPr>
              <w:t>Tree Star</w:t>
            </w:r>
          </w:p>
        </w:tc>
        <w:tc>
          <w:tcPr>
            <w:tcW w:w="2977" w:type="dxa"/>
            <w:vAlign w:val="center"/>
          </w:tcPr>
          <w:p w14:paraId="53BA6AC2" w14:textId="70B7158D" w:rsidR="00400CD2" w:rsidRPr="00E43D6A" w:rsidRDefault="00934FE1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hyperlink r:id="rId12" w:history="1">
              <w:r w:rsidR="00400CD2" w:rsidRPr="00E43D6A">
                <w:rPr>
                  <w:rFonts w:cs="Times New Roman"/>
                  <w:color w:val="221E1F"/>
                  <w:sz w:val="14"/>
                  <w:szCs w:val="14"/>
                </w:rPr>
                <w:t>https://www.flowjo.com/</w:t>
              </w:r>
            </w:hyperlink>
            <w:r w:rsidR="004F29AA" w:rsidRPr="00E43D6A">
              <w:rPr>
                <w:rFonts w:cs="Times New Roman"/>
                <w:color w:val="221E1F"/>
                <w:sz w:val="14"/>
                <w:szCs w:val="14"/>
              </w:rPr>
              <w:t>,</w:t>
            </w:r>
            <w:r w:rsidR="001D5421" w:rsidRPr="00E43D6A">
              <w:rPr>
                <w:rFonts w:cs="Times New Roman"/>
                <w:color w:val="221E1F"/>
                <w:sz w:val="14"/>
                <w:szCs w:val="14"/>
              </w:rPr>
              <w:t xml:space="preserve"> RRID:SCR_008520</w:t>
            </w:r>
          </w:p>
        </w:tc>
      </w:tr>
      <w:tr w:rsidR="00BC4666" w:rsidRPr="00E43D6A" w14:paraId="2D849F71" w14:textId="77777777" w:rsidTr="000B2336">
        <w:trPr>
          <w:trHeight w:val="255"/>
        </w:trPr>
        <w:tc>
          <w:tcPr>
            <w:tcW w:w="2660" w:type="dxa"/>
            <w:vAlign w:val="center"/>
          </w:tcPr>
          <w:p w14:paraId="06193FDD" w14:textId="4F26B7F7" w:rsidR="00BC4666" w:rsidRPr="00E43D6A" w:rsidRDefault="00BC4666" w:rsidP="00BC4666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 w:rsidRPr="00BC4666">
              <w:rPr>
                <w:rFonts w:cs="Times New Roman"/>
                <w:color w:val="221E1F"/>
                <w:sz w:val="14"/>
                <w:szCs w:val="14"/>
              </w:rPr>
              <w:t>Wave</w:t>
            </w:r>
            <w:r>
              <w:rPr>
                <w:rFonts w:cs="Times New Roman"/>
                <w:color w:val="221E1F"/>
                <w:sz w:val="14"/>
                <w:szCs w:val="14"/>
              </w:rPr>
              <w:t xml:space="preserve"> software</w:t>
            </w:r>
            <w:r w:rsidRPr="00BC4666">
              <w:rPr>
                <w:rFonts w:cs="Times New Roman"/>
                <w:color w:val="221E1F"/>
                <w:sz w:val="14"/>
                <w:szCs w:val="14"/>
              </w:rPr>
              <w:t>, v 2.3.0.19</w:t>
            </w:r>
          </w:p>
        </w:tc>
        <w:tc>
          <w:tcPr>
            <w:tcW w:w="1134" w:type="dxa"/>
            <w:vAlign w:val="center"/>
          </w:tcPr>
          <w:p w14:paraId="11B3A94D" w14:textId="6A3C3498" w:rsidR="00BC4666" w:rsidRPr="00E43D6A" w:rsidRDefault="00BC4666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3472A24D" w14:textId="77777777" w:rsidR="00BC4666" w:rsidRPr="00E43D6A" w:rsidRDefault="00BC4666" w:rsidP="00E43D6A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</w:p>
        </w:tc>
        <w:tc>
          <w:tcPr>
            <w:tcW w:w="1944" w:type="dxa"/>
            <w:vAlign w:val="center"/>
          </w:tcPr>
          <w:p w14:paraId="2CC927B6" w14:textId="7CAA1D6A" w:rsidR="00BC4666" w:rsidRPr="00E43D6A" w:rsidRDefault="00BC4666" w:rsidP="00E14A84">
            <w:pPr>
              <w:spacing w:before="0" w:after="0" w:line="276" w:lineRule="auto"/>
              <w:rPr>
                <w:rFonts w:cs="Times New Roman"/>
                <w:color w:val="221E1F"/>
                <w:sz w:val="14"/>
                <w:szCs w:val="14"/>
              </w:rPr>
            </w:pPr>
            <w:r>
              <w:rPr>
                <w:rFonts w:cs="Times New Roman"/>
                <w:color w:val="221E1F"/>
                <w:sz w:val="14"/>
                <w:szCs w:val="14"/>
              </w:rPr>
              <w:t>Agilent</w:t>
            </w:r>
          </w:p>
        </w:tc>
        <w:tc>
          <w:tcPr>
            <w:tcW w:w="2977" w:type="dxa"/>
            <w:vAlign w:val="center"/>
          </w:tcPr>
          <w:p w14:paraId="3C052C63" w14:textId="7F83C0F0" w:rsidR="00BC4666" w:rsidRDefault="00BC4666" w:rsidP="00E43D6A">
            <w:pPr>
              <w:spacing w:before="0" w:after="0" w:line="276" w:lineRule="auto"/>
            </w:pPr>
            <w:r w:rsidRPr="00BC4666">
              <w:rPr>
                <w:rFonts w:cs="Times New Roman"/>
                <w:color w:val="221E1F"/>
                <w:sz w:val="14"/>
                <w:szCs w:val="14"/>
              </w:rPr>
              <w:t>https://www.agilent.com/en/</w:t>
            </w:r>
            <w:r w:rsidRPr="001F606F">
              <w:rPr>
                <w:rFonts w:cs="Times New Roman"/>
                <w:color w:val="221E1F"/>
                <w:sz w:val="14"/>
                <w:szCs w:val="14"/>
              </w:rPr>
              <w:t>products/cell-analysis/cell-analysis-software</w:t>
            </w:r>
          </w:p>
        </w:tc>
      </w:tr>
    </w:tbl>
    <w:p w14:paraId="2601E25D" w14:textId="77777777" w:rsidR="002C7528" w:rsidRDefault="002C7528" w:rsidP="00E43D6A">
      <w:pPr>
        <w:spacing w:before="0" w:after="0" w:line="276" w:lineRule="auto"/>
      </w:pPr>
      <w:r>
        <w:br w:type="page"/>
      </w:r>
    </w:p>
    <w:p w14:paraId="17D0E81C" w14:textId="7C554DC2" w:rsidR="00400CD2" w:rsidRDefault="00400CD2" w:rsidP="00181F82">
      <w:pPr>
        <w:pStyle w:val="Heading2"/>
        <w:tabs>
          <w:tab w:val="clear" w:pos="709"/>
          <w:tab w:val="num" w:pos="567"/>
        </w:tabs>
        <w:spacing w:before="0" w:after="0"/>
        <w:ind w:hanging="709"/>
      </w:pPr>
      <w:r w:rsidRPr="00E43D6A">
        <w:lastRenderedPageBreak/>
        <w:t xml:space="preserve">Supplementary </w:t>
      </w:r>
      <w:r w:rsidR="003F2176">
        <w:t>t</w:t>
      </w:r>
      <w:r w:rsidRPr="00E43D6A">
        <w:t>able</w:t>
      </w:r>
      <w:r w:rsidR="00C373D4">
        <w:t> </w:t>
      </w:r>
      <w:r w:rsidRPr="00E43D6A">
        <w:t>2</w:t>
      </w:r>
      <w:r w:rsidR="001D5421" w:rsidRPr="00E43D6A">
        <w:t xml:space="preserve"> | HLA class I genotyping </w:t>
      </w:r>
    </w:p>
    <w:p w14:paraId="4EA602E1" w14:textId="24050B44" w:rsidR="00286AC8" w:rsidRPr="00286AC8" w:rsidRDefault="00286AC8" w:rsidP="00286AC8"/>
    <w:tbl>
      <w:tblPr>
        <w:tblpPr w:leftFromText="141" w:rightFromText="141" w:vertAnchor="page" w:horzAnchor="margin" w:tblpY="2629"/>
        <w:tblW w:w="8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453"/>
        <w:gridCol w:w="453"/>
        <w:gridCol w:w="453"/>
        <w:gridCol w:w="453"/>
        <w:gridCol w:w="567"/>
        <w:gridCol w:w="454"/>
        <w:gridCol w:w="454"/>
        <w:gridCol w:w="680"/>
        <w:gridCol w:w="567"/>
        <w:gridCol w:w="567"/>
        <w:gridCol w:w="567"/>
        <w:gridCol w:w="567"/>
        <w:gridCol w:w="567"/>
      </w:tblGrid>
      <w:tr w:rsidR="003F61BC" w:rsidRPr="00E43D6A" w14:paraId="6ACAE7CA" w14:textId="1B9CEB45" w:rsidTr="003F61BC">
        <w:trPr>
          <w:trHeight w:hRule="exact" w:val="227"/>
        </w:trPr>
        <w:tc>
          <w:tcPr>
            <w:tcW w:w="567" w:type="dxa"/>
            <w:vMerge w:val="restart"/>
            <w:shd w:val="clear" w:color="auto" w:fill="DBE5F1" w:themeFill="accent1" w:themeFillTint="33"/>
            <w:vAlign w:val="center"/>
          </w:tcPr>
          <w:p w14:paraId="7B017AB1" w14:textId="1CB7F0D5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Number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14:paraId="02CCC16E" w14:textId="77777777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Sample</w:t>
            </w: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 xml:space="preserve"> </w:t>
            </w: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ID</w:t>
            </w:r>
          </w:p>
        </w:tc>
        <w:tc>
          <w:tcPr>
            <w:tcW w:w="906" w:type="dxa"/>
            <w:gridSpan w:val="2"/>
            <w:shd w:val="clear" w:color="auto" w:fill="DBE5F1" w:themeFill="accent1" w:themeFillTint="33"/>
            <w:noWrap/>
            <w:vAlign w:val="center"/>
            <w:hideMark/>
          </w:tcPr>
          <w:p w14:paraId="04254672" w14:textId="77D783F7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HLA-A</w:t>
            </w:r>
          </w:p>
        </w:tc>
        <w:tc>
          <w:tcPr>
            <w:tcW w:w="906" w:type="dxa"/>
            <w:gridSpan w:val="2"/>
            <w:shd w:val="clear" w:color="auto" w:fill="DBE5F1" w:themeFill="accent1" w:themeFillTint="33"/>
            <w:noWrap/>
            <w:vAlign w:val="center"/>
            <w:hideMark/>
          </w:tcPr>
          <w:p w14:paraId="250C40B6" w14:textId="2260CCA9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HLA-B</w:t>
            </w:r>
          </w:p>
        </w:tc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14:paraId="621B408E" w14:textId="77777777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Bw4/6</w:t>
            </w:r>
            <w:r w:rsidRPr="00D25ECB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de-DE"/>
              </w:rPr>
              <w:t>+</w:t>
            </w:r>
          </w:p>
        </w:tc>
        <w:tc>
          <w:tcPr>
            <w:tcW w:w="908" w:type="dxa"/>
            <w:gridSpan w:val="2"/>
            <w:shd w:val="clear" w:color="auto" w:fill="DBE5F1" w:themeFill="accent1" w:themeFillTint="33"/>
            <w:noWrap/>
            <w:vAlign w:val="center"/>
            <w:hideMark/>
          </w:tcPr>
          <w:p w14:paraId="4A8873DB" w14:textId="54B89D79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HLA-C</w:t>
            </w:r>
          </w:p>
        </w:tc>
        <w:tc>
          <w:tcPr>
            <w:tcW w:w="68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FD18474" w14:textId="77777777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HLA-C Haplotype</w:t>
            </w: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br/>
              <w:t>C1/C2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vAlign w:val="center"/>
          </w:tcPr>
          <w:p w14:paraId="291CCBDF" w14:textId="77777777" w:rsidR="003F61BC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Glucose</w:t>
            </w:r>
          </w:p>
          <w:p w14:paraId="04F52100" w14:textId="50C605A6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Uptake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vAlign w:val="center"/>
          </w:tcPr>
          <w:p w14:paraId="7B0F761D" w14:textId="77777777" w:rsidR="003F61BC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2-DG/</w:t>
            </w:r>
          </w:p>
          <w:p w14:paraId="721E8CEF" w14:textId="1B3327D4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GfM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vAlign w:val="center"/>
            <w:hideMark/>
          </w:tcPr>
          <w:p w14:paraId="53D3458F" w14:textId="5D892A09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Seahorse Assay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vAlign w:val="center"/>
          </w:tcPr>
          <w:p w14:paraId="6B205CAF" w14:textId="252BC7BC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Glut1 Assay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vAlign w:val="center"/>
          </w:tcPr>
          <w:p w14:paraId="53908854" w14:textId="34DF4BBA" w:rsidR="003F61BC" w:rsidRPr="00E43D6A" w:rsidRDefault="003F61BC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CD107a Assay</w:t>
            </w:r>
          </w:p>
        </w:tc>
      </w:tr>
      <w:tr w:rsidR="00EC5B0D" w:rsidRPr="00E43D6A" w14:paraId="12C1841C" w14:textId="3CB25405" w:rsidTr="003F61BC">
        <w:trPr>
          <w:trHeight w:hRule="exact" w:val="255"/>
        </w:trPr>
        <w:tc>
          <w:tcPr>
            <w:tcW w:w="567" w:type="dxa"/>
            <w:vMerge/>
            <w:shd w:val="clear" w:color="auto" w:fill="auto"/>
            <w:vAlign w:val="center"/>
          </w:tcPr>
          <w:p w14:paraId="052B121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14:paraId="6061D0C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453" w:type="dxa"/>
            <w:shd w:val="clear" w:color="auto" w:fill="DBE5F1" w:themeFill="accent1" w:themeFillTint="33"/>
            <w:noWrap/>
            <w:vAlign w:val="center"/>
            <w:hideMark/>
          </w:tcPr>
          <w:p w14:paraId="2394172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A1</w:t>
            </w:r>
          </w:p>
        </w:tc>
        <w:tc>
          <w:tcPr>
            <w:tcW w:w="453" w:type="dxa"/>
            <w:shd w:val="clear" w:color="auto" w:fill="DBE5F1" w:themeFill="accent1" w:themeFillTint="33"/>
            <w:noWrap/>
            <w:vAlign w:val="center"/>
            <w:hideMark/>
          </w:tcPr>
          <w:p w14:paraId="0348DC0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A2</w:t>
            </w:r>
          </w:p>
        </w:tc>
        <w:tc>
          <w:tcPr>
            <w:tcW w:w="453" w:type="dxa"/>
            <w:shd w:val="clear" w:color="auto" w:fill="DBE5F1" w:themeFill="accent1" w:themeFillTint="33"/>
            <w:noWrap/>
            <w:vAlign w:val="center"/>
            <w:hideMark/>
          </w:tcPr>
          <w:p w14:paraId="1D2CEBF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B1</w:t>
            </w:r>
          </w:p>
        </w:tc>
        <w:tc>
          <w:tcPr>
            <w:tcW w:w="453" w:type="dxa"/>
            <w:shd w:val="clear" w:color="auto" w:fill="DBE5F1" w:themeFill="accent1" w:themeFillTint="33"/>
            <w:noWrap/>
            <w:vAlign w:val="center"/>
            <w:hideMark/>
          </w:tcPr>
          <w:p w14:paraId="5F65B8F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B2</w:t>
            </w:r>
          </w:p>
        </w:tc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14:paraId="5C753F0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454" w:type="dxa"/>
            <w:shd w:val="clear" w:color="auto" w:fill="DBE5F1" w:themeFill="accent1" w:themeFillTint="33"/>
            <w:noWrap/>
            <w:vAlign w:val="center"/>
            <w:hideMark/>
          </w:tcPr>
          <w:p w14:paraId="1900004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C1</w:t>
            </w:r>
          </w:p>
        </w:tc>
        <w:tc>
          <w:tcPr>
            <w:tcW w:w="454" w:type="dxa"/>
            <w:shd w:val="clear" w:color="auto" w:fill="DBE5F1" w:themeFill="accent1" w:themeFillTint="33"/>
            <w:noWrap/>
            <w:vAlign w:val="center"/>
            <w:hideMark/>
          </w:tcPr>
          <w:p w14:paraId="3018877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  <w:t>C2</w:t>
            </w:r>
          </w:p>
        </w:tc>
        <w:tc>
          <w:tcPr>
            <w:tcW w:w="680" w:type="dxa"/>
            <w:vMerge/>
            <w:shd w:val="clear" w:color="auto" w:fill="auto"/>
            <w:noWrap/>
            <w:vAlign w:val="center"/>
            <w:hideMark/>
          </w:tcPr>
          <w:p w14:paraId="381236A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vMerge/>
          </w:tcPr>
          <w:p w14:paraId="4C9B1B9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vMerge/>
          </w:tcPr>
          <w:p w14:paraId="538FB517" w14:textId="4AFFA64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2DC85F25" w14:textId="19119BB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AF6CF2D" w14:textId="0844931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976EF26" w14:textId="5376CF3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de-DE"/>
              </w:rPr>
            </w:pPr>
          </w:p>
        </w:tc>
      </w:tr>
      <w:tr w:rsidR="00EC5B0D" w:rsidRPr="00E43D6A" w14:paraId="3FAE3B79" w14:textId="6E75D77A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24F5F0F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297EC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180322_BC_A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4F0A23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E8B9AE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CC26D0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9DE837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660362" w14:textId="7FF37FC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C9CA54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07EB85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05:01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871D57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7B0E626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99BB5E7" w14:textId="757DED8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1802FD" w14:textId="4B2305A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377C70" w14:textId="4958873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ADB2B9" w14:textId="2E789C8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67498A03" w14:textId="3DF8D738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A2C69C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E1A79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180322_BC_C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FE7389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4724EB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043CC1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37:01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3F8FB4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CB93E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9F4D91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139CDC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1974301" w14:textId="01E6C66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/2</w:t>
            </w:r>
          </w:p>
        </w:tc>
        <w:tc>
          <w:tcPr>
            <w:tcW w:w="567" w:type="dxa"/>
          </w:tcPr>
          <w:p w14:paraId="084462C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B45E91A" w14:textId="71E20E1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2F22155" w14:textId="059E0C2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DF5748D" w14:textId="447CDE2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850CD2" w14:textId="2D1A088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357DCE93" w14:textId="612F50D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0B40780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48427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180322_BC_D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62B688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02:06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A553EC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3566CA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5930F0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5B4102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7DD74A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5CFF5A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12:03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60F7469" w14:textId="577468F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3D54B9A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4237EBE" w14:textId="428D2F1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9F1C633" w14:textId="640C3A3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B4D5524" w14:textId="26D9273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C80BEA" w14:textId="22E9537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7A80CDCC" w14:textId="18A7E2F1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366AAA9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1ECD0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180316_BC_A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9AD4B0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8244D8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3BFAD0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B5DD61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EADD16" w14:textId="10F3EC6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2307FB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99F75F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57CE48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35A6772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52B37746" w14:textId="766256B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574B62" w14:textId="20C2228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F3C79E" w14:textId="62278AE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3DCA25" w14:textId="7580B9A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411642FF" w14:textId="266EBDBC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3A63FB9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B728F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180316_BC_B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5AB818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F94937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1EA5FB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07:04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767231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56:01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AB9C58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3DBB14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E2C8D1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E2E84B4" w14:textId="17718A1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141A92E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20FFCA13" w14:textId="4E364C5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9A5A7E9" w14:textId="49F3974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3276A2A" w14:textId="36B058D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20A2E7" w14:textId="7453E90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66497767" w14:textId="7E05C9AA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0E150AA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457BB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180316_BC_C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CA8AC7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DEC606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36:01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03AA10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440C5D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F28E5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B4B732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88D66F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3B3529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5238EE8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3A0CFC89" w14:textId="5A82425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17359CC" w14:textId="0FF80CB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148A7C5" w14:textId="02C5F65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592767" w14:textId="1DB4B1A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D45CB6A" w14:textId="5BD54EE1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2B76943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F20EE1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180316_BC_D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D5B396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FB61C1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860082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27:05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726892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C697396" w14:textId="01AA6B1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484457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168D4F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DBE1A0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34CE48D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5EE8D9E" w14:textId="6D24B8B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0F9A81B" w14:textId="1F40D9C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4B2FB2C" w14:textId="2C7F5ED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5AA3AC" w14:textId="355CAD5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74B318E7" w14:textId="2B678D28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999516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D41F6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180308_BC_A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9C677F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DF5BAC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29:02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70BB2B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27:05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6D426C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49:01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E10D7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BCD7DC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55EC09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F101CE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3169328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69A8B9E9" w14:textId="68CD920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831A9E7" w14:textId="7BBBAB5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44FD09F" w14:textId="493D256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032519" w14:textId="1DA8E2E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3D2293EF" w14:textId="7311CD3B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5CF5A8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D14D4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180308_BC_B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E8F75C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0A59E2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29:02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CB1B9C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930DF2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EEEA6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2A2A96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05:01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54A0BF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16:01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4BAE9D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787ADBC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25261C18" w14:textId="2BC3254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1AA8DE9" w14:textId="08F11E5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713208D" w14:textId="56E8070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D49344" w14:textId="2C8E83F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5DE4A51E" w14:textId="1DCA8C23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729217C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A82DD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180308_BC_C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3F2D86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664148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8751CC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FDC95B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40:02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C686E84" w14:textId="0CEE7C9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eastAsia="Times New Roman" w:cs="Times New Roman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D647A0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2AAEBC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22363B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0427AC1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0DA91EC9" w14:textId="1C4E553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2B649F1" w14:textId="42107D7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63F54D3" w14:textId="63FAC2C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A61E48" w14:textId="6A8903C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0237019E" w14:textId="7EE87CF0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279F5E9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7FBC56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180308_BC_D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0CFF8E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58B6CA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0D46D9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39:01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07CB86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57:01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BC42DC" w14:textId="4C529CA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05D9EC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2A2171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12:03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F5D519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40F063B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E7A92C5" w14:textId="0101E66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A0F94C1" w14:textId="2C0ECA7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CA5881" w14:textId="480A0E9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B1FCAA" w14:textId="4566A18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B7C9C5B" w14:textId="0E6B10A5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345C79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707BB3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180201_BC_A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EA6DE8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2B423A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3C7CD0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312455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51:01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FAD75F" w14:textId="6798776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8253D4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7AC26C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259832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49F581C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ED23EBE" w14:textId="612E581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095298" w14:textId="4F5D715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B292EB" w14:textId="11EA1CA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BB2B66" w14:textId="4913BB4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003C0B4" w14:textId="53E5567B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68720A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FC9F7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180201_BC_B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E7DF77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18C41C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CC4B1E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35:03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0E8FA4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D73596" w14:textId="4FC2965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F2F9E9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0E51F8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12:03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0F6D80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40139FD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7BAAC01F" w14:textId="6A7FB36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8CB6768" w14:textId="72BDEFF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4ABDD8" w14:textId="3D40574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620919" w14:textId="4EBDDDE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3DFDF166" w14:textId="7488AB2B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7B046AD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83B5C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180201_BC_C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EE2C23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C41366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CD114B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C15722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57:01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C8ED67" w14:textId="1A6BC6A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0485AD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2D1BC7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3377985" w14:textId="7B9510D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/2</w:t>
            </w:r>
          </w:p>
        </w:tc>
        <w:tc>
          <w:tcPr>
            <w:tcW w:w="567" w:type="dxa"/>
          </w:tcPr>
          <w:p w14:paraId="36AAF6F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774C5E2F" w14:textId="4BE8A26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23DB2D1" w14:textId="609961D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401CB0D" w14:textId="09C8675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D7845E" w14:textId="65F50AA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34750A79" w14:textId="4AE3CA9D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5222BB6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7D61F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180201_BC_D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A236BD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BECD24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74C9A7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0CF379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55:01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94DD65" w14:textId="4917893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eastAsia="Times New Roman" w:cs="Times New Roman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1FE4C5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3C3D84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B4E30B4" w14:textId="1FF2C3A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1EEA8051" w14:textId="77777777" w:rsidR="002A0AE0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57D8F3C" w14:textId="57D19914" w:rsidR="002A0AE0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1AF59B6" w14:textId="47C6176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115962" w14:textId="3BDF38B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9EDC44" w14:textId="36A732F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25AD3327" w14:textId="0D4A756C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091FA1C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D8DC5E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180110_BC_A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2EEFA4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5034B5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A6DCCC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156B4E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66F95B" w14:textId="0FB32AF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778E01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05:01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338B50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184D67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092A728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6FC567D0" w14:textId="2549540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02514E9" w14:textId="0CECB41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99FFB85" w14:textId="136751F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810518" w14:textId="0A2CFE7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2C965BF7" w14:textId="6F0685F0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009012F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33951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180110_BC_B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FEBA8F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EBECD2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30:01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8D0841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13:02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2675D8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7C370C" w14:textId="3A67E98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2589EE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CD3EE3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9666A9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53917E6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5CBB3BC0" w14:textId="3C779B6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91496BF" w14:textId="032C7CC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5E80071" w14:textId="6E3771F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65CDD7" w14:textId="5A6A903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7CDA0BD9" w14:textId="736129CD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F52E8A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B4F56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180110_BC_C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B38933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4739FE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2CA70B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B52990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52:01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C5BA78" w14:textId="4AA12E2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E8F837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2B2EEA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12:02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5796922" w14:textId="58D6451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36E71E6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36F0AE12" w14:textId="0FAB3A4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DC3249A" w14:textId="15F018B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2600D53" w14:textId="49ACC81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EBF9C6" w14:textId="4B0D5D7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267602B6" w14:textId="61B2DE7C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54058BC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CF319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180110_BC_D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EAF77A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C8F1CA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94B602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BB3989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3F0F6ED" w14:textId="17987F3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E3DAC6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F0CB2A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16:01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52DACF1" w14:textId="418D1CD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58F1EC4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6567C45B" w14:textId="5B86AEE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508D51" w14:textId="4A52CBF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4A2841" w14:textId="773AC62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F7188F" w14:textId="3AF86D4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374612F4" w14:textId="09716A08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852D50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C2A63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171129_BC_A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26F427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155380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D524C5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37:01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94868F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F0D6F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774149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B4650D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39881ED" w14:textId="0E90D30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/2</w:t>
            </w:r>
          </w:p>
        </w:tc>
        <w:tc>
          <w:tcPr>
            <w:tcW w:w="567" w:type="dxa"/>
          </w:tcPr>
          <w:p w14:paraId="7413916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59C1E973" w14:textId="5402376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CBD4CEB" w14:textId="58E4BA0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3CBBD2" w14:textId="65CD31B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FE4911" w14:textId="4E7B71E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8B2C3A9" w14:textId="3AC2877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651E53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D27EB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171129_BC_B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C54EEC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26:01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15830A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29:01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F4EC4D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07:05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BE24E0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55:01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D8989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763CE1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AE57F3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14EA31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6CD385C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64C898D4" w14:textId="2DBDFE5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0D4A7F0" w14:textId="7F25B61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93B8D90" w14:textId="585F14B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B28C06" w14:textId="392B936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27CA5C45" w14:textId="799F385A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D08D91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77C8DF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171129_BC_C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05EEAF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468BC0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103330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2C8DEB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51:01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15108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627390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14:02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9C2837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16:02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639B37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0624DAD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3E124443" w14:textId="09BF2CC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EA58F4D" w14:textId="7E9BE7A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0775EFB" w14:textId="4C61E06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838D23" w14:textId="57E424E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DF9E5E7" w14:textId="30D1387F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94293C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2B91B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171129_BC_D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482905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FE9536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5311D1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835B54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41:01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7827ED" w14:textId="0EEA89F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eastAsia="Times New Roman" w:cs="Times New Roman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FA0A5B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101FF4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4AAF733" w14:textId="38FF049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/2</w:t>
            </w:r>
          </w:p>
        </w:tc>
        <w:tc>
          <w:tcPr>
            <w:tcW w:w="567" w:type="dxa"/>
          </w:tcPr>
          <w:p w14:paraId="483F4D2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C60730A" w14:textId="4EEBD46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DDA200A" w14:textId="5DD1957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40C0889" w14:textId="1CAF8C2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B02EA2" w14:textId="57BFF55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54762D7A" w14:textId="4414BA21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6F59BB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63C2A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171109_BC_B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92F4E3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6D8941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29:02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DB6C0E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7122EE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9D8851" w14:textId="5085C7F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9835AB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F3B659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05:01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4B5F0C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1F77216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0957DD34" w14:textId="3F7FA8A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2E20936" w14:textId="2B2A1AE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882214" w14:textId="4FA4E42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901B5B" w14:textId="5BD46E2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6356DA1E" w14:textId="1D7CD2C2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54BB7CB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AD02D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171109_BC_C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35334C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A1C3FA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30:01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8C304E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CA0AA0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A69AC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48D1A9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441D93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D36DBF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75AD6C5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30A36F6" w14:textId="384978D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CA14310" w14:textId="0ACDC4F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196765C" w14:textId="23186D4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476E15" w14:textId="5012143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3E11D9CC" w14:textId="2A110505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5FA9D7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77E60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171109_BC_D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4BF6CE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EC2EBF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6E3F03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40:02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18488A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57:01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7BAB30" w14:textId="0A0162E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7632A9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26536F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FF9D12F" w14:textId="45BDF37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/2</w:t>
            </w:r>
          </w:p>
        </w:tc>
        <w:tc>
          <w:tcPr>
            <w:tcW w:w="567" w:type="dxa"/>
          </w:tcPr>
          <w:p w14:paraId="611CA3C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20E389F3" w14:textId="1922A4E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DDAC7CC" w14:textId="09EB3F2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D2FC124" w14:textId="4FA460F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11485C" w14:textId="48F0013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0DF1EA8F" w14:textId="43B5A4EA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4DDD41F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39BA2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171026_BC_B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DA6BD2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0B2BB2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3C3E13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CA532A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95522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37CF34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B8D366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36D81FC" w14:textId="542052E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3148E1F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F623205" w14:textId="22C316A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B207597" w14:textId="542FF8A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74C01E9" w14:textId="5CC845C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9F2429A" w14:textId="7451A8E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4FA95D45" w14:textId="3864D81C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4C036E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073CA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171026_BC_C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9AE620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1F3897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6ECD19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632C09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134CF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37CF0D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B30D9D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C214C7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31F641E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861EC95" w14:textId="54112CF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47E6E41" w14:textId="0525DB7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158A056" w14:textId="61FDD8E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0BCC4C" w14:textId="106D1E71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D3B56CF" w14:textId="56DAE4BB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2F6BFBD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A9C79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171026_BC_D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85ACD2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E7E826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65D8CB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DEB7C5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0E73E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B81D57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EE6061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983DF5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207EF7C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2D08EE5D" w14:textId="4F4B8D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31B0D28" w14:textId="7FBDBD0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FD46C22" w14:textId="2890FE4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451B76" w14:textId="30AF812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54237933" w14:textId="753FA2B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087E0DF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EB144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171011_BC_A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37697B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7A6A40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EEFF0B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5F1A71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A31F2D" w14:textId="606093E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6EFDFA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05:01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B650A5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E4AE70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7FFEEA0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703E5386" w14:textId="41F5710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8CCFB5" w14:textId="4AAD2A5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090B06" w14:textId="6D5E694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F8CED4" w14:textId="21894AC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5E5B90CC" w14:textId="5F8883AA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6FED7FB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49F97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171011_BC_B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1F4C7B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02:05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69E7DC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94B8A3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20251C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50:01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08D59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3F659C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CDEAD9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5B6373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627FAF0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6D7B8036" w14:textId="71659E8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A71567C" w14:textId="2217288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90F7F2E" w14:textId="316BF90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28EE107" w14:textId="2C9766F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3FC55737" w14:textId="34ABAEB0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79CED85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4E99F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171011_BC_C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5744A4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9535C1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DFFC7D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07:05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8A1C6B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5124E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100DA1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8BBF5C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15:05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DD0C78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31B5A61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360D8C98" w14:textId="576AA7D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D82957F" w14:textId="35F2936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AE3016" w14:textId="6B637A2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7774B6" w14:textId="491530D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792DFCEE" w14:textId="370DD7DF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0AF9E7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5E172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171011_BC_D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0AA7B8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750928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912F5C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76BAE5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0D30E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A1AD9B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31E8D8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05:01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6295F25" w14:textId="57849CF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/2</w:t>
            </w:r>
          </w:p>
        </w:tc>
        <w:tc>
          <w:tcPr>
            <w:tcW w:w="567" w:type="dxa"/>
          </w:tcPr>
          <w:p w14:paraId="5AAE683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2205C6BE" w14:textId="20B1A90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C33F120" w14:textId="40D7633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FB61491" w14:textId="63F0EF4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73FE481" w14:textId="21F278F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789393EF" w14:textId="322EB112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744D2F0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11B6B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170816_BC_C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29AA97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263720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C193FF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FB6E78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DC095E" w14:textId="5603A50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2603C4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0F4730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CEE0FE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365856B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99B4EF0" w14:textId="6FE16E7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3E55035" w14:textId="52A61C5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42F70B" w14:textId="0A1072D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0C2928" w14:textId="0598A56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39A21614" w14:textId="28B4BFE4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509F1EB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69A20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170816_BC_D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678C63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258511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12BD2E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946787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45:01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88BFB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C2F3F0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B9097F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5231568" w14:textId="4DA468B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/2</w:t>
            </w:r>
          </w:p>
        </w:tc>
        <w:tc>
          <w:tcPr>
            <w:tcW w:w="567" w:type="dxa"/>
          </w:tcPr>
          <w:p w14:paraId="0E1DEC8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6213952B" w14:textId="7603E2B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DF90A7A" w14:textId="663032A3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13C00B" w14:textId="4C92C3B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EBB11AF" w14:textId="5C3C20D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F0BEE13" w14:textId="5CD70744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A35DD4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75ADE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170810_BC_C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09C4B1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6FA37C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839C50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B4766D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57:01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40C2B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87B798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05:01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3F29BC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D4E98FA" w14:textId="66549F6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/2</w:t>
            </w:r>
          </w:p>
        </w:tc>
        <w:tc>
          <w:tcPr>
            <w:tcW w:w="567" w:type="dxa"/>
          </w:tcPr>
          <w:p w14:paraId="06D5606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7195062A" w14:textId="2D0729A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B4F8271" w14:textId="244E796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4BF7CC" w14:textId="721B5F3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16E49A4" w14:textId="69CBEBB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20E08306" w14:textId="3FF27984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27B90C0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0FE43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170810_BC_E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9B363E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20D79A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A00D8F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D8FE7F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27:05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C230EA" w14:textId="600B388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8DB607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3109EC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FA91C0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536F9B7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7845BD21" w14:textId="42E12C5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5A6090B" w14:textId="7D1A629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B5E188" w14:textId="292C2CF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59A05E2" w14:textId="6C02C40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651E3426" w14:textId="4E0656E4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600F417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4E51B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170727_BC_B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BA2704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1BA9C4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1F0B128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6D1EBA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4A4B1F" w14:textId="59242CF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330BBD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04:01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3FA380F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E98989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6B02F70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097BF0CB" w14:textId="7BAB059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F21DC06" w14:textId="26759FB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02BADC" w14:textId="2B90F5A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C733E2" w14:textId="2473F7D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B999687" w14:textId="119ABCAA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52C387D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3F54D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170727_BC_C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2A6A11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D7F835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FDD939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40:01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273E78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45:01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86715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67B64EF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8008DC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16:01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84C1E01" w14:textId="3B427B8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2764216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6143C19D" w14:textId="6BCCB5B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B27D8DE" w14:textId="72D144A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2B78196" w14:textId="29B7C9ED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F30F2A" w14:textId="1BD7FF6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214CFBB4" w14:textId="7855C8A9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6E306B7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97BDC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170727_BC_D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25927D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02:06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159DF5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FDAA31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01B06F7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37:01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8B02F12" w14:textId="181B5D22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A0AAA6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637C1E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416934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14AEA81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11E02FF" w14:textId="4761F98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11C2ABD" w14:textId="7F67831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A04D61" w14:textId="0C239DD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C56F56" w14:textId="5063277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4CEA780A" w14:textId="2FC8B550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2160EA7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102C1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170713_BC_D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D78BCDB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BF20E7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0222DF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39:01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A4A602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44:02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57A8EF" w14:textId="5924212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7F8C0D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D0A3CF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CD283AF" w14:textId="208DF2F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51215B4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54079F2B" w14:textId="0B72E0A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312BF3F" w14:textId="3765B61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3F923A" w14:textId="154DCDD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ED999B5" w14:textId="4827C819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9738AA7" w14:textId="60052C8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5A0BF5D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E2392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170706_BC_B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CB6778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F14A6B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64CECE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40288699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40:01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C0760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B7C80E0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268C9C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9126855" w14:textId="3DBA6F8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08BFD7E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0AD248D6" w14:textId="07B6BEB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2395AD2" w14:textId="4372166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5E113D" w14:textId="345A9FDB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CC84108" w14:textId="26E775A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4062CAC5" w14:textId="6C28F811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009AEBBC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522E36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170706_BC_C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5C3C02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1B0A5F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24:02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0DBB4D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7B6951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57:01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81A702" w14:textId="1CCD99B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22F0DEE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06:02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0DA42255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CC5C54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</w:tcPr>
          <w:p w14:paraId="7CFA9D8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138EE967" w14:textId="42CAE68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A2D5F85" w14:textId="4040DDE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B67CC2" w14:textId="6526562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DCF9AB" w14:textId="69C1388F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79295512" w14:textId="71DA4E43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2909C381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69E00D4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170629_BC_C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2692C47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01:01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788086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68B67AC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08:01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3B921D8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58:01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84BFED" w14:textId="3FDFF6A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52C3E42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40148C2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F5181CB" w14:textId="48B4D66A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5BF5EC2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551DB454" w14:textId="357B72F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4ED297B" w14:textId="6C9CC425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5D1A57" w14:textId="227AEB1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C86076" w14:textId="064F61E0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1E66554E" w14:textId="1CD4AA75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41B19B4F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A004A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170629_BC_D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6DE9A02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02:01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4C732CA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26:01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78F45728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15:01</w:t>
            </w:r>
          </w:p>
        </w:tc>
        <w:tc>
          <w:tcPr>
            <w:tcW w:w="453" w:type="dxa"/>
            <w:shd w:val="clear" w:color="auto" w:fill="auto"/>
            <w:noWrap/>
            <w:vAlign w:val="center"/>
            <w:hideMark/>
          </w:tcPr>
          <w:p w14:paraId="50C08953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38:01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5610F4C" w14:textId="49BA0F38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7794776D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03:03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14:paraId="15B67FDE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12:03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5543773" w14:textId="77EB76D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</w:tcPr>
          <w:p w14:paraId="1566E5E7" w14:textId="77777777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</w:tcPr>
          <w:p w14:paraId="4A3F60EF" w14:textId="04719B7E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ADFFB69" w14:textId="6F9BE224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BCD3AB" w14:textId="6E19175C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112FDF" w14:textId="4671C076" w:rsidR="002A0AE0" w:rsidRPr="00E43D6A" w:rsidRDefault="002A0AE0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</w:tr>
      <w:tr w:rsidR="00EC5B0D" w:rsidRPr="00E43D6A" w14:paraId="7D27BDF2" w14:textId="7777777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67E61C04" w14:textId="00260329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CDAC7C" w14:textId="25F97313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HCHH102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5EC98B" w14:textId="10C751EB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02:01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66B1B1" w14:textId="499E4E55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66:01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BB95C3" w14:textId="592FE1ED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15:01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6D3819" w14:textId="1CFB3324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15:17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70E0440" w14:textId="277DBC66" w:rsid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C5FE1D" w14:textId="21CBAA4A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03:04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B289D4" w14:textId="1D50A649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515E8E6A" w14:textId="40796CD8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  <w:vAlign w:val="center"/>
          </w:tcPr>
          <w:p w14:paraId="1FEE1CB8" w14:textId="71F667D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vAlign w:val="center"/>
          </w:tcPr>
          <w:p w14:paraId="6BFFDE6D" w14:textId="5D0C95B3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8A50D9" w14:textId="7C76935A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C4C7497" w14:textId="0F275715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C21A3F0" w14:textId="0A2E1A85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</w:tr>
      <w:tr w:rsidR="00EC5B0D" w:rsidRPr="00E43D6A" w14:paraId="74E0C21C" w14:textId="7777777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35577F46" w14:textId="56F0ED23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BA716D" w14:textId="3D5066C8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HCHH103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9E4A00" w14:textId="6BE5B116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03:01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89AEF4" w14:textId="65C77DFE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03:01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098F05" w14:textId="313973C8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07:02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C09E7E" w14:textId="041B98D3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35:01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8CFBEC" w14:textId="3C035BC3" w:rsid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A976C2" w14:textId="3A080A59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04:01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3DCB23" w14:textId="6181CB47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07:02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54A6F5AD" w14:textId="1F73B7CD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  <w:vAlign w:val="center"/>
          </w:tcPr>
          <w:p w14:paraId="38FCE911" w14:textId="6CAF87A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vAlign w:val="center"/>
          </w:tcPr>
          <w:p w14:paraId="218AD843" w14:textId="5F25B383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2BC045" w14:textId="5204E9D1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D7BE96A" w14:textId="2360AA68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5B652E2" w14:textId="3D1EEF99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</w:tr>
      <w:tr w:rsidR="00EC5B0D" w:rsidRPr="00E43D6A" w14:paraId="7BCFF051" w14:textId="7777777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3AE5DF19" w14:textId="4C8F887C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AC8572" w14:textId="326CB07A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HCHH160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82534" w14:textId="31C28FF9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02:01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81DF8" w14:textId="101A1B93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02:01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2AA62" w14:textId="54A0A141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13:02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F2BAC" w14:textId="31572610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40:01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3B3690" w14:textId="2BBA4622" w:rsid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8D3F4" w14:textId="4B603F8E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03:04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826D7" w14:textId="4672FF7B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06:02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3956B3F6" w14:textId="21AEE7B3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  <w:vAlign w:val="center"/>
          </w:tcPr>
          <w:p w14:paraId="055BD5E6" w14:textId="49D4603C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vAlign w:val="center"/>
          </w:tcPr>
          <w:p w14:paraId="51B087D4" w14:textId="154A7ED5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42C481" w14:textId="669733F1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2795510" w14:textId="23EADA02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3C13C9A" w14:textId="699FA735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</w:tr>
      <w:tr w:rsidR="00EC5B0D" w:rsidRPr="00E43D6A" w14:paraId="6602C1C7" w14:textId="7777777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78606ABB" w14:textId="044E094C" w:rsid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EB7DA6" w14:textId="40C76899" w:rsid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HCHH164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00A91" w14:textId="775BF96B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02:01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23E88" w14:textId="1E7C7443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03:01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5C9CA" w14:textId="2784E185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07:02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B10E5" w14:textId="2FCC611E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15:01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9E3D1BF" w14:textId="194FD890" w:rsid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25AD6" w14:textId="44BFE3CE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03:04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3A466" w14:textId="109332AD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07:02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1216C309" w14:textId="0EC613A5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/1</w:t>
            </w:r>
          </w:p>
        </w:tc>
        <w:tc>
          <w:tcPr>
            <w:tcW w:w="567" w:type="dxa"/>
            <w:vAlign w:val="center"/>
          </w:tcPr>
          <w:p w14:paraId="66921039" w14:textId="3B905BC2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vAlign w:val="center"/>
          </w:tcPr>
          <w:p w14:paraId="4DFBBB9D" w14:textId="02D116A3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44EBEA" w14:textId="7C57C3B4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51B39F7" w14:textId="1E158DA9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08B76ED" w14:textId="724D6FDF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</w:tr>
      <w:tr w:rsidR="00EC5B0D" w:rsidRPr="00E43D6A" w14:paraId="7EF0175A" w14:textId="77777777" w:rsidTr="003F61BC">
        <w:trPr>
          <w:trHeight w:val="198"/>
        </w:trPr>
        <w:tc>
          <w:tcPr>
            <w:tcW w:w="567" w:type="dxa"/>
            <w:shd w:val="clear" w:color="auto" w:fill="auto"/>
            <w:vAlign w:val="center"/>
          </w:tcPr>
          <w:p w14:paraId="10AEFA2B" w14:textId="73B12BE3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C001E3" w14:textId="6EED89E4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HCHH181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53922" w14:textId="4EB67F69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02:01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94C3" w14:textId="4A42ABDF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02:01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0B44A" w14:textId="7AC863D9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08:01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13E3F" w14:textId="74AB73DD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13:02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50DC12D" w14:textId="6856B86A" w:rsid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8CC14" w14:textId="7A0BCC58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06:02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9ECB6" w14:textId="31AB4055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07:01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3F7AECF7" w14:textId="4998091E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  <w:vAlign w:val="center"/>
          </w:tcPr>
          <w:p w14:paraId="72E94F38" w14:textId="3BFB7028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vAlign w:val="center"/>
          </w:tcPr>
          <w:p w14:paraId="75F29AB3" w14:textId="65A26802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9E19A77" w14:textId="4D594D2D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EEFC62A" w14:textId="5C0EAFD5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F91E132" w14:textId="19D532D5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</w:tr>
      <w:tr w:rsidR="00EC5B0D" w:rsidRPr="00E43D6A" w14:paraId="3473BF72" w14:textId="77777777" w:rsidTr="003F61BC">
        <w:trPr>
          <w:trHeight w:val="19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A436BC" w14:textId="2538E2B2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51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D47826" w14:textId="125D89F4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HCHH192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2504E" w14:textId="7088E52F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11:01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F759C" w14:textId="4ECD3EAC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29:02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FC122" w14:textId="32EA3D67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35:01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0F890" w14:textId="5F4267FD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44:03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5C8388" w14:textId="7DB7681E" w:rsid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4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EBC5F" w14:textId="11CFDA2B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04:01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D3252" w14:textId="6DF15C90" w:rsidR="00704A6B" w:rsidRPr="00704A6B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704A6B">
              <w:rPr>
                <w:rFonts w:cs="Times New Roman"/>
                <w:color w:val="000000"/>
                <w:sz w:val="14"/>
                <w:szCs w:val="14"/>
              </w:rPr>
              <w:t>16:01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805B45" w14:textId="6E55CA3D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1/2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6C2D8E3" w14:textId="666E7638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E3783BF" w14:textId="2E67AFF9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A1F3C" w14:textId="7725BFAF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D3157" w14:textId="50B59DFA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EAA9D9" w14:textId="1575F31F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de-DE"/>
              </w:rPr>
            </w:pPr>
          </w:p>
        </w:tc>
      </w:tr>
      <w:tr w:rsidR="00EC5B0D" w:rsidRPr="00E43D6A" w14:paraId="1D367F02" w14:textId="66B10858" w:rsidTr="003F61BC">
        <w:trPr>
          <w:trHeight w:val="19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7D94AE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  <w:t>Total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D9A33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D158D6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A006D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FF4B03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D7DD7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19373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25D4C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420122" w14:textId="7777777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E35C43" w14:textId="3908F3CB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8B61A05" w14:textId="174DEEFA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9DB4895" w14:textId="034774C6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768C1" w14:textId="32C63B3C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  <w:t>1</w:t>
            </w:r>
            <w:r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5A9BF8" w14:textId="0EA58DD7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  <w:r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  <w:t>29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1E2322" w14:textId="5641CA75" w:rsidR="00704A6B" w:rsidRPr="00E43D6A" w:rsidRDefault="00704A6B" w:rsidP="003F61B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</w:pPr>
            <w:r w:rsidRPr="00E43D6A"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  <w:t>4</w:t>
            </w:r>
            <w:r>
              <w:rPr>
                <w:rFonts w:eastAsia="Times New Roman" w:cs="Times New Roman"/>
                <w:b/>
                <w:color w:val="000000"/>
                <w:sz w:val="14"/>
                <w:szCs w:val="14"/>
                <w:lang w:eastAsia="de-DE"/>
              </w:rPr>
              <w:t>5</w:t>
            </w:r>
          </w:p>
        </w:tc>
      </w:tr>
    </w:tbl>
    <w:p w14:paraId="2908ACA5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4D655A5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DA03BC3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772170BE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58EF1F1C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8895933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782FE62C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09E0E5C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A99BA50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68D4F33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562443F3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84F94BF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00A4A90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5DB54BA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A4E11F4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01381D3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76860BB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A53C10D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A21BE67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B92557B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7E5FDEB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D4AD69F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5B1858B8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50106535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0077E58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5A86B282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7C7B1C6F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9FECE28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5F37835C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FB74E6A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6482B39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79AF0724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AB1DD53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4848C8D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C10B712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784BE9B4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3519920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C6C2855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C541834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13135C4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7E886DB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E8A538D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BB439D0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5C1AC87D" w14:textId="77777777" w:rsidR="00772A72" w:rsidRDefault="00772A72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37E22A3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836B7E3" w14:textId="1A0BC17A" w:rsidR="003F61BC" w:rsidRDefault="00772A72" w:rsidP="00452EEA">
      <w:pPr>
        <w:spacing w:line="360" w:lineRule="auto"/>
        <w:jc w:val="both"/>
        <w:rPr>
          <w:sz w:val="22"/>
          <w:szCs w:val="24"/>
        </w:rPr>
      </w:pPr>
      <w:r w:rsidRPr="003F61BC">
        <w:lastRenderedPageBreak/>
        <w:t>Bw4</w:t>
      </w:r>
      <w:r w:rsidRPr="003F61BC">
        <w:rPr>
          <w:vertAlign w:val="superscript"/>
        </w:rPr>
        <w:t>+</w:t>
      </w:r>
      <w:r w:rsidRPr="003F61BC">
        <w:t xml:space="preserve"> donors were defined by carriage of HLA</w:t>
      </w:r>
      <w:r w:rsidRPr="003F61BC">
        <w:noBreakHyphen/>
        <w:t>B alleles with a Bw4</w:t>
      </w:r>
      <w:r w:rsidRPr="003F61BC">
        <w:rPr>
          <w:vertAlign w:val="superscript"/>
        </w:rPr>
        <w:t>+</w:t>
      </w:r>
      <w:r w:rsidRPr="003F61BC">
        <w:t xml:space="preserve"> epitope and the HLA</w:t>
      </w:r>
      <w:r w:rsidRPr="003F61BC">
        <w:noBreakHyphen/>
        <w:t>A alleles A-23:01, A</w:t>
      </w:r>
      <w:r w:rsidRPr="003F61BC">
        <w:noBreakHyphen/>
      </w:r>
      <w:r>
        <w:t xml:space="preserve">24:02 </w:t>
      </w:r>
      <w:r w:rsidRPr="003F61BC">
        <w:t>and A</w:t>
      </w:r>
      <w:r w:rsidRPr="003F61BC">
        <w:noBreakHyphen/>
        <w:t xml:space="preserve">32:01 (Foley </w:t>
      </w:r>
      <w:r w:rsidRPr="00452EEA">
        <w:rPr>
          <w:i/>
        </w:rPr>
        <w:t>et al.</w:t>
      </w:r>
      <w:r w:rsidRPr="003F61BC">
        <w:t xml:space="preserve">, Blood, 2008 </w:t>
      </w:r>
      <w:r w:rsidRPr="003F61BC">
        <w:rPr>
          <w:sz w:val="28"/>
        </w:rPr>
        <w:t xml:space="preserve"> </w:t>
      </w:r>
      <w:r w:rsidRPr="003F61BC">
        <w:t>doi:10.1182/blood-2008-01-132902). Bw6</w:t>
      </w:r>
      <w:r w:rsidRPr="003F61BC">
        <w:rPr>
          <w:vertAlign w:val="superscript"/>
        </w:rPr>
        <w:t>+</w:t>
      </w:r>
      <w:r w:rsidRPr="003F61BC">
        <w:t xml:space="preserve"> donors lack the above stated alleles.</w:t>
      </w:r>
    </w:p>
    <w:p w14:paraId="641FF752" w14:textId="77777777" w:rsidR="003F61BC" w:rsidRDefault="003F61BC" w:rsidP="00452EEA">
      <w:pPr>
        <w:rPr>
          <w:sz w:val="22"/>
          <w:szCs w:val="24"/>
        </w:rPr>
      </w:pPr>
    </w:p>
    <w:p w14:paraId="6D887D4F" w14:textId="77777777" w:rsidR="003F61BC" w:rsidRDefault="003F61BC" w:rsidP="00452EEA">
      <w:pPr>
        <w:rPr>
          <w:sz w:val="22"/>
          <w:szCs w:val="24"/>
        </w:rPr>
      </w:pPr>
    </w:p>
    <w:p w14:paraId="016A731B" w14:textId="77777777" w:rsidR="003F61BC" w:rsidRDefault="003F61BC" w:rsidP="00452EEA">
      <w:pPr>
        <w:rPr>
          <w:sz w:val="22"/>
          <w:szCs w:val="24"/>
        </w:rPr>
      </w:pPr>
    </w:p>
    <w:p w14:paraId="3116834B" w14:textId="77777777" w:rsidR="003F61BC" w:rsidRDefault="003F61BC" w:rsidP="00452EEA">
      <w:pPr>
        <w:rPr>
          <w:sz w:val="22"/>
          <w:szCs w:val="24"/>
        </w:rPr>
      </w:pPr>
    </w:p>
    <w:p w14:paraId="7830BAD5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B140EEA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DD74DBD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79F9E1CF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B0FE7AB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D751D9A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AE0D19A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F1E8030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DB9C7A4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601F0AD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A53E32F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2961486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7AE71E1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3FCC837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7E38BBC7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E573D96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46F38C6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72DF6377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CABCCBC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57C23A0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F8748C3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BF5E55B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67853F72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112981F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6EF30AA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927DA06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8ABD6B7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BC64639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F338B65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4A78928D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8C2424C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26E614C6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3A63B7EC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11822907" w14:textId="77777777" w:rsidR="003F61BC" w:rsidRDefault="003F61BC" w:rsidP="0026267D">
      <w:pPr>
        <w:spacing w:before="0" w:after="0"/>
        <w:jc w:val="both"/>
        <w:rPr>
          <w:rFonts w:cs="Times New Roman"/>
          <w:sz w:val="22"/>
          <w:szCs w:val="24"/>
        </w:rPr>
      </w:pPr>
    </w:p>
    <w:p w14:paraId="0866D1F7" w14:textId="2D87875D" w:rsidR="00551583" w:rsidRPr="00551583" w:rsidRDefault="00551583" w:rsidP="00E43D6A">
      <w:pPr>
        <w:spacing w:before="0" w:after="0" w:line="276" w:lineRule="auto"/>
        <w:rPr>
          <w:szCs w:val="24"/>
        </w:rPr>
      </w:pPr>
    </w:p>
    <w:sectPr w:rsidR="00551583" w:rsidRPr="00551583" w:rsidSect="009342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F475E" w14:textId="77777777" w:rsidR="00C52EE8" w:rsidRDefault="00C52EE8" w:rsidP="00117666">
      <w:pPr>
        <w:spacing w:after="0"/>
      </w:pPr>
      <w:r>
        <w:separator/>
      </w:r>
    </w:p>
  </w:endnote>
  <w:endnote w:type="continuationSeparator" w:id="0">
    <w:p w14:paraId="2F15DC79" w14:textId="77777777" w:rsidR="00C52EE8" w:rsidRDefault="00C52EE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C52EE8" w:rsidRPr="00577C4C" w:rsidRDefault="00C52EE8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01F8616" w:rsidR="00C52EE8" w:rsidRPr="00577C4C" w:rsidRDefault="00C52EE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34FE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301F8616" w:rsidR="00C52EE8" w:rsidRPr="00577C4C" w:rsidRDefault="00C52EE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34FE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C52EE8" w:rsidRPr="00577C4C" w:rsidRDefault="00C52EE8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0527D99" w:rsidR="00C52EE8" w:rsidRPr="00577C4C" w:rsidRDefault="00C52EE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34FE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60527D99" w:rsidR="00C52EE8" w:rsidRPr="00577C4C" w:rsidRDefault="00C52EE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34FE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172D6" w14:textId="77777777" w:rsidR="00C52EE8" w:rsidRDefault="00C52EE8" w:rsidP="00117666">
      <w:pPr>
        <w:spacing w:after="0"/>
      </w:pPr>
      <w:r>
        <w:separator/>
      </w:r>
    </w:p>
  </w:footnote>
  <w:footnote w:type="continuationSeparator" w:id="0">
    <w:p w14:paraId="4C99E068" w14:textId="77777777" w:rsidR="00C52EE8" w:rsidRDefault="00C52EE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31CB57EC" w:rsidR="00C52EE8" w:rsidRPr="009151AA" w:rsidRDefault="00C52EE8">
    <w:pPr>
      <w:rPr>
        <w:rFonts w:cs="Times New Roman"/>
      </w:rPr>
    </w:pPr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60F8B580" wp14:editId="4057D541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BA1CD" w14:textId="33EAB71F" w:rsidR="00C52EE8" w:rsidRPr="004D7851" w:rsidRDefault="00C52EE8" w:rsidP="004D7851">
    <w:pPr>
      <w:rPr>
        <w:rFonts w:cs="Times New Roman"/>
      </w:rPr>
    </w:pPr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4E99982E" wp14:editId="7570004A">
          <wp:extent cx="1382534" cy="497091"/>
          <wp:effectExtent l="0" t="0" r="0" b="0"/>
          <wp:docPr id="3" name="Picture 3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0FDF4019" w:rsidR="00C52EE8" w:rsidRDefault="00C52EE8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709"/>
          </w:tabs>
          <w:ind w:left="709" w:hanging="567"/>
        </w:pPr>
        <w:rPr>
          <w:rFonts w:hint="default"/>
        </w:rPr>
      </w:lvl>
    </w:lvlOverride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hyphenationZone w:val="425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205E2"/>
    <w:rsid w:val="0003325A"/>
    <w:rsid w:val="00034304"/>
    <w:rsid w:val="00035434"/>
    <w:rsid w:val="00052A14"/>
    <w:rsid w:val="00074074"/>
    <w:rsid w:val="00077D53"/>
    <w:rsid w:val="00095B9C"/>
    <w:rsid w:val="000B2336"/>
    <w:rsid w:val="000B3E98"/>
    <w:rsid w:val="000E1496"/>
    <w:rsid w:val="000F399C"/>
    <w:rsid w:val="00105FD9"/>
    <w:rsid w:val="00117666"/>
    <w:rsid w:val="0012073D"/>
    <w:rsid w:val="00125FDF"/>
    <w:rsid w:val="001549D3"/>
    <w:rsid w:val="00160065"/>
    <w:rsid w:val="00162DFF"/>
    <w:rsid w:val="00177D84"/>
    <w:rsid w:val="00181F82"/>
    <w:rsid w:val="00186205"/>
    <w:rsid w:val="001C690F"/>
    <w:rsid w:val="001D5421"/>
    <w:rsid w:val="001F42B5"/>
    <w:rsid w:val="001F606F"/>
    <w:rsid w:val="002057DB"/>
    <w:rsid w:val="00212B38"/>
    <w:rsid w:val="0021413F"/>
    <w:rsid w:val="002217DF"/>
    <w:rsid w:val="00232673"/>
    <w:rsid w:val="00234A78"/>
    <w:rsid w:val="0026267D"/>
    <w:rsid w:val="002631C6"/>
    <w:rsid w:val="00263577"/>
    <w:rsid w:val="002644FB"/>
    <w:rsid w:val="00266C81"/>
    <w:rsid w:val="00267D18"/>
    <w:rsid w:val="002868E2"/>
    <w:rsid w:val="002869C3"/>
    <w:rsid w:val="00286AC8"/>
    <w:rsid w:val="002936E4"/>
    <w:rsid w:val="002A0AE0"/>
    <w:rsid w:val="002B4A57"/>
    <w:rsid w:val="002C74CA"/>
    <w:rsid w:val="002C7528"/>
    <w:rsid w:val="002F5DB9"/>
    <w:rsid w:val="0031792B"/>
    <w:rsid w:val="0032444C"/>
    <w:rsid w:val="003544FB"/>
    <w:rsid w:val="003768B4"/>
    <w:rsid w:val="003A53FE"/>
    <w:rsid w:val="003C3E41"/>
    <w:rsid w:val="003D2F2D"/>
    <w:rsid w:val="003F2176"/>
    <w:rsid w:val="003F61BC"/>
    <w:rsid w:val="00400CD2"/>
    <w:rsid w:val="00401590"/>
    <w:rsid w:val="00447801"/>
    <w:rsid w:val="00452E9C"/>
    <w:rsid w:val="00452EEA"/>
    <w:rsid w:val="004735C2"/>
    <w:rsid w:val="004735C8"/>
    <w:rsid w:val="004821CD"/>
    <w:rsid w:val="004947A6"/>
    <w:rsid w:val="004961FF"/>
    <w:rsid w:val="004D07B7"/>
    <w:rsid w:val="004D2564"/>
    <w:rsid w:val="004D7851"/>
    <w:rsid w:val="004F29AA"/>
    <w:rsid w:val="00505DB2"/>
    <w:rsid w:val="00517A89"/>
    <w:rsid w:val="00520EB4"/>
    <w:rsid w:val="005250F2"/>
    <w:rsid w:val="00550F4E"/>
    <w:rsid w:val="00551583"/>
    <w:rsid w:val="00580423"/>
    <w:rsid w:val="00591752"/>
    <w:rsid w:val="00593EEA"/>
    <w:rsid w:val="005A5EEE"/>
    <w:rsid w:val="005B5F7C"/>
    <w:rsid w:val="006375C7"/>
    <w:rsid w:val="00654E8F"/>
    <w:rsid w:val="00660D05"/>
    <w:rsid w:val="006820B1"/>
    <w:rsid w:val="00685CA6"/>
    <w:rsid w:val="0069355F"/>
    <w:rsid w:val="006B7D14"/>
    <w:rsid w:val="006D6AE8"/>
    <w:rsid w:val="006E136E"/>
    <w:rsid w:val="006F1A96"/>
    <w:rsid w:val="00700A03"/>
    <w:rsid w:val="00701727"/>
    <w:rsid w:val="00704A6B"/>
    <w:rsid w:val="0070566C"/>
    <w:rsid w:val="00714C50"/>
    <w:rsid w:val="00725A7D"/>
    <w:rsid w:val="007300E0"/>
    <w:rsid w:val="00745056"/>
    <w:rsid w:val="007501BE"/>
    <w:rsid w:val="00772A72"/>
    <w:rsid w:val="00790BB3"/>
    <w:rsid w:val="007C206C"/>
    <w:rsid w:val="007D73E4"/>
    <w:rsid w:val="00817DD6"/>
    <w:rsid w:val="00831E73"/>
    <w:rsid w:val="0083759F"/>
    <w:rsid w:val="00844E8B"/>
    <w:rsid w:val="0084725E"/>
    <w:rsid w:val="00852A86"/>
    <w:rsid w:val="00857D04"/>
    <w:rsid w:val="0086645B"/>
    <w:rsid w:val="00866F97"/>
    <w:rsid w:val="008734DC"/>
    <w:rsid w:val="00885156"/>
    <w:rsid w:val="00897F8A"/>
    <w:rsid w:val="008A7B5D"/>
    <w:rsid w:val="008B05EB"/>
    <w:rsid w:val="008B37E8"/>
    <w:rsid w:val="008D414A"/>
    <w:rsid w:val="009151AA"/>
    <w:rsid w:val="0093429D"/>
    <w:rsid w:val="00934FE1"/>
    <w:rsid w:val="00936597"/>
    <w:rsid w:val="00943573"/>
    <w:rsid w:val="00960D80"/>
    <w:rsid w:val="00963728"/>
    <w:rsid w:val="00970F7D"/>
    <w:rsid w:val="00994A3D"/>
    <w:rsid w:val="009C2B12"/>
    <w:rsid w:val="00A00F06"/>
    <w:rsid w:val="00A174D9"/>
    <w:rsid w:val="00A3439D"/>
    <w:rsid w:val="00A80BAB"/>
    <w:rsid w:val="00AA4D24"/>
    <w:rsid w:val="00AA67BA"/>
    <w:rsid w:val="00AB6715"/>
    <w:rsid w:val="00AC592A"/>
    <w:rsid w:val="00AD6AF0"/>
    <w:rsid w:val="00AE6B90"/>
    <w:rsid w:val="00AF3CE8"/>
    <w:rsid w:val="00B12BD6"/>
    <w:rsid w:val="00B1671E"/>
    <w:rsid w:val="00B207A2"/>
    <w:rsid w:val="00B25EB8"/>
    <w:rsid w:val="00B37F4D"/>
    <w:rsid w:val="00B43F17"/>
    <w:rsid w:val="00B529C6"/>
    <w:rsid w:val="00B83403"/>
    <w:rsid w:val="00B87039"/>
    <w:rsid w:val="00B929F5"/>
    <w:rsid w:val="00BC4666"/>
    <w:rsid w:val="00BD7285"/>
    <w:rsid w:val="00BF0A34"/>
    <w:rsid w:val="00C02AFD"/>
    <w:rsid w:val="00C373D4"/>
    <w:rsid w:val="00C52A7B"/>
    <w:rsid w:val="00C52EE8"/>
    <w:rsid w:val="00C56BAF"/>
    <w:rsid w:val="00C64289"/>
    <w:rsid w:val="00C679AA"/>
    <w:rsid w:val="00C734DB"/>
    <w:rsid w:val="00C73DEE"/>
    <w:rsid w:val="00C748B8"/>
    <w:rsid w:val="00C7572F"/>
    <w:rsid w:val="00C75972"/>
    <w:rsid w:val="00CA327D"/>
    <w:rsid w:val="00CB15F9"/>
    <w:rsid w:val="00CC5EB8"/>
    <w:rsid w:val="00CD066B"/>
    <w:rsid w:val="00CE4FEE"/>
    <w:rsid w:val="00CE54E6"/>
    <w:rsid w:val="00D014F4"/>
    <w:rsid w:val="00D25ECB"/>
    <w:rsid w:val="00D43CE1"/>
    <w:rsid w:val="00D60F59"/>
    <w:rsid w:val="00D66CFD"/>
    <w:rsid w:val="00D80470"/>
    <w:rsid w:val="00DA5E61"/>
    <w:rsid w:val="00DB289C"/>
    <w:rsid w:val="00DB59C3"/>
    <w:rsid w:val="00DC259A"/>
    <w:rsid w:val="00DD3E03"/>
    <w:rsid w:val="00DE13B4"/>
    <w:rsid w:val="00DE23E8"/>
    <w:rsid w:val="00DF65DD"/>
    <w:rsid w:val="00E14A84"/>
    <w:rsid w:val="00E15152"/>
    <w:rsid w:val="00E272F1"/>
    <w:rsid w:val="00E31039"/>
    <w:rsid w:val="00E43D6A"/>
    <w:rsid w:val="00E52377"/>
    <w:rsid w:val="00E54DE4"/>
    <w:rsid w:val="00E64E17"/>
    <w:rsid w:val="00E8024F"/>
    <w:rsid w:val="00E866C9"/>
    <w:rsid w:val="00E87779"/>
    <w:rsid w:val="00EA3D3C"/>
    <w:rsid w:val="00EA5743"/>
    <w:rsid w:val="00EC090A"/>
    <w:rsid w:val="00EC5B0D"/>
    <w:rsid w:val="00ED20B5"/>
    <w:rsid w:val="00F04A6C"/>
    <w:rsid w:val="00F342D2"/>
    <w:rsid w:val="00F4082B"/>
    <w:rsid w:val="00F46900"/>
    <w:rsid w:val="00F61D89"/>
    <w:rsid w:val="00F93C54"/>
    <w:rsid w:val="00FC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;"/>
  <w14:docId w14:val="486DB94A"/>
  <w15:docId w15:val="{85A7C19D-34F8-4D4C-BB38-616F73F30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704A6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koerner@leibniz-hpi.de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lowjo.com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A72FCDB-EBAA-426C-86B2-165BC0768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1332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Heinrich-Pette-Institut</Company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pfeifer</dc:creator>
  <cp:lastModifiedBy>Körner, Christian</cp:lastModifiedBy>
  <cp:revision>13</cp:revision>
  <cp:lastPrinted>2018-11-16T19:05:00Z</cp:lastPrinted>
  <dcterms:created xsi:type="dcterms:W3CDTF">2018-12-13T09:38:00Z</dcterms:created>
  <dcterms:modified xsi:type="dcterms:W3CDTF">2018-12-13T11:57:00Z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http://www.zotero.org/styles/frontiers-in-immunology</vt:lpwstr>
  </property>
  <property fmtid="{D5CDD505-2E9C-101B-9397-08002B2CF9AE}" pid="13" name="Mendeley Recent Style Name 5_1">
    <vt:lpwstr>Frontiers in Immunology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(author-date)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98ad7379-8532-3513-907f-dc95ad8664f1</vt:lpwstr>
  </property>
  <property fmtid="{D5CDD505-2E9C-101B-9397-08002B2CF9AE}" pid="24" name="Mendeley Citation Style_1">
    <vt:lpwstr>http://www.zotero.org/styles/frontiers-in-immunology</vt:lpwstr>
  </property>
</Properties>
</file>