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4" w:rsidRPr="0046735C" w:rsidRDefault="005326F4" w:rsidP="0046735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kern w:val="0"/>
          <w:sz w:val="28"/>
          <w:szCs w:val="16"/>
        </w:rPr>
      </w:pPr>
      <w:r w:rsidRPr="0046735C">
        <w:rPr>
          <w:rFonts w:ascii="Times New Roman" w:hAnsi="Times New Roman" w:cs="Times New Roman" w:hint="eastAsia"/>
          <w:b/>
          <w:kern w:val="0"/>
          <w:sz w:val="28"/>
          <w:szCs w:val="16"/>
        </w:rPr>
        <w:t>Supplement materials</w:t>
      </w:r>
      <w:r w:rsidR="0046735C" w:rsidRPr="0046735C">
        <w:rPr>
          <w:rFonts w:ascii="Times New Roman" w:hAnsi="Times New Roman" w:cs="Times New Roman" w:hint="eastAsia"/>
          <w:b/>
          <w:kern w:val="0"/>
          <w:sz w:val="28"/>
          <w:szCs w:val="16"/>
        </w:rPr>
        <w:t xml:space="preserve"> 1</w:t>
      </w:r>
    </w:p>
    <w:p w:rsidR="005A223F" w:rsidRPr="005A223F" w:rsidRDefault="005A223F" w:rsidP="009C62C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sz w:val="44"/>
          <w:szCs w:val="24"/>
        </w:rPr>
      </w:pPr>
      <w:r w:rsidRPr="005A223F">
        <w:rPr>
          <w:rFonts w:ascii="Times New Roman" w:hAnsi="Times New Roman" w:cs="Times New Roman"/>
          <w:b/>
          <w:kern w:val="0"/>
          <w:sz w:val="24"/>
          <w:szCs w:val="16"/>
        </w:rPr>
        <w:t xml:space="preserve">Sample Preparation and Gas Chromatograph–Time-of-Flight MS </w:t>
      </w:r>
      <w:r w:rsidR="005326F4">
        <w:rPr>
          <w:rFonts w:ascii="Times New Roman" w:hAnsi="Times New Roman" w:cs="Times New Roman" w:hint="eastAsia"/>
          <w:b/>
          <w:kern w:val="0"/>
          <w:sz w:val="24"/>
          <w:szCs w:val="16"/>
        </w:rPr>
        <w:t xml:space="preserve">(GC-TOF/MS) </w:t>
      </w:r>
      <w:r w:rsidRPr="005A223F">
        <w:rPr>
          <w:rFonts w:ascii="Times New Roman" w:hAnsi="Times New Roman" w:cs="Times New Roman"/>
          <w:b/>
          <w:kern w:val="0"/>
          <w:sz w:val="24"/>
          <w:szCs w:val="16"/>
        </w:rPr>
        <w:t>Analysis</w:t>
      </w:r>
      <w:r w:rsidR="005326F4">
        <w:rPr>
          <w:rFonts w:ascii="Times New Roman" w:hAnsi="Times New Roman" w:cs="Times New Roman" w:hint="eastAsia"/>
          <w:b/>
          <w:kern w:val="0"/>
          <w:sz w:val="24"/>
          <w:szCs w:val="16"/>
        </w:rPr>
        <w:t xml:space="preserve"> for </w:t>
      </w:r>
      <w:r w:rsidR="005326F4" w:rsidRPr="005326F4">
        <w:rPr>
          <w:rFonts w:ascii="Times New Roman" w:hAnsi="Times New Roman" w:cs="Times New Roman"/>
          <w:b/>
          <w:kern w:val="0"/>
          <w:sz w:val="24"/>
          <w:szCs w:val="16"/>
        </w:rPr>
        <w:t>Metabolomics</w:t>
      </w:r>
    </w:p>
    <w:p w:rsidR="00506019" w:rsidRDefault="00F62554" w:rsidP="009C62C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7500">
        <w:rPr>
          <w:rFonts w:ascii="Times New Roman" w:hAnsi="Times New Roman" w:cs="Times New Roman"/>
          <w:sz w:val="24"/>
          <w:szCs w:val="24"/>
        </w:rPr>
        <w:t>About 100mg tumor samples were homogenized with cold 50% methanol in ice-bath and centrifuged for 5 min (4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 </w:t>
      </w:r>
      <w:r w:rsidRPr="00877500">
        <w:rPr>
          <w:rFonts w:ascii="Times New Roman" w:hAnsi="Times New Roman" w:cs="Times New Roman"/>
          <w:sz w:val="24"/>
          <w:szCs w:val="24"/>
        </w:rPr>
        <w:t>℃, 3, 000 g) to separate debris or a lipid layer.</w:t>
      </w:r>
      <w:r w:rsidR="00AB2EA9" w:rsidRPr="008775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77500">
        <w:rPr>
          <w:rFonts w:ascii="Times New Roman" w:hAnsi="Times New Roman" w:cs="Times New Roman"/>
          <w:sz w:val="24"/>
          <w:szCs w:val="24"/>
        </w:rPr>
        <w:t xml:space="preserve">Each sample aliquot of 50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 xml:space="preserve"> was mixed with 10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 xml:space="preserve"> of internal standard, and subjected to </w:t>
      </w:r>
      <w:r w:rsidRPr="00877500">
        <w:rPr>
          <w:rFonts w:ascii="Times New Roman" w:hAnsi="Times New Roman" w:cs="Times New Roman"/>
          <w:kern w:val="0"/>
          <w:sz w:val="24"/>
          <w:szCs w:val="24"/>
        </w:rPr>
        <w:t>protein precipitation</w:t>
      </w:r>
      <w:r w:rsidRPr="00877500">
        <w:rPr>
          <w:rFonts w:ascii="Times New Roman" w:hAnsi="Times New Roman" w:cs="Times New Roman"/>
          <w:sz w:val="24"/>
          <w:szCs w:val="24"/>
        </w:rPr>
        <w:t xml:space="preserve"> with 175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 xml:space="preserve"> of pre-chilled methanol/chloroform (v/v=3/1).</w:t>
      </w:r>
      <w:r w:rsidR="00AB2EA9" w:rsidRPr="00877500">
        <w:rPr>
          <w:rFonts w:ascii="Times New Roman" w:hAnsi="Times New Roman" w:cs="Times New Roman"/>
          <w:kern w:val="0"/>
          <w:sz w:val="24"/>
          <w:szCs w:val="24"/>
        </w:rPr>
        <w:t xml:space="preserve"> The mixture was vortexed for 30 s. After </w:t>
      </w:r>
      <w:proofErr w:type="spellStart"/>
      <w:r w:rsidRPr="00877500">
        <w:rPr>
          <w:rFonts w:ascii="Times New Roman" w:hAnsi="Times New Roman" w:cs="Times New Roman"/>
          <w:kern w:val="0"/>
          <w:sz w:val="24"/>
          <w:szCs w:val="24"/>
        </w:rPr>
        <w:t>freezed</w:t>
      </w:r>
      <w:proofErr w:type="spellEnd"/>
      <w:r w:rsidR="00AB2EA9" w:rsidRPr="00877500">
        <w:rPr>
          <w:rFonts w:ascii="Times New Roman" w:hAnsi="Times New Roman" w:cs="Times New Roman"/>
          <w:kern w:val="0"/>
          <w:sz w:val="24"/>
          <w:szCs w:val="24"/>
        </w:rPr>
        <w:t xml:space="preserve"> at </w:t>
      </w:r>
      <w:r w:rsidR="00AB2EA9" w:rsidRPr="00877500">
        <w:rPr>
          <w:rFonts w:ascii="Times New Roman" w:eastAsia="MS Gothic" w:hAnsi="Times New Roman" w:cs="Times New Roman"/>
          <w:kern w:val="0"/>
          <w:sz w:val="24"/>
          <w:szCs w:val="24"/>
        </w:rPr>
        <w:t>−</w:t>
      </w:r>
      <w:r w:rsidRPr="00877500">
        <w:rPr>
          <w:rFonts w:ascii="Times New Roman" w:hAnsi="Times New Roman" w:cs="Times New Roman"/>
          <w:kern w:val="0"/>
          <w:sz w:val="24"/>
          <w:szCs w:val="24"/>
        </w:rPr>
        <w:t>20 °C for 2</w:t>
      </w:r>
      <w:r w:rsidR="00AB2EA9" w:rsidRPr="00877500">
        <w:rPr>
          <w:rFonts w:ascii="Times New Roman" w:hAnsi="Times New Roman" w:cs="Times New Roman"/>
          <w:kern w:val="0"/>
          <w:sz w:val="24"/>
          <w:szCs w:val="24"/>
        </w:rPr>
        <w:t xml:space="preserve">0 min, the samples were centrifuged </w:t>
      </w:r>
      <w:r w:rsidRPr="00877500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877500">
        <w:rPr>
          <w:rFonts w:ascii="Times New Roman" w:hAnsi="Times New Roman" w:cs="Times New Roman"/>
          <w:sz w:val="24"/>
          <w:szCs w:val="24"/>
        </w:rPr>
        <w:t>14, 000 g, 4 ℃, 20 min)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. </w:t>
      </w:r>
      <w:r w:rsidR="00506019" w:rsidRPr="00877500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 </w:t>
      </w:r>
      <w:r w:rsidRPr="00877500">
        <w:rPr>
          <w:rFonts w:ascii="Times New Roman" w:hAnsi="Times New Roman" w:cs="Times New Roman"/>
          <w:sz w:val="24"/>
          <w:szCs w:val="24"/>
        </w:rPr>
        <w:t xml:space="preserve">supernatant was carefully transferred to an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 xml:space="preserve"> vial</w:t>
      </w:r>
      <w:r w:rsidR="00506019" w:rsidRPr="00877500">
        <w:rPr>
          <w:rFonts w:ascii="Times New Roman" w:hAnsi="Times New Roman" w:cs="Times New Roman"/>
          <w:sz w:val="24"/>
          <w:szCs w:val="24"/>
        </w:rPr>
        <w:t>,</w:t>
      </w:r>
      <w:r w:rsidRPr="00877500">
        <w:rPr>
          <w:rFonts w:ascii="Times New Roman" w:hAnsi="Times New Roman" w:cs="Times New Roman"/>
          <w:sz w:val="24"/>
          <w:szCs w:val="24"/>
        </w:rPr>
        <w:t xml:space="preserve"> evaporated briefly to remove chloroform, and lyophilized.</w:t>
      </w:r>
      <w:r w:rsidR="00AB2EA9" w:rsidRPr="00877500">
        <w:rPr>
          <w:rFonts w:ascii="Times New Roman" w:hAnsi="Times New Roman" w:cs="Times New Roman"/>
          <w:kern w:val="0"/>
          <w:sz w:val="24"/>
          <w:szCs w:val="24"/>
        </w:rPr>
        <w:t xml:space="preserve"> Next, </w:t>
      </w:r>
      <w:r w:rsidR="00506019" w:rsidRPr="00877500">
        <w:rPr>
          <w:rFonts w:ascii="Times New Roman" w:hAnsi="Times New Roman" w:cs="Times New Roman"/>
          <w:sz w:val="24"/>
          <w:szCs w:val="24"/>
        </w:rPr>
        <w:t xml:space="preserve">the lyophilized sample was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derivatized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 with 50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methoxyamine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 (20 mg/mL in pyridine) at 30 ℃ for 2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, followed by the </w:t>
      </w:r>
      <w:r w:rsidR="007869EE" w:rsidRPr="00877500">
        <w:rPr>
          <w:rFonts w:ascii="Times New Roman" w:hAnsi="Times New Roman" w:cs="Times New Roman"/>
          <w:sz w:val="24"/>
          <w:szCs w:val="24"/>
        </w:rPr>
        <w:t>incubation with</w:t>
      </w:r>
      <w:r w:rsidR="00506019" w:rsidRPr="00877500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 xml:space="preserve"> of N-methyl-N-</w:t>
      </w:r>
      <w:r w:rsidR="004673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6019" w:rsidRPr="008775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6019" w:rsidRPr="00877500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="00506019" w:rsidRPr="00877500">
        <w:rPr>
          <w:rFonts w:ascii="Times New Roman" w:hAnsi="Times New Roman" w:cs="Times New Roman"/>
          <w:sz w:val="24"/>
          <w:szCs w:val="24"/>
        </w:rPr>
        <w:t>)trifluoroacetamide (1% trimethylchlorosilane) containing fatty acid methyl ester (C7-C30, FAMEs)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 as retention indices at 37.5 ℃ for another 1 hr. </w:t>
      </w:r>
      <w:r w:rsidR="007869EE" w:rsidRPr="00877500">
        <w:rPr>
          <w:rFonts w:ascii="Times New Roman" w:hAnsi="Times New Roman" w:cs="Times New Roman"/>
          <w:kern w:val="0"/>
          <w:sz w:val="24"/>
          <w:szCs w:val="24"/>
        </w:rPr>
        <w:t xml:space="preserve">After vortexed for 1 min and kept at room temperature for 1 h, 1 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</w:t>
      </w:r>
      <w:r w:rsidR="007869EE" w:rsidRPr="00877500">
        <w:rPr>
          <w:rFonts w:ascii="Times New Roman" w:hAnsi="Times New Roman" w:cs="Times New Roman"/>
          <w:kern w:val="0"/>
          <w:sz w:val="24"/>
          <w:szCs w:val="24"/>
        </w:rPr>
        <w:t xml:space="preserve">aliquot of the sample was detected in 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a time-of-flight mass spectrometry (GC-TOF/MS) system (Pegasus HT, 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Leco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Corp., St. Joseph, MO, USA) with an Agilent 7890B gas chrom</w:t>
      </w:r>
      <w:r w:rsidR="007869EE" w:rsidRPr="00877500">
        <w:rPr>
          <w:rFonts w:ascii="Times New Roman" w:hAnsi="Times New Roman" w:cs="Times New Roman"/>
          <w:sz w:val="24"/>
          <w:szCs w:val="24"/>
        </w:rPr>
        <w:t>a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tography and a 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Gerstel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multipurpose sample MPS2 with dual heads (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Gerstel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Muehlheim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>, Ge</w:t>
      </w:r>
      <w:r w:rsidR="007869EE" w:rsidRPr="00877500">
        <w:rPr>
          <w:rFonts w:ascii="Times New Roman" w:hAnsi="Times New Roman" w:cs="Times New Roman"/>
          <w:sz w:val="24"/>
          <w:szCs w:val="24"/>
        </w:rPr>
        <w:t>r</w:t>
      </w:r>
      <w:r w:rsidR="007869EE" w:rsidRPr="00877500">
        <w:rPr>
          <w:rFonts w:ascii="Times New Roman" w:hAnsi="Times New Roman" w:cs="Times New Roman"/>
          <w:sz w:val="24"/>
          <w:szCs w:val="24"/>
        </w:rPr>
        <w:t xml:space="preserve">many). </w:t>
      </w:r>
      <w:proofErr w:type="gramStart"/>
      <w:r w:rsidR="007869EE" w:rsidRPr="008775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Rxi-5 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capillary column (</w:t>
      </w:r>
      <w:proofErr w:type="spellStart"/>
      <w:r w:rsidR="007869EE" w:rsidRPr="00877500">
        <w:rPr>
          <w:rFonts w:ascii="Times New Roman" w:hAnsi="Times New Roman" w:cs="Times New Roman"/>
          <w:sz w:val="24"/>
          <w:szCs w:val="24"/>
        </w:rPr>
        <w:t>Restek</w:t>
      </w:r>
      <w:proofErr w:type="spellEnd"/>
      <w:r w:rsidR="007869EE" w:rsidRPr="00877500">
        <w:rPr>
          <w:rFonts w:ascii="Times New Roman" w:hAnsi="Times New Roman" w:cs="Times New Roman"/>
          <w:sz w:val="24"/>
          <w:szCs w:val="24"/>
        </w:rPr>
        <w:t xml:space="preserve"> corporation, Bellefonte, PA, USA) was </w:t>
      </w:r>
      <w:r w:rsidR="007869EE" w:rsidRPr="0046735C">
        <w:rPr>
          <w:rFonts w:ascii="Times New Roman" w:hAnsi="Times New Roman" w:cs="Times New Roman"/>
          <w:sz w:val="24"/>
          <w:szCs w:val="24"/>
        </w:rPr>
        <w:t>used for separation. The detailed instrument settings are briefly described in</w:t>
      </w:r>
      <w:r w:rsidR="0046735C" w:rsidRPr="0046735C">
        <w:rPr>
          <w:rFonts w:ascii="Times New Roman" w:hAnsi="Times New Roman" w:cs="Times New Roman"/>
          <w:sz w:val="24"/>
          <w:szCs w:val="24"/>
        </w:rPr>
        <w:t xml:space="preserve"> </w:t>
      </w:r>
      <w:r w:rsidR="0046735C" w:rsidRPr="0046735C">
        <w:rPr>
          <w:rFonts w:ascii="Times New Roman" w:hAnsi="Times New Roman" w:cs="Times New Roman"/>
          <w:sz w:val="24"/>
          <w:szCs w:val="24"/>
        </w:rPr>
        <w:fldChar w:fldCharType="begin"/>
      </w:r>
      <w:r w:rsidR="0046735C" w:rsidRPr="0046735C">
        <w:rPr>
          <w:rFonts w:ascii="Times New Roman" w:hAnsi="Times New Roman" w:cs="Times New Roman"/>
          <w:sz w:val="24"/>
          <w:szCs w:val="24"/>
        </w:rPr>
        <w:instrText xml:space="preserve"> REF _Ref530213445 \h </w:instrText>
      </w:r>
      <w:r w:rsidR="0046735C" w:rsidRPr="0046735C">
        <w:rPr>
          <w:rFonts w:ascii="Times New Roman" w:hAnsi="Times New Roman" w:cs="Times New Roman"/>
          <w:sz w:val="24"/>
          <w:szCs w:val="24"/>
        </w:rPr>
      </w:r>
      <w:r w:rsidR="0046735C" w:rsidRPr="0046735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6735C" w:rsidRPr="0046735C">
        <w:rPr>
          <w:rFonts w:ascii="Times New Roman" w:hAnsi="Times New Roman" w:cs="Times New Roman"/>
          <w:sz w:val="24"/>
          <w:szCs w:val="24"/>
        </w:rPr>
        <w:fldChar w:fldCharType="separate"/>
      </w:r>
      <w:r w:rsidR="0046735C" w:rsidRPr="0046735C">
        <w:rPr>
          <w:rFonts w:ascii="Times New Roman" w:hAnsi="Times New Roman" w:cs="Times New Roman"/>
          <w:sz w:val="24"/>
          <w:szCs w:val="24"/>
        </w:rPr>
        <w:t>Table S 1- 1</w:t>
      </w:r>
      <w:r w:rsidR="0046735C" w:rsidRPr="0046735C">
        <w:rPr>
          <w:rFonts w:ascii="Times New Roman" w:hAnsi="Times New Roman" w:cs="Times New Roman"/>
          <w:sz w:val="24"/>
          <w:szCs w:val="24"/>
        </w:rPr>
        <w:fldChar w:fldCharType="end"/>
      </w:r>
      <w:r w:rsidR="007869EE" w:rsidRPr="0046735C">
        <w:rPr>
          <w:rFonts w:ascii="Times New Roman" w:hAnsi="Times New Roman" w:cs="Times New Roman"/>
          <w:sz w:val="24"/>
          <w:szCs w:val="24"/>
        </w:rPr>
        <w:t xml:space="preserve">. </w:t>
      </w:r>
      <w:r w:rsidR="00C4462E" w:rsidRPr="0046735C">
        <w:rPr>
          <w:rFonts w:ascii="Times New Roman" w:hAnsi="Times New Roman" w:cs="Times New Roman"/>
          <w:sz w:val="24"/>
          <w:szCs w:val="24"/>
        </w:rPr>
        <w:t>Instrument optimization was performed every 24 hours. A comprehensive set of</w:t>
      </w:r>
      <w:r w:rsidR="00C4462E" w:rsidRPr="00877500">
        <w:rPr>
          <w:rFonts w:ascii="Times New Roman" w:hAnsi="Times New Roman" w:cs="Times New Roman"/>
          <w:sz w:val="24"/>
          <w:szCs w:val="24"/>
        </w:rPr>
        <w:t xml:space="preserve"> rigorous quality control </w:t>
      </w:r>
      <w:r w:rsidR="00C9675E">
        <w:rPr>
          <w:rFonts w:ascii="Times New Roman" w:hAnsi="Times New Roman" w:cs="Times New Roman" w:hint="eastAsia"/>
          <w:sz w:val="24"/>
          <w:szCs w:val="24"/>
        </w:rPr>
        <w:t>(QC)</w:t>
      </w:r>
      <w:r w:rsidR="00C4462E" w:rsidRPr="00877500">
        <w:rPr>
          <w:rFonts w:ascii="Times New Roman" w:hAnsi="Times New Roman" w:cs="Times New Roman"/>
          <w:sz w:val="24"/>
          <w:szCs w:val="24"/>
        </w:rPr>
        <w:t>/ assurance procedures is employed to ensure a consis</w:t>
      </w:r>
      <w:r w:rsidR="00C4462E" w:rsidRPr="00877500">
        <w:rPr>
          <w:rFonts w:ascii="Times New Roman" w:hAnsi="Times New Roman" w:cs="Times New Roman"/>
          <w:sz w:val="24"/>
          <w:szCs w:val="24"/>
        </w:rPr>
        <w:t>t</w:t>
      </w:r>
      <w:r w:rsidR="00C4462E" w:rsidRPr="00877500">
        <w:rPr>
          <w:rFonts w:ascii="Times New Roman" w:hAnsi="Times New Roman" w:cs="Times New Roman"/>
          <w:sz w:val="24"/>
          <w:szCs w:val="24"/>
        </w:rPr>
        <w:lastRenderedPageBreak/>
        <w:t>ently high quality of analytical results, throughout controlling every single step from sa</w:t>
      </w:r>
      <w:r w:rsidR="00C4462E" w:rsidRPr="00877500">
        <w:rPr>
          <w:rFonts w:ascii="Times New Roman" w:hAnsi="Times New Roman" w:cs="Times New Roman"/>
          <w:sz w:val="24"/>
          <w:szCs w:val="24"/>
        </w:rPr>
        <w:t>m</w:t>
      </w:r>
      <w:r w:rsidR="00C4462E" w:rsidRPr="00877500">
        <w:rPr>
          <w:rFonts w:ascii="Times New Roman" w:hAnsi="Times New Roman" w:cs="Times New Roman"/>
          <w:sz w:val="24"/>
          <w:szCs w:val="24"/>
        </w:rPr>
        <w:t>ple receipt at laboratory to final deliverables.</w:t>
      </w:r>
    </w:p>
    <w:p w:rsidR="0091155E" w:rsidRDefault="0091155E" w:rsidP="005A223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46735C" w:rsidRPr="0046735C" w:rsidRDefault="0046735C" w:rsidP="0046735C">
      <w:pPr>
        <w:pStyle w:val="a7"/>
        <w:keepNext/>
        <w:spacing w:line="480" w:lineRule="auto"/>
        <w:rPr>
          <w:rFonts w:hint="eastAsia"/>
        </w:rPr>
      </w:pPr>
      <w:bookmarkStart w:id="0" w:name="_Ref530213445"/>
      <w:r>
        <w:t xml:space="preserve">Table S 1- </w:t>
      </w:r>
      <w:fldSimple w:instr=" SEQ Table_S_1- \* ARABIC ">
        <w:r>
          <w:t>1</w:t>
        </w:r>
      </w:fldSimple>
      <w:bookmarkEnd w:id="0"/>
      <w:r w:rsidRPr="0046735C">
        <w:rPr>
          <w:rFonts w:hint="eastAsia"/>
        </w:rPr>
        <w:t xml:space="preserve"> </w:t>
      </w:r>
      <w:r w:rsidRPr="0046735C">
        <w:t>GC-TOF/MS</w:t>
      </w:r>
      <w:r w:rsidRPr="0046735C">
        <w:rPr>
          <w:rFonts w:hint="eastAsia"/>
        </w:rPr>
        <w:t xml:space="preserve"> setting</w:t>
      </w:r>
    </w:p>
    <w:tbl>
      <w:tblPr>
        <w:tblStyle w:val="a6"/>
        <w:tblW w:w="8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5433"/>
      </w:tblGrid>
      <w:tr w:rsidR="00877500" w:rsidRPr="00877500" w:rsidTr="00877500">
        <w:tc>
          <w:tcPr>
            <w:tcW w:w="8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7500" w:rsidRPr="00877500" w:rsidRDefault="00877500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</w:t>
            </w:r>
          </w:p>
        </w:tc>
      </w:tr>
      <w:tr w:rsidR="009C201C" w:rsidRPr="00877500" w:rsidTr="00877500">
        <w:tc>
          <w:tcPr>
            <w:tcW w:w="2897" w:type="dxa"/>
            <w:tcBorders>
              <w:top w:val="single" w:sz="4" w:space="0" w:color="auto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Column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Rxi-5MS (</w:t>
            </w: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Crossbond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* 5% diphenyl / 95% dimethyl </w:t>
            </w: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po</w:t>
            </w: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l</w:t>
            </w: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ysiloxane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); 30 m × 250μm I.D., 0.25 </w:t>
            </w: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μm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film thickness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Oven Programmed Temp. (</w:t>
            </w:r>
            <w:r w:rsidRPr="00877500">
              <w:rPr>
                <w:rFonts w:ascii="Times New Roman" w:hAnsi="Times New Roman" w:cs="Times New Roman"/>
                <w:sz w:val="22"/>
                <w:szCs w:val="24"/>
              </w:rPr>
              <w:t>℃)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80 (2 min), 80-300 (12 </w:t>
            </w:r>
            <w:r w:rsidRPr="00877500">
              <w:rPr>
                <w:rFonts w:ascii="Times New Roman" w:hAnsi="Times New Roman" w:cs="Times New Roman"/>
                <w:sz w:val="22"/>
                <w:szCs w:val="24"/>
              </w:rPr>
              <w:t>℃/min), 300 (4.5 min), 300-320 (40 ℃/min), 320 (1 min)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Inlet Temp. (</w:t>
            </w:r>
            <w:r w:rsidRPr="00877500">
              <w:rPr>
                <w:rFonts w:ascii="Times New Roman" w:hAnsi="Times New Roman" w:cs="Times New Roman"/>
                <w:sz w:val="22"/>
                <w:szCs w:val="24"/>
              </w:rPr>
              <w:t>℃)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230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Injection Vol. (</w:t>
            </w: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μl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1.0 (</w:t>
            </w: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splitless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)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Carrier Gas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Helium (99.9999%)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Transfer Interface Temp. (</w:t>
            </w:r>
            <w:r w:rsidRPr="00877500">
              <w:rPr>
                <w:rFonts w:ascii="Times New Roman" w:hAnsi="Times New Roman" w:cs="Times New Roman"/>
                <w:sz w:val="22"/>
                <w:szCs w:val="24"/>
              </w:rPr>
              <w:t>℃)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270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single" w:sz="8" w:space="0" w:color="auto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Flow Rate (mL/min)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1.0</w:t>
            </w:r>
          </w:p>
        </w:tc>
      </w:tr>
      <w:tr w:rsidR="00877500" w:rsidRPr="00877500" w:rsidTr="00877500">
        <w:tc>
          <w:tcPr>
            <w:tcW w:w="83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7500" w:rsidRPr="00877500" w:rsidRDefault="00877500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MASS SPECTROMETER</w:t>
            </w:r>
          </w:p>
        </w:tc>
      </w:tr>
      <w:tr w:rsidR="009C201C" w:rsidRPr="00877500" w:rsidTr="00877500">
        <w:tc>
          <w:tcPr>
            <w:tcW w:w="2897" w:type="dxa"/>
            <w:tcBorders>
              <w:top w:val="single" w:sz="4" w:space="0" w:color="auto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Ionization Mode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Electron impact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proofErr w:type="spellStart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Dlectron</w:t>
            </w:r>
            <w:proofErr w:type="spellEnd"/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Energy (EV)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-70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Detector Voltage (v)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-1450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Source Temp. (</w:t>
            </w:r>
            <w:r w:rsidRPr="00877500">
              <w:rPr>
                <w:rFonts w:ascii="Times New Roman" w:hAnsi="Times New Roman" w:cs="Times New Roman"/>
                <w:sz w:val="22"/>
                <w:szCs w:val="24"/>
              </w:rPr>
              <w:t>℃)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220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nil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Acquisition Rate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25 spectra/sec</w:t>
            </w:r>
          </w:p>
        </w:tc>
      </w:tr>
      <w:tr w:rsidR="009C201C" w:rsidRPr="00877500" w:rsidTr="00877500">
        <w:tc>
          <w:tcPr>
            <w:tcW w:w="2897" w:type="dxa"/>
            <w:tcBorders>
              <w:top w:val="nil"/>
              <w:bottom w:val="single" w:sz="8" w:space="0" w:color="auto"/>
              <w:right w:val="nil"/>
            </w:tcBorders>
          </w:tcPr>
          <w:p w:rsidR="009C201C" w:rsidRPr="00877500" w:rsidRDefault="009C201C" w:rsidP="00AB2E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Mass Range (Da)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8" w:space="0" w:color="auto"/>
            </w:tcBorders>
          </w:tcPr>
          <w:p w:rsidR="009C201C" w:rsidRPr="00877500" w:rsidRDefault="009C201C" w:rsidP="0046735C">
            <w:pPr>
              <w:keepNext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77500">
              <w:rPr>
                <w:rFonts w:ascii="Times New Roman" w:hAnsi="Times New Roman" w:cs="Times New Roman"/>
                <w:kern w:val="0"/>
                <w:sz w:val="22"/>
                <w:szCs w:val="24"/>
              </w:rPr>
              <w:t>50-250</w:t>
            </w:r>
          </w:p>
        </w:tc>
      </w:tr>
    </w:tbl>
    <w:p w:rsidR="00C21CC8" w:rsidRDefault="00C21CC8" w:rsidP="009C62C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4462E" w:rsidRDefault="00C4462E" w:rsidP="009C62C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77500">
        <w:rPr>
          <w:rFonts w:ascii="Times New Roman" w:hAnsi="Times New Roman" w:cs="Times New Roman"/>
          <w:sz w:val="24"/>
          <w:szCs w:val="24"/>
        </w:rPr>
        <w:t xml:space="preserve">The raw data generated by GC-TOF/MS were processed using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XploreMET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 xml:space="preserve"> for aut</w:t>
      </w:r>
      <w:r w:rsidRPr="00877500">
        <w:rPr>
          <w:rFonts w:ascii="Times New Roman" w:hAnsi="Times New Roman" w:cs="Times New Roman"/>
          <w:sz w:val="24"/>
          <w:szCs w:val="24"/>
        </w:rPr>
        <w:t>o</w:t>
      </w:r>
      <w:r w:rsidRPr="00877500">
        <w:rPr>
          <w:rFonts w:ascii="Times New Roman" w:hAnsi="Times New Roman" w:cs="Times New Roman"/>
          <w:sz w:val="24"/>
          <w:szCs w:val="24"/>
        </w:rPr>
        <w:t xml:space="preserve">mated baseline </w:t>
      </w:r>
      <w:r w:rsidR="007B3D04" w:rsidRPr="00877500">
        <w:rPr>
          <w:rFonts w:ascii="Times New Roman" w:hAnsi="Times New Roman" w:cs="Times New Roman"/>
          <w:sz w:val="24"/>
          <w:szCs w:val="24"/>
        </w:rPr>
        <w:t>denoting</w:t>
      </w:r>
      <w:r w:rsidRPr="00877500">
        <w:rPr>
          <w:rFonts w:ascii="Times New Roman" w:hAnsi="Times New Roman" w:cs="Times New Roman"/>
          <w:sz w:val="24"/>
          <w:szCs w:val="24"/>
        </w:rPr>
        <w:t xml:space="preserve"> and smoothing, peak picking and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deconvultion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>, creating re</w:t>
      </w:r>
      <w:r w:rsidRPr="00877500">
        <w:rPr>
          <w:rFonts w:ascii="Times New Roman" w:hAnsi="Times New Roman" w:cs="Times New Roman"/>
          <w:sz w:val="24"/>
          <w:szCs w:val="24"/>
        </w:rPr>
        <w:t>f</w:t>
      </w:r>
      <w:r w:rsidRPr="00877500">
        <w:rPr>
          <w:rFonts w:ascii="Times New Roman" w:hAnsi="Times New Roman" w:cs="Times New Roman"/>
          <w:sz w:val="24"/>
          <w:szCs w:val="24"/>
        </w:rPr>
        <w:t>erence database from the pooled QC samples, metabolite signal alignment, missing value correction and imputation, and QC correction. Metabolite annotation was pe</w:t>
      </w:r>
      <w:r w:rsidRPr="00877500">
        <w:rPr>
          <w:rFonts w:ascii="Times New Roman" w:hAnsi="Times New Roman" w:cs="Times New Roman"/>
          <w:sz w:val="24"/>
          <w:szCs w:val="24"/>
        </w:rPr>
        <w:t>r</w:t>
      </w:r>
      <w:r w:rsidRPr="00877500">
        <w:rPr>
          <w:rFonts w:ascii="Times New Roman" w:hAnsi="Times New Roman" w:cs="Times New Roman"/>
          <w:sz w:val="24"/>
          <w:szCs w:val="24"/>
        </w:rPr>
        <w:t>formed by comparing the retention indices and mass spectral data with those prev</w:t>
      </w:r>
      <w:r w:rsidRPr="00877500">
        <w:rPr>
          <w:rFonts w:ascii="Times New Roman" w:hAnsi="Times New Roman" w:cs="Times New Roman"/>
          <w:sz w:val="24"/>
          <w:szCs w:val="24"/>
        </w:rPr>
        <w:t>i</w:t>
      </w:r>
      <w:r w:rsidRPr="00877500">
        <w:rPr>
          <w:rFonts w:ascii="Times New Roman" w:hAnsi="Times New Roman" w:cs="Times New Roman"/>
          <w:sz w:val="24"/>
          <w:szCs w:val="24"/>
        </w:rPr>
        <w:t xml:space="preserve">ously generated from reference standards of known structures with </w:t>
      </w:r>
      <w:proofErr w:type="spellStart"/>
      <w:r w:rsidRPr="00877500">
        <w:rPr>
          <w:rFonts w:ascii="Times New Roman" w:hAnsi="Times New Roman" w:cs="Times New Roman"/>
          <w:sz w:val="24"/>
          <w:szCs w:val="24"/>
        </w:rPr>
        <w:t>XploreMET</w:t>
      </w:r>
      <w:proofErr w:type="spellEnd"/>
      <w:r w:rsidRPr="00877500">
        <w:rPr>
          <w:rFonts w:ascii="Times New Roman" w:hAnsi="Times New Roman" w:cs="Times New Roman"/>
          <w:sz w:val="24"/>
          <w:szCs w:val="24"/>
        </w:rPr>
        <w:t>.</w:t>
      </w:r>
    </w:p>
    <w:p w:rsidR="0091155E" w:rsidRDefault="0091155E" w:rsidP="009C62C7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A223F" w:rsidRPr="0046735C" w:rsidRDefault="005A223F" w:rsidP="0046735C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16"/>
        </w:rPr>
      </w:pPr>
    </w:p>
    <w:sectPr w:rsidR="005A223F" w:rsidRPr="0046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DD" w:rsidRDefault="00237EDD" w:rsidP="00212B67">
      <w:r>
        <w:separator/>
      </w:r>
    </w:p>
  </w:endnote>
  <w:endnote w:type="continuationSeparator" w:id="0">
    <w:p w:rsidR="00237EDD" w:rsidRDefault="00237EDD" w:rsidP="0021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DD" w:rsidRDefault="00237EDD" w:rsidP="00212B67">
      <w:r>
        <w:separator/>
      </w:r>
    </w:p>
  </w:footnote>
  <w:footnote w:type="continuationSeparator" w:id="0">
    <w:p w:rsidR="00237EDD" w:rsidRDefault="00237EDD" w:rsidP="0021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 in Immun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xte2txzxvf9wmetstl5ssa2sxx09f0aawz9&quot;&gt;RGS PAPER&lt;record-ids&gt;&lt;item&gt;760&lt;/item&gt;&lt;/record-ids&gt;&lt;/item&gt;&lt;/Libraries&gt;"/>
  </w:docVars>
  <w:rsids>
    <w:rsidRoot w:val="00585680"/>
    <w:rsid w:val="000657AB"/>
    <w:rsid w:val="001A3C3C"/>
    <w:rsid w:val="00212B67"/>
    <w:rsid w:val="00237EDD"/>
    <w:rsid w:val="002E2CAE"/>
    <w:rsid w:val="003A78D6"/>
    <w:rsid w:val="00416B5C"/>
    <w:rsid w:val="00423972"/>
    <w:rsid w:val="0046735C"/>
    <w:rsid w:val="004E4DBF"/>
    <w:rsid w:val="004F15E7"/>
    <w:rsid w:val="00506019"/>
    <w:rsid w:val="005326F4"/>
    <w:rsid w:val="00585680"/>
    <w:rsid w:val="005A223F"/>
    <w:rsid w:val="0073045C"/>
    <w:rsid w:val="007501F3"/>
    <w:rsid w:val="0075481E"/>
    <w:rsid w:val="00760B4C"/>
    <w:rsid w:val="007869EE"/>
    <w:rsid w:val="007B3D04"/>
    <w:rsid w:val="00877500"/>
    <w:rsid w:val="0091155E"/>
    <w:rsid w:val="00913E04"/>
    <w:rsid w:val="009728AF"/>
    <w:rsid w:val="00986AE6"/>
    <w:rsid w:val="009B1789"/>
    <w:rsid w:val="009C201C"/>
    <w:rsid w:val="009C62C7"/>
    <w:rsid w:val="00A235E8"/>
    <w:rsid w:val="00A85716"/>
    <w:rsid w:val="00AB2EA9"/>
    <w:rsid w:val="00AF2FEA"/>
    <w:rsid w:val="00B63BBF"/>
    <w:rsid w:val="00B65FCC"/>
    <w:rsid w:val="00BB4967"/>
    <w:rsid w:val="00C21CC8"/>
    <w:rsid w:val="00C2386C"/>
    <w:rsid w:val="00C4462E"/>
    <w:rsid w:val="00C54270"/>
    <w:rsid w:val="00C9675E"/>
    <w:rsid w:val="00D4592F"/>
    <w:rsid w:val="00D65577"/>
    <w:rsid w:val="00DF3A18"/>
    <w:rsid w:val="00E32AC5"/>
    <w:rsid w:val="00E45107"/>
    <w:rsid w:val="00E76EE8"/>
    <w:rsid w:val="00E9772D"/>
    <w:rsid w:val="00F52010"/>
    <w:rsid w:val="00F62554"/>
    <w:rsid w:val="00FD536F"/>
    <w:rsid w:val="00FE0BB7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9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39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2B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2B67"/>
    <w:rPr>
      <w:sz w:val="18"/>
      <w:szCs w:val="18"/>
    </w:rPr>
  </w:style>
  <w:style w:type="table" w:styleId="a6">
    <w:name w:val="Table Grid"/>
    <w:basedOn w:val="a1"/>
    <w:uiPriority w:val="59"/>
    <w:rsid w:val="009C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7B3D04"/>
    <w:pPr>
      <w:jc w:val="center"/>
    </w:pPr>
    <w:rPr>
      <w:rFonts w:ascii="Times New Roman" w:eastAsia="Times New Roman" w:hAnsi="Times New Roman" w:cstheme="majorBidi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DF3A1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F3A1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F3A1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F3A1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F3A18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9115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115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1155E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1155E"/>
    <w:rPr>
      <w:rFonts w:ascii="Calibri" w:hAnsi="Calibri" w:cs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39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39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2B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2B67"/>
    <w:rPr>
      <w:sz w:val="18"/>
      <w:szCs w:val="18"/>
    </w:rPr>
  </w:style>
  <w:style w:type="table" w:styleId="a6">
    <w:name w:val="Table Grid"/>
    <w:basedOn w:val="a1"/>
    <w:uiPriority w:val="59"/>
    <w:rsid w:val="009C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7B3D04"/>
    <w:pPr>
      <w:jc w:val="center"/>
    </w:pPr>
    <w:rPr>
      <w:rFonts w:ascii="Times New Roman" w:eastAsia="Times New Roman" w:hAnsi="Times New Roman" w:cstheme="majorBidi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DF3A1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F3A1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F3A1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F3A1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F3A18"/>
    <w:rPr>
      <w:b/>
      <w:bCs/>
    </w:rPr>
  </w:style>
  <w:style w:type="paragraph" w:customStyle="1" w:styleId="EndNoteBibliographyTitle">
    <w:name w:val="EndNote Bibliography Title"/>
    <w:basedOn w:val="a"/>
    <w:link w:val="EndNoteBibliographyTitleChar"/>
    <w:rsid w:val="009115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115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91155E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1155E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苏冀彦</cp:lastModifiedBy>
  <cp:revision>21</cp:revision>
  <dcterms:created xsi:type="dcterms:W3CDTF">2018-05-19T02:37:00Z</dcterms:created>
  <dcterms:modified xsi:type="dcterms:W3CDTF">2018-11-17T02:22:00Z</dcterms:modified>
</cp:coreProperties>
</file>