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50C" w:rsidRPr="00F1550C" w:rsidRDefault="00F1550C" w:rsidP="00F1550C">
      <w:pPr>
        <w:rPr>
          <w:b/>
        </w:rPr>
      </w:pPr>
      <w:r>
        <w:rPr>
          <w:noProof/>
          <w:lang w:eastAsia="en-GB"/>
        </w:rPr>
        <w:drawing>
          <wp:inline distT="0" distB="0" distL="0" distR="0" wp14:anchorId="5598948E" wp14:editId="5987EEDD">
            <wp:extent cx="5739897" cy="69297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Growth Studies.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7608" cy="6951099"/>
                    </a:xfrm>
                    <a:prstGeom prst="rect">
                      <a:avLst/>
                    </a:prstGeom>
                  </pic:spPr>
                </pic:pic>
              </a:graphicData>
            </a:graphic>
          </wp:inline>
        </w:drawing>
      </w:r>
      <w:r w:rsidR="0080601F">
        <w:rPr>
          <w:b/>
        </w:rPr>
        <w:t xml:space="preserve">Supplementary Figure </w:t>
      </w:r>
      <w:r w:rsidR="00610561" w:rsidRPr="00F1550C">
        <w:rPr>
          <w:b/>
        </w:rPr>
        <w:t>1</w:t>
      </w:r>
      <w:r w:rsidR="00610561" w:rsidRPr="00F1550C">
        <w:t xml:space="preserve"> –</w:t>
      </w:r>
      <w:r w:rsidR="00610561" w:rsidRPr="000C0017">
        <w:rPr>
          <w:b/>
        </w:rPr>
        <w:t xml:space="preserve"> </w:t>
      </w:r>
      <w:r w:rsidRPr="00F1550C">
        <w:t>Growth of Thalassolituus oleivorans MIL-1 at 16°C in ONR7a media enriched with aliphatic n-alkanes (</w:t>
      </w:r>
      <w:r w:rsidRPr="00A82F4A">
        <w:rPr>
          <w:i/>
        </w:rPr>
        <w:t>n</w:t>
      </w:r>
      <w:r w:rsidRPr="00F1550C">
        <w:t xml:space="preserve">-C10-decane, </w:t>
      </w:r>
      <w:r w:rsidRPr="00A82F4A">
        <w:rPr>
          <w:i/>
        </w:rPr>
        <w:t>n</w:t>
      </w:r>
      <w:r w:rsidRPr="00F1550C">
        <w:t xml:space="preserve">-C12-dodecane, </w:t>
      </w:r>
      <w:r w:rsidRPr="00A82F4A">
        <w:rPr>
          <w:i/>
        </w:rPr>
        <w:t>n</w:t>
      </w:r>
      <w:r w:rsidRPr="00F1550C">
        <w:t xml:space="preserve">-C16-hexadecane, </w:t>
      </w:r>
      <w:r w:rsidRPr="00A82F4A">
        <w:rPr>
          <w:i/>
        </w:rPr>
        <w:t>n</w:t>
      </w:r>
      <w:r w:rsidRPr="00F1550C">
        <w:t xml:space="preserve">-C20-eicosane, </w:t>
      </w:r>
      <w:r w:rsidRPr="00A82F4A">
        <w:rPr>
          <w:i/>
        </w:rPr>
        <w:t>n</w:t>
      </w:r>
      <w:r w:rsidRPr="00F1550C">
        <w:t xml:space="preserve">-C24-tetracosane, </w:t>
      </w:r>
      <w:r w:rsidRPr="00A82F4A">
        <w:rPr>
          <w:i/>
        </w:rPr>
        <w:t>n</w:t>
      </w:r>
      <w:r w:rsidRPr="00F1550C">
        <w:t xml:space="preserve">-C28-octacosane, n-C32-dotriacontane) or the branched alkane pristane at 0.1% (w/v) (means ± SE; n=3). Gas chromatography-mass spectrometry analysis (GC-MS) analysis revealed significant (P&lt;0.05) alkane degradation in all single substrate microcosms after 21 days compared to the uninoculated control, ranging from 22% for </w:t>
      </w:r>
      <w:r w:rsidRPr="00A82F4A">
        <w:rPr>
          <w:i/>
        </w:rPr>
        <w:t>n</w:t>
      </w:r>
      <w:r w:rsidRPr="00F1550C">
        <w:t xml:space="preserve">-C32 to 76% for </w:t>
      </w:r>
      <w:r w:rsidRPr="00A82F4A">
        <w:rPr>
          <w:i/>
        </w:rPr>
        <w:t>n</w:t>
      </w:r>
      <w:r w:rsidRPr="00F1550C">
        <w:t>-C16.</w:t>
      </w:r>
      <w:r w:rsidRPr="00F1550C">
        <w:rPr>
          <w:b/>
        </w:rPr>
        <w:t xml:space="preserve">  </w:t>
      </w:r>
    </w:p>
    <w:p w:rsidR="00491A7B" w:rsidRDefault="00491A7B" w:rsidP="00491A7B">
      <w:pPr>
        <w:rPr>
          <w:noProof/>
        </w:rPr>
      </w:pPr>
    </w:p>
    <w:p w:rsidR="008306AE" w:rsidRDefault="008306AE" w:rsidP="00491A7B">
      <w:pPr>
        <w:rPr>
          <w:noProof/>
        </w:rPr>
      </w:pPr>
    </w:p>
    <w:p w:rsidR="00491A7B" w:rsidRDefault="00491A7B" w:rsidP="00491A7B">
      <w:pPr>
        <w:jc w:val="center"/>
        <w:rPr>
          <w:noProof/>
        </w:rPr>
      </w:pPr>
      <w:r>
        <w:rPr>
          <w:noProof/>
          <w:lang w:eastAsia="en-GB"/>
        </w:rPr>
        <w:lastRenderedPageBreak/>
        <w:drawing>
          <wp:inline distT="0" distB="0" distL="0" distR="0">
            <wp:extent cx="5731510" cy="4127500"/>
            <wp:effectExtent l="0" t="0" r="254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 S2.emf"/>
                    <pic:cNvPicPr/>
                  </pic:nvPicPr>
                  <pic:blipFill rotWithShape="1">
                    <a:blip r:embed="rId6" cstate="print">
                      <a:extLst>
                        <a:ext uri="{28A0092B-C50C-407E-A947-70E740481C1C}">
                          <a14:useLocalDpi xmlns:a14="http://schemas.microsoft.com/office/drawing/2010/main" val="0"/>
                        </a:ext>
                      </a:extLst>
                    </a:blip>
                    <a:srcRect b="45991"/>
                    <a:stretch/>
                  </pic:blipFill>
                  <pic:spPr bwMode="auto">
                    <a:xfrm>
                      <a:off x="0" y="0"/>
                      <a:ext cx="5731510" cy="4127500"/>
                    </a:xfrm>
                    <a:prstGeom prst="rect">
                      <a:avLst/>
                    </a:prstGeom>
                    <a:ln>
                      <a:noFill/>
                    </a:ln>
                    <a:extLst>
                      <a:ext uri="{53640926-AAD7-44D8-BBD7-CCE9431645EC}">
                        <a14:shadowObscured xmlns:a14="http://schemas.microsoft.com/office/drawing/2010/main"/>
                      </a:ext>
                    </a:extLst>
                  </pic:spPr>
                </pic:pic>
              </a:graphicData>
            </a:graphic>
          </wp:inline>
        </w:drawing>
      </w:r>
    </w:p>
    <w:p w:rsidR="00491A7B" w:rsidRPr="00491A7B" w:rsidRDefault="00F64CAC" w:rsidP="00491A7B">
      <w:r>
        <w:rPr>
          <w:b/>
          <w:noProof/>
        </w:rPr>
        <w:t xml:space="preserve">Supplementary Figure </w:t>
      </w:r>
      <w:r w:rsidR="0087683A">
        <w:rPr>
          <w:b/>
          <w:noProof/>
        </w:rPr>
        <w:t>2</w:t>
      </w:r>
      <w:r>
        <w:rPr>
          <w:noProof/>
        </w:rPr>
        <w:t xml:space="preserve"> - </w:t>
      </w:r>
      <w:r w:rsidR="00491A7B" w:rsidRPr="00491A7B">
        <w:rPr>
          <w:i/>
          <w:iCs/>
        </w:rPr>
        <w:t xml:space="preserve">Thalassolituus oleivorans </w:t>
      </w:r>
      <w:r w:rsidR="00491A7B" w:rsidRPr="00491A7B">
        <w:t>MIL-1 gene TOL_0709 codes for a Baeyer-</w:t>
      </w:r>
      <w:proofErr w:type="spellStart"/>
      <w:r w:rsidR="00491A7B" w:rsidRPr="00491A7B">
        <w:t>Villiger</w:t>
      </w:r>
      <w:proofErr w:type="spellEnd"/>
      <w:r w:rsidR="00491A7B" w:rsidRPr="00491A7B">
        <w:t xml:space="preserve"> mono</w:t>
      </w:r>
      <w:bookmarkStart w:id="0" w:name="_GoBack"/>
      <w:bookmarkEnd w:id="0"/>
      <w:r w:rsidR="000E3DFE">
        <w:t>o</w:t>
      </w:r>
      <w:r w:rsidR="00491A7B" w:rsidRPr="00491A7B">
        <w:t xml:space="preserve">xygenase (BVMO) class enzyme identified by two </w:t>
      </w:r>
      <w:proofErr w:type="spellStart"/>
      <w:r w:rsidR="00491A7B" w:rsidRPr="00491A7B">
        <w:t>Rossmann</w:t>
      </w:r>
      <w:proofErr w:type="spellEnd"/>
      <w:r w:rsidR="00491A7B" w:rsidRPr="00491A7B">
        <w:t xml:space="preserve"> fold motifs (</w:t>
      </w:r>
      <w:proofErr w:type="spellStart"/>
      <w:r w:rsidR="00491A7B" w:rsidRPr="00491A7B">
        <w:t>GxGxx</w:t>
      </w:r>
      <w:proofErr w:type="spellEnd"/>
      <w:r w:rsidR="00491A7B" w:rsidRPr="00491A7B">
        <w:t>[G/A]) flanking two BVMO fingerprint  sequence motifs. Conserved amino acids in the motif are shown with an asterisk *</w:t>
      </w:r>
    </w:p>
    <w:p w:rsidR="00193CE8" w:rsidRPr="00491A7B" w:rsidRDefault="00B03C06" w:rsidP="00491A7B">
      <w:pPr>
        <w:numPr>
          <w:ilvl w:val="0"/>
          <w:numId w:val="1"/>
        </w:numPr>
      </w:pPr>
      <w:r w:rsidRPr="00491A7B">
        <w:t>BVMO Motif 1: [A/</w:t>
      </w:r>
      <w:proofErr w:type="gramStart"/>
      <w:r w:rsidRPr="00491A7B">
        <w:t>G]</w:t>
      </w:r>
      <w:proofErr w:type="spellStart"/>
      <w:r w:rsidRPr="00491A7B">
        <w:t>GxWxxxx</w:t>
      </w:r>
      <w:proofErr w:type="spellEnd"/>
      <w:proofErr w:type="gramEnd"/>
      <w:r w:rsidRPr="00491A7B">
        <w:t>[F/Y]P[G/M]</w:t>
      </w:r>
      <w:proofErr w:type="spellStart"/>
      <w:r w:rsidRPr="00491A7B">
        <w:t>xxxD</w:t>
      </w:r>
      <w:proofErr w:type="spellEnd"/>
      <w:r w:rsidRPr="00491A7B">
        <w:t xml:space="preserve"> </w:t>
      </w:r>
    </w:p>
    <w:p w:rsidR="00193CE8" w:rsidRPr="00491A7B" w:rsidRDefault="00B03C06" w:rsidP="00491A7B">
      <w:pPr>
        <w:numPr>
          <w:ilvl w:val="0"/>
          <w:numId w:val="1"/>
        </w:numPr>
      </w:pPr>
      <w:r w:rsidRPr="00491A7B">
        <w:t xml:space="preserve">BMVO Motif 2: </w:t>
      </w:r>
      <w:proofErr w:type="spellStart"/>
      <w:r w:rsidRPr="00491A7B">
        <w:t>FxGxxxHxxxW</w:t>
      </w:r>
      <w:proofErr w:type="spellEnd"/>
      <w:r w:rsidRPr="00491A7B">
        <w:t>[P/D], although the primary ‘F’ is occasionally substituted with a ‘Y’ mutation as observed here.</w:t>
      </w:r>
    </w:p>
    <w:p w:rsidR="00491A7B" w:rsidRPr="00491A7B" w:rsidRDefault="00491A7B" w:rsidP="00491A7B">
      <w:r w:rsidRPr="00491A7B">
        <w:t xml:space="preserve">Image produced in </w:t>
      </w:r>
      <w:proofErr w:type="spellStart"/>
      <w:proofErr w:type="gramStart"/>
      <w:r w:rsidRPr="00491A7B">
        <w:t>Benchling</w:t>
      </w:r>
      <w:proofErr w:type="spellEnd"/>
      <w:r w:rsidRPr="00491A7B">
        <w:t xml:space="preserve">  (</w:t>
      </w:r>
      <w:proofErr w:type="gramEnd"/>
      <w:r w:rsidRPr="00491A7B">
        <w:t>https://benchling.com/)</w:t>
      </w:r>
    </w:p>
    <w:p w:rsidR="00491A7B" w:rsidRDefault="00491A7B" w:rsidP="00491A7B"/>
    <w:p w:rsidR="00491A7B" w:rsidRDefault="00491A7B" w:rsidP="00491A7B"/>
    <w:p w:rsidR="00491A7B" w:rsidRDefault="00491A7B" w:rsidP="00491A7B"/>
    <w:p w:rsidR="00491A7B" w:rsidRDefault="00491A7B" w:rsidP="00491A7B"/>
    <w:p w:rsidR="00491A7B" w:rsidRDefault="00491A7B" w:rsidP="00491A7B"/>
    <w:p w:rsidR="00B03C06" w:rsidRDefault="00B03C06" w:rsidP="00B03C06">
      <w:pPr>
        <w:jc w:val="center"/>
        <w:rPr>
          <w:b/>
          <w:bCs/>
        </w:rPr>
      </w:pPr>
      <w:r>
        <w:rPr>
          <w:b/>
          <w:bCs/>
          <w:noProof/>
          <w:lang w:eastAsia="en-GB"/>
        </w:rPr>
        <w:lastRenderedPageBreak/>
        <w:drawing>
          <wp:inline distT="0" distB="0" distL="0" distR="0">
            <wp:extent cx="4588137" cy="4798583"/>
            <wp:effectExtent l="0" t="0" r="317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 S3.emf"/>
                    <pic:cNvPicPr/>
                  </pic:nvPicPr>
                  <pic:blipFill rotWithShape="1">
                    <a:blip r:embed="rId7" cstate="print">
                      <a:extLst>
                        <a:ext uri="{28A0092B-C50C-407E-A947-70E740481C1C}">
                          <a14:useLocalDpi xmlns:a14="http://schemas.microsoft.com/office/drawing/2010/main" val="0"/>
                        </a:ext>
                      </a:extLst>
                    </a:blip>
                    <a:srcRect b="21562"/>
                    <a:stretch/>
                  </pic:blipFill>
                  <pic:spPr bwMode="auto">
                    <a:xfrm>
                      <a:off x="0" y="0"/>
                      <a:ext cx="4603793" cy="4814957"/>
                    </a:xfrm>
                    <a:prstGeom prst="rect">
                      <a:avLst/>
                    </a:prstGeom>
                    <a:ln>
                      <a:noFill/>
                    </a:ln>
                    <a:extLst>
                      <a:ext uri="{53640926-AAD7-44D8-BBD7-CCE9431645EC}">
                        <a14:shadowObscured xmlns:a14="http://schemas.microsoft.com/office/drawing/2010/main"/>
                      </a:ext>
                    </a:extLst>
                  </pic:spPr>
                </pic:pic>
              </a:graphicData>
            </a:graphic>
          </wp:inline>
        </w:drawing>
      </w:r>
    </w:p>
    <w:p w:rsidR="00B03C06" w:rsidRDefault="00B03C06" w:rsidP="00B03C06">
      <w:pPr>
        <w:rPr>
          <w:b/>
          <w:bCs/>
        </w:rPr>
      </w:pPr>
    </w:p>
    <w:p w:rsidR="00B03C06" w:rsidRPr="00B03C06" w:rsidRDefault="00F64CAC" w:rsidP="00B03C06">
      <w:r>
        <w:rPr>
          <w:b/>
          <w:noProof/>
        </w:rPr>
        <w:t xml:space="preserve">Supplementary Figure </w:t>
      </w:r>
      <w:r w:rsidR="0087683A">
        <w:rPr>
          <w:b/>
          <w:noProof/>
        </w:rPr>
        <w:t>3</w:t>
      </w:r>
      <w:r>
        <w:rPr>
          <w:b/>
          <w:bCs/>
        </w:rPr>
        <w:t xml:space="preserve"> </w:t>
      </w:r>
      <w:r w:rsidRPr="00F64CAC">
        <w:rPr>
          <w:bCs/>
        </w:rPr>
        <w:t>-</w:t>
      </w:r>
      <w:r w:rsidR="00B03C06" w:rsidRPr="00B03C06">
        <w:rPr>
          <w:b/>
          <w:bCs/>
        </w:rPr>
        <w:t xml:space="preserve"> </w:t>
      </w:r>
      <w:r w:rsidR="00B03C06" w:rsidRPr="00B03C06">
        <w:t>Phylogenetic tree of class B flavoproteins.</w:t>
      </w:r>
      <w:r w:rsidR="00B03C06" w:rsidRPr="00B03C06">
        <w:rPr>
          <w:b/>
          <w:bCs/>
        </w:rPr>
        <w:t xml:space="preserve"> </w:t>
      </w:r>
      <w:r w:rsidR="00B03C06" w:rsidRPr="00B03C06">
        <w:rPr>
          <w:i/>
          <w:iCs/>
        </w:rPr>
        <w:t xml:space="preserve">Thalassolituus oleivorans </w:t>
      </w:r>
      <w:r w:rsidR="00B03C06" w:rsidRPr="00B03C06">
        <w:t>TOL_0709 (top of tree) groups within the BVMOs (Baeyer-</w:t>
      </w:r>
      <w:proofErr w:type="spellStart"/>
      <w:r w:rsidR="00B03C06" w:rsidRPr="00B03C06">
        <w:t>Villiger</w:t>
      </w:r>
      <w:proofErr w:type="spellEnd"/>
      <w:r w:rsidR="00B03C06" w:rsidRPr="00B03C06">
        <w:t xml:space="preserve"> Monooxygenases; Black). Also shown are Type 1 (Red) and Type II (Blue) FMOs (Flavin monooxygenases) and NMOs (</w:t>
      </w:r>
      <w:r w:rsidR="00B03C06" w:rsidRPr="00B03C06">
        <w:rPr>
          <w:i/>
          <w:iCs/>
        </w:rPr>
        <w:t>N</w:t>
      </w:r>
      <w:r w:rsidR="00B03C06" w:rsidRPr="00B03C06">
        <w:t xml:space="preserve">-hydroxylating monooxygenases; Green). </w:t>
      </w:r>
      <w:r w:rsidR="00D94751">
        <w:t xml:space="preserve">Similar </w:t>
      </w:r>
      <w:r w:rsidR="00B03C06" w:rsidRPr="00B03C06">
        <w:t xml:space="preserve">BVMOs </w:t>
      </w:r>
      <w:r w:rsidR="00D94751">
        <w:t xml:space="preserve">identified </w:t>
      </w:r>
      <w:r w:rsidR="00B03C06" w:rsidRPr="00B03C06">
        <w:t>from two other marine obligate hydrocarbonoclastic bacteria are also shown (</w:t>
      </w:r>
      <w:r w:rsidR="00B03C06" w:rsidRPr="00B03C06">
        <w:rPr>
          <w:i/>
          <w:iCs/>
        </w:rPr>
        <w:t>Oleispira</w:t>
      </w:r>
      <w:r w:rsidR="00B03C06" w:rsidRPr="00B03C06">
        <w:t xml:space="preserve"> &amp; </w:t>
      </w:r>
      <w:proofErr w:type="spellStart"/>
      <w:r w:rsidR="00B03C06" w:rsidRPr="00B03C06">
        <w:rPr>
          <w:i/>
          <w:iCs/>
        </w:rPr>
        <w:t>Oleibacter</w:t>
      </w:r>
      <w:proofErr w:type="spellEnd"/>
      <w:r w:rsidR="00B03C06" w:rsidRPr="00B03C06">
        <w:t xml:space="preserve"> species in bold). Other sequences obtained from </w:t>
      </w:r>
      <w:r w:rsidR="00D94751">
        <w:t xml:space="preserve">the phylogenetic tree in </w:t>
      </w:r>
      <w:proofErr w:type="spellStart"/>
      <w:r w:rsidR="00B03C06" w:rsidRPr="00B03C06">
        <w:t>Riebel</w:t>
      </w:r>
      <w:proofErr w:type="spellEnd"/>
      <w:r w:rsidR="00B03C06" w:rsidRPr="00B03C06">
        <w:t xml:space="preserve"> </w:t>
      </w:r>
      <w:r w:rsidR="00B03C06" w:rsidRPr="00B03C06">
        <w:rPr>
          <w:i/>
          <w:iCs/>
        </w:rPr>
        <w:t>et al</w:t>
      </w:r>
      <w:r w:rsidR="00B03C06" w:rsidRPr="00B03C06">
        <w:t>. (2013). The evolutionary history was inferred using the Neighbour-Joining method [1]. The optimal tree with the sum of branch length = 1919 is shown. The tree is drawn to scale, with branch lengths in the same units as those of the evolutionary distances used to infer the phylogenetic tree. The evolutionary distances were computed using the number of differences method [2] and are in the units of the number of amino acid differences per sequence. Evolutionary analyses were conducted in MEGA6 [3].</w:t>
      </w:r>
    </w:p>
    <w:p w:rsidR="00B03C06" w:rsidRPr="00B03C06" w:rsidRDefault="00B03C06" w:rsidP="00B03C06">
      <w:r w:rsidRPr="00B03C06">
        <w:br/>
        <w:t xml:space="preserve">1. Saitou N. and </w:t>
      </w:r>
      <w:proofErr w:type="spellStart"/>
      <w:r w:rsidRPr="00B03C06">
        <w:t>Nei</w:t>
      </w:r>
      <w:proofErr w:type="spellEnd"/>
      <w:r w:rsidRPr="00B03C06">
        <w:t xml:space="preserve"> M. (</w:t>
      </w:r>
      <w:r w:rsidRPr="00B03C06">
        <w:rPr>
          <w:b/>
          <w:bCs/>
        </w:rPr>
        <w:t>1987</w:t>
      </w:r>
      <w:r w:rsidRPr="00B03C06">
        <w:t xml:space="preserve">). The </w:t>
      </w:r>
      <w:proofErr w:type="spellStart"/>
      <w:r w:rsidRPr="00B03C06">
        <w:t>neighbor</w:t>
      </w:r>
      <w:proofErr w:type="spellEnd"/>
      <w:r w:rsidRPr="00B03C06">
        <w:t>-joining method: A new method for reconstructing phylogenetic trees. </w:t>
      </w:r>
      <w:r w:rsidRPr="00B03C06">
        <w:rPr>
          <w:i/>
          <w:iCs/>
        </w:rPr>
        <w:t>Molecular Biology and Evolution</w:t>
      </w:r>
      <w:r w:rsidRPr="00B03C06">
        <w:t> </w:t>
      </w:r>
      <w:r w:rsidRPr="00B03C06">
        <w:rPr>
          <w:b/>
          <w:bCs/>
        </w:rPr>
        <w:t>4</w:t>
      </w:r>
      <w:r w:rsidRPr="00B03C06">
        <w:t>:406-425.</w:t>
      </w:r>
    </w:p>
    <w:p w:rsidR="00B03C06" w:rsidRPr="00B03C06" w:rsidRDefault="00B03C06" w:rsidP="00B03C06">
      <w:r w:rsidRPr="00B03C06">
        <w:t xml:space="preserve">2. </w:t>
      </w:r>
      <w:proofErr w:type="spellStart"/>
      <w:r w:rsidRPr="00B03C06">
        <w:t>Nei</w:t>
      </w:r>
      <w:proofErr w:type="spellEnd"/>
      <w:r w:rsidRPr="00B03C06">
        <w:t xml:space="preserve"> M. and Kumar S. (</w:t>
      </w:r>
      <w:r w:rsidRPr="00B03C06">
        <w:rPr>
          <w:b/>
          <w:bCs/>
        </w:rPr>
        <w:t>2000</w:t>
      </w:r>
      <w:r w:rsidRPr="00B03C06">
        <w:t>). </w:t>
      </w:r>
      <w:r w:rsidRPr="00B03C06">
        <w:rPr>
          <w:i/>
          <w:iCs/>
        </w:rPr>
        <w:t>Molecular Evolution and Phylogenetics</w:t>
      </w:r>
      <w:r w:rsidRPr="00B03C06">
        <w:t>. Oxford University Press, New York.</w:t>
      </w:r>
    </w:p>
    <w:p w:rsidR="00B03C06" w:rsidRPr="00B03C06" w:rsidRDefault="00B03C06" w:rsidP="00B03C06">
      <w:r w:rsidRPr="00B03C06">
        <w:t xml:space="preserve">3. Tamura K., </w:t>
      </w:r>
      <w:proofErr w:type="spellStart"/>
      <w:r w:rsidRPr="00B03C06">
        <w:t>Stecher</w:t>
      </w:r>
      <w:proofErr w:type="spellEnd"/>
      <w:r w:rsidRPr="00B03C06">
        <w:t xml:space="preserve"> G., Peterson D., </w:t>
      </w:r>
      <w:proofErr w:type="spellStart"/>
      <w:r w:rsidRPr="00B03C06">
        <w:t>Filipski</w:t>
      </w:r>
      <w:proofErr w:type="spellEnd"/>
      <w:r w:rsidRPr="00B03C06">
        <w:t xml:space="preserve"> A., and Kumar S. (</w:t>
      </w:r>
      <w:r w:rsidRPr="00B03C06">
        <w:rPr>
          <w:b/>
          <w:bCs/>
        </w:rPr>
        <w:t>2013</w:t>
      </w:r>
      <w:r w:rsidRPr="00B03C06">
        <w:t>). MEGA6: Molecular Evolutionary Genetics Analysis version 6.0. </w:t>
      </w:r>
      <w:r w:rsidRPr="00B03C06">
        <w:rPr>
          <w:i/>
          <w:iCs/>
        </w:rPr>
        <w:t>Molecular Biology and Evolution</w:t>
      </w:r>
      <w:r w:rsidRPr="00B03C06">
        <w:t>30: 2725-2729.</w:t>
      </w:r>
    </w:p>
    <w:p w:rsidR="00B03C06" w:rsidRDefault="00B03C06" w:rsidP="00B03C06">
      <w:pPr>
        <w:rPr>
          <w:b/>
          <w:bCs/>
        </w:rPr>
      </w:pPr>
      <w:r>
        <w:rPr>
          <w:b/>
          <w:bCs/>
          <w:noProof/>
          <w:lang w:eastAsia="en-GB"/>
        </w:rPr>
        <w:lastRenderedPageBreak/>
        <w:drawing>
          <wp:inline distT="0" distB="0" distL="0" distR="0">
            <wp:extent cx="5731510" cy="53721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upporting Infomation Fig. S4.emf"/>
                    <pic:cNvPicPr/>
                  </pic:nvPicPr>
                  <pic:blipFill rotWithShape="1">
                    <a:blip r:embed="rId8" cstate="print">
                      <a:extLst>
                        <a:ext uri="{28A0092B-C50C-407E-A947-70E740481C1C}">
                          <a14:useLocalDpi xmlns:a14="http://schemas.microsoft.com/office/drawing/2010/main" val="0"/>
                        </a:ext>
                      </a:extLst>
                    </a:blip>
                    <a:srcRect b="29705"/>
                    <a:stretch/>
                  </pic:blipFill>
                  <pic:spPr bwMode="auto">
                    <a:xfrm>
                      <a:off x="0" y="0"/>
                      <a:ext cx="5731510" cy="5372100"/>
                    </a:xfrm>
                    <a:prstGeom prst="rect">
                      <a:avLst/>
                    </a:prstGeom>
                    <a:ln>
                      <a:noFill/>
                    </a:ln>
                    <a:extLst>
                      <a:ext uri="{53640926-AAD7-44D8-BBD7-CCE9431645EC}">
                        <a14:shadowObscured xmlns:a14="http://schemas.microsoft.com/office/drawing/2010/main"/>
                      </a:ext>
                    </a:extLst>
                  </pic:spPr>
                </pic:pic>
              </a:graphicData>
            </a:graphic>
          </wp:inline>
        </w:drawing>
      </w:r>
    </w:p>
    <w:p w:rsidR="00B03C06" w:rsidRPr="00B03C06" w:rsidRDefault="00F64CAC" w:rsidP="00B03C06">
      <w:r>
        <w:rPr>
          <w:b/>
          <w:noProof/>
        </w:rPr>
        <w:t xml:space="preserve">Supplementary Figure </w:t>
      </w:r>
      <w:r w:rsidR="0087683A">
        <w:rPr>
          <w:b/>
          <w:noProof/>
        </w:rPr>
        <w:t>4</w:t>
      </w:r>
      <w:r>
        <w:rPr>
          <w:b/>
          <w:noProof/>
        </w:rPr>
        <w:t xml:space="preserve"> </w:t>
      </w:r>
      <w:r w:rsidRPr="00F64CAC">
        <w:rPr>
          <w:noProof/>
        </w:rPr>
        <w:t>-</w:t>
      </w:r>
      <w:r>
        <w:rPr>
          <w:b/>
          <w:noProof/>
        </w:rPr>
        <w:t xml:space="preserve"> </w:t>
      </w:r>
      <w:r w:rsidR="00B03C06" w:rsidRPr="00B03C06">
        <w:t xml:space="preserve">Phylogenetic analysis of </w:t>
      </w:r>
      <w:proofErr w:type="spellStart"/>
      <w:r w:rsidR="00B03C06" w:rsidRPr="00B03C06">
        <w:t>Etha</w:t>
      </w:r>
      <w:proofErr w:type="spellEnd"/>
      <w:r w:rsidR="00B03C06" w:rsidRPr="00B03C06">
        <w:t xml:space="preserve"> and AlmA proteins. </w:t>
      </w:r>
      <w:r w:rsidR="001C2CE7" w:rsidRPr="00B03C06">
        <w:t>TOL_0709 long- chain alkane BMVO protein f</w:t>
      </w:r>
      <w:r w:rsidR="001C2CE7">
        <w:t xml:space="preserve">rom this study is shown in bold and clusters with </w:t>
      </w:r>
      <w:proofErr w:type="spellStart"/>
      <w:r w:rsidR="001C2CE7">
        <w:t>EthA</w:t>
      </w:r>
      <w:proofErr w:type="spellEnd"/>
      <w:r w:rsidR="001C2CE7">
        <w:t xml:space="preserve"> type </w:t>
      </w:r>
      <w:proofErr w:type="spellStart"/>
      <w:r w:rsidR="001C2CE7">
        <w:t>monoxygenases</w:t>
      </w:r>
      <w:proofErr w:type="spellEnd"/>
      <w:r w:rsidR="001C2CE7">
        <w:t xml:space="preserve">. </w:t>
      </w:r>
      <w:r w:rsidR="00B03C06" w:rsidRPr="00B03C06">
        <w:t xml:space="preserve">The evolutionary history was inferred by using the Maximum Likelihood method based on the Le_Gascuel_2008 model [1]. The tree with the highest log likelihood (-15746.0620) is shown. The percentage of trees in which the associated taxa clustered together is shown next to the branches. Initial tree(s) for the heuristic search were obtained automatically by applying </w:t>
      </w:r>
      <w:proofErr w:type="spellStart"/>
      <w:r w:rsidR="00B03C06" w:rsidRPr="00B03C06">
        <w:t>Neighbor</w:t>
      </w:r>
      <w:proofErr w:type="spellEnd"/>
      <w:r w:rsidR="00B03C06" w:rsidRPr="00B03C06">
        <w:t xml:space="preserve">-Join and </w:t>
      </w:r>
      <w:proofErr w:type="spellStart"/>
      <w:r w:rsidR="00B03C06" w:rsidRPr="00B03C06">
        <w:t>BioNJ</w:t>
      </w:r>
      <w:proofErr w:type="spellEnd"/>
      <w:r w:rsidR="00B03C06" w:rsidRPr="00B03C06">
        <w:t xml:space="preserve"> algorithms to a matrix of pairwise distances estimated using a JTT model, and then selecting the topology with superior log likelihood value. A discrete Gamma distribution was used to model evolutionary rate differences among sites (5 categories (+</w:t>
      </w:r>
      <w:r w:rsidR="00B03C06" w:rsidRPr="00B03C06">
        <w:rPr>
          <w:i/>
          <w:iCs/>
        </w:rPr>
        <w:t>G</w:t>
      </w:r>
      <w:r w:rsidR="00B03C06" w:rsidRPr="00B03C06">
        <w:t xml:space="preserve">, parameter = 0.8403)). The tree is drawn to scale, with branch lengths measured in the number of substitutions per site. There </w:t>
      </w:r>
      <w:proofErr w:type="gramStart"/>
      <w:r w:rsidR="00B03C06" w:rsidRPr="00B03C06">
        <w:t>were</w:t>
      </w:r>
      <w:proofErr w:type="gramEnd"/>
      <w:r w:rsidR="00B03C06" w:rsidRPr="00B03C06">
        <w:t xml:space="preserve"> a total of 342 positions in the final dataset. Evolutionary analyses were conducted in MEGA6 [2]. </w:t>
      </w:r>
    </w:p>
    <w:p w:rsidR="00B03C06" w:rsidRPr="00B03C06" w:rsidRDefault="00B03C06" w:rsidP="00B03C06">
      <w:r w:rsidRPr="00B03C06">
        <w:t xml:space="preserve">1. Le S.Q. and </w:t>
      </w:r>
      <w:proofErr w:type="spellStart"/>
      <w:r w:rsidRPr="00B03C06">
        <w:t>Gascuel</w:t>
      </w:r>
      <w:proofErr w:type="spellEnd"/>
      <w:r w:rsidRPr="00B03C06">
        <w:t xml:space="preserve"> O. (</w:t>
      </w:r>
      <w:r w:rsidRPr="00B03C06">
        <w:rPr>
          <w:b/>
          <w:bCs/>
        </w:rPr>
        <w:t>1993</w:t>
      </w:r>
      <w:r w:rsidRPr="00B03C06">
        <w:t>). An Improved General Amino Acid Replacement Matrix. </w:t>
      </w:r>
      <w:proofErr w:type="spellStart"/>
      <w:r w:rsidRPr="00B03C06">
        <w:rPr>
          <w:i/>
          <w:iCs/>
        </w:rPr>
        <w:t>Mol</w:t>
      </w:r>
      <w:proofErr w:type="spellEnd"/>
      <w:r w:rsidRPr="00B03C06">
        <w:rPr>
          <w:i/>
          <w:iCs/>
        </w:rPr>
        <w:t xml:space="preserve"> </w:t>
      </w:r>
      <w:proofErr w:type="spellStart"/>
      <w:r w:rsidRPr="00B03C06">
        <w:rPr>
          <w:i/>
          <w:iCs/>
        </w:rPr>
        <w:t>Biol</w:t>
      </w:r>
      <w:proofErr w:type="spellEnd"/>
      <w:r w:rsidRPr="00B03C06">
        <w:rPr>
          <w:i/>
          <w:iCs/>
        </w:rPr>
        <w:t xml:space="preserve"> </w:t>
      </w:r>
      <w:proofErr w:type="spellStart"/>
      <w:r w:rsidRPr="00B03C06">
        <w:rPr>
          <w:i/>
          <w:iCs/>
        </w:rPr>
        <w:t>Evol</w:t>
      </w:r>
      <w:proofErr w:type="spellEnd"/>
      <w:r w:rsidRPr="00B03C06">
        <w:t> </w:t>
      </w:r>
      <w:r w:rsidRPr="00B03C06">
        <w:rPr>
          <w:b/>
          <w:bCs/>
        </w:rPr>
        <w:t>25(7)</w:t>
      </w:r>
      <w:r w:rsidRPr="00B03C06">
        <w:t>:1307-1320.</w:t>
      </w:r>
    </w:p>
    <w:p w:rsidR="00491A7B" w:rsidRDefault="00B03C06" w:rsidP="00491A7B">
      <w:r w:rsidRPr="00B03C06">
        <w:t xml:space="preserve">2. Tamura K., </w:t>
      </w:r>
      <w:proofErr w:type="spellStart"/>
      <w:r w:rsidRPr="00B03C06">
        <w:t>Stecher</w:t>
      </w:r>
      <w:proofErr w:type="spellEnd"/>
      <w:r w:rsidRPr="00B03C06">
        <w:t xml:space="preserve"> G., Peterson D., </w:t>
      </w:r>
      <w:proofErr w:type="spellStart"/>
      <w:r w:rsidRPr="00B03C06">
        <w:t>Filipski</w:t>
      </w:r>
      <w:proofErr w:type="spellEnd"/>
      <w:r w:rsidRPr="00B03C06">
        <w:t xml:space="preserve"> A., and Kumar S. (</w:t>
      </w:r>
      <w:r w:rsidRPr="00B03C06">
        <w:rPr>
          <w:b/>
          <w:bCs/>
        </w:rPr>
        <w:t>2013</w:t>
      </w:r>
      <w:r w:rsidRPr="00B03C06">
        <w:t>). MEGA6: Molecular Evolutionary Genetics Analysis version 6.0. </w:t>
      </w:r>
      <w:r w:rsidRPr="00B03C06">
        <w:rPr>
          <w:i/>
          <w:iCs/>
        </w:rPr>
        <w:t>Molecular Biology and Evolution</w:t>
      </w:r>
      <w:r w:rsidRPr="00B03C06">
        <w:t>30: 2725-2729.</w:t>
      </w:r>
    </w:p>
    <w:sectPr w:rsidR="00491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50740"/>
    <w:multiLevelType w:val="hybridMultilevel"/>
    <w:tmpl w:val="8C02AA86"/>
    <w:lvl w:ilvl="0" w:tplc="646CFA5C">
      <w:start w:val="1"/>
      <w:numFmt w:val="bullet"/>
      <w:lvlText w:val=""/>
      <w:lvlJc w:val="left"/>
      <w:pPr>
        <w:tabs>
          <w:tab w:val="num" w:pos="720"/>
        </w:tabs>
        <w:ind w:left="720" w:hanging="360"/>
      </w:pPr>
      <w:rPr>
        <w:rFonts w:ascii="Wingdings" w:hAnsi="Wingdings" w:hint="default"/>
      </w:rPr>
    </w:lvl>
    <w:lvl w:ilvl="1" w:tplc="3F948478" w:tentative="1">
      <w:start w:val="1"/>
      <w:numFmt w:val="bullet"/>
      <w:lvlText w:val=""/>
      <w:lvlJc w:val="left"/>
      <w:pPr>
        <w:tabs>
          <w:tab w:val="num" w:pos="1440"/>
        </w:tabs>
        <w:ind w:left="1440" w:hanging="360"/>
      </w:pPr>
      <w:rPr>
        <w:rFonts w:ascii="Wingdings" w:hAnsi="Wingdings" w:hint="default"/>
      </w:rPr>
    </w:lvl>
    <w:lvl w:ilvl="2" w:tplc="8FA8C9AA" w:tentative="1">
      <w:start w:val="1"/>
      <w:numFmt w:val="bullet"/>
      <w:lvlText w:val=""/>
      <w:lvlJc w:val="left"/>
      <w:pPr>
        <w:tabs>
          <w:tab w:val="num" w:pos="2160"/>
        </w:tabs>
        <w:ind w:left="2160" w:hanging="360"/>
      </w:pPr>
      <w:rPr>
        <w:rFonts w:ascii="Wingdings" w:hAnsi="Wingdings" w:hint="default"/>
      </w:rPr>
    </w:lvl>
    <w:lvl w:ilvl="3" w:tplc="38604818" w:tentative="1">
      <w:start w:val="1"/>
      <w:numFmt w:val="bullet"/>
      <w:lvlText w:val=""/>
      <w:lvlJc w:val="left"/>
      <w:pPr>
        <w:tabs>
          <w:tab w:val="num" w:pos="2880"/>
        </w:tabs>
        <w:ind w:left="2880" w:hanging="360"/>
      </w:pPr>
      <w:rPr>
        <w:rFonts w:ascii="Wingdings" w:hAnsi="Wingdings" w:hint="default"/>
      </w:rPr>
    </w:lvl>
    <w:lvl w:ilvl="4" w:tplc="136ECA92" w:tentative="1">
      <w:start w:val="1"/>
      <w:numFmt w:val="bullet"/>
      <w:lvlText w:val=""/>
      <w:lvlJc w:val="left"/>
      <w:pPr>
        <w:tabs>
          <w:tab w:val="num" w:pos="3600"/>
        </w:tabs>
        <w:ind w:left="3600" w:hanging="360"/>
      </w:pPr>
      <w:rPr>
        <w:rFonts w:ascii="Wingdings" w:hAnsi="Wingdings" w:hint="default"/>
      </w:rPr>
    </w:lvl>
    <w:lvl w:ilvl="5" w:tplc="01A21FC4" w:tentative="1">
      <w:start w:val="1"/>
      <w:numFmt w:val="bullet"/>
      <w:lvlText w:val=""/>
      <w:lvlJc w:val="left"/>
      <w:pPr>
        <w:tabs>
          <w:tab w:val="num" w:pos="4320"/>
        </w:tabs>
        <w:ind w:left="4320" w:hanging="360"/>
      </w:pPr>
      <w:rPr>
        <w:rFonts w:ascii="Wingdings" w:hAnsi="Wingdings" w:hint="default"/>
      </w:rPr>
    </w:lvl>
    <w:lvl w:ilvl="6" w:tplc="15EC59DA" w:tentative="1">
      <w:start w:val="1"/>
      <w:numFmt w:val="bullet"/>
      <w:lvlText w:val=""/>
      <w:lvlJc w:val="left"/>
      <w:pPr>
        <w:tabs>
          <w:tab w:val="num" w:pos="5040"/>
        </w:tabs>
        <w:ind w:left="5040" w:hanging="360"/>
      </w:pPr>
      <w:rPr>
        <w:rFonts w:ascii="Wingdings" w:hAnsi="Wingdings" w:hint="default"/>
      </w:rPr>
    </w:lvl>
    <w:lvl w:ilvl="7" w:tplc="981AC37E" w:tentative="1">
      <w:start w:val="1"/>
      <w:numFmt w:val="bullet"/>
      <w:lvlText w:val=""/>
      <w:lvlJc w:val="left"/>
      <w:pPr>
        <w:tabs>
          <w:tab w:val="num" w:pos="5760"/>
        </w:tabs>
        <w:ind w:left="5760" w:hanging="360"/>
      </w:pPr>
      <w:rPr>
        <w:rFonts w:ascii="Wingdings" w:hAnsi="Wingdings" w:hint="default"/>
      </w:rPr>
    </w:lvl>
    <w:lvl w:ilvl="8" w:tplc="6586595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1C"/>
    <w:rsid w:val="000E3DFE"/>
    <w:rsid w:val="00193CE8"/>
    <w:rsid w:val="001A47CE"/>
    <w:rsid w:val="001C2CE7"/>
    <w:rsid w:val="00224E7A"/>
    <w:rsid w:val="00291F9D"/>
    <w:rsid w:val="00491A7B"/>
    <w:rsid w:val="004C42B3"/>
    <w:rsid w:val="00610561"/>
    <w:rsid w:val="0067750E"/>
    <w:rsid w:val="0080601F"/>
    <w:rsid w:val="008306AE"/>
    <w:rsid w:val="00835865"/>
    <w:rsid w:val="0087683A"/>
    <w:rsid w:val="00A82F4A"/>
    <w:rsid w:val="00AB40E2"/>
    <w:rsid w:val="00B03C06"/>
    <w:rsid w:val="00BF04BD"/>
    <w:rsid w:val="00D94751"/>
    <w:rsid w:val="00EA4A81"/>
    <w:rsid w:val="00ED2D1C"/>
    <w:rsid w:val="00F1550C"/>
    <w:rsid w:val="00F555D5"/>
    <w:rsid w:val="00F6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7A6B"/>
  <w15:docId w15:val="{5ED4EE75-9439-441C-9607-83BBAAAC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7A"/>
    <w:rPr>
      <w:rFonts w:ascii="Tahoma" w:hAnsi="Tahoma" w:cs="Tahoma"/>
      <w:sz w:val="16"/>
      <w:szCs w:val="16"/>
    </w:rPr>
  </w:style>
  <w:style w:type="character" w:styleId="CommentReference">
    <w:name w:val="annotation reference"/>
    <w:basedOn w:val="DefaultParagraphFont"/>
    <w:uiPriority w:val="99"/>
    <w:semiHidden/>
    <w:unhideWhenUsed/>
    <w:rsid w:val="001C2CE7"/>
    <w:rPr>
      <w:sz w:val="16"/>
      <w:szCs w:val="16"/>
    </w:rPr>
  </w:style>
  <w:style w:type="paragraph" w:styleId="CommentText">
    <w:name w:val="annotation text"/>
    <w:basedOn w:val="Normal"/>
    <w:link w:val="CommentTextChar"/>
    <w:uiPriority w:val="99"/>
    <w:semiHidden/>
    <w:unhideWhenUsed/>
    <w:rsid w:val="001C2CE7"/>
    <w:pPr>
      <w:spacing w:line="240" w:lineRule="auto"/>
    </w:pPr>
    <w:rPr>
      <w:sz w:val="20"/>
      <w:szCs w:val="20"/>
    </w:rPr>
  </w:style>
  <w:style w:type="character" w:customStyle="1" w:styleId="CommentTextChar">
    <w:name w:val="Comment Text Char"/>
    <w:basedOn w:val="DefaultParagraphFont"/>
    <w:link w:val="CommentText"/>
    <w:uiPriority w:val="99"/>
    <w:semiHidden/>
    <w:rsid w:val="001C2CE7"/>
    <w:rPr>
      <w:sz w:val="20"/>
      <w:szCs w:val="20"/>
    </w:rPr>
  </w:style>
  <w:style w:type="paragraph" w:styleId="CommentSubject">
    <w:name w:val="annotation subject"/>
    <w:basedOn w:val="CommentText"/>
    <w:next w:val="CommentText"/>
    <w:link w:val="CommentSubjectChar"/>
    <w:uiPriority w:val="99"/>
    <w:semiHidden/>
    <w:unhideWhenUsed/>
    <w:rsid w:val="001C2CE7"/>
    <w:rPr>
      <w:b/>
      <w:bCs/>
    </w:rPr>
  </w:style>
  <w:style w:type="character" w:customStyle="1" w:styleId="CommentSubjectChar">
    <w:name w:val="Comment Subject Char"/>
    <w:basedOn w:val="CommentTextChar"/>
    <w:link w:val="CommentSubject"/>
    <w:uiPriority w:val="99"/>
    <w:semiHidden/>
    <w:rsid w:val="001C2C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187173">
      <w:bodyDiv w:val="1"/>
      <w:marLeft w:val="0"/>
      <w:marRight w:val="0"/>
      <w:marTop w:val="0"/>
      <w:marBottom w:val="0"/>
      <w:divBdr>
        <w:top w:val="none" w:sz="0" w:space="0" w:color="auto"/>
        <w:left w:val="none" w:sz="0" w:space="0" w:color="auto"/>
        <w:bottom w:val="none" w:sz="0" w:space="0" w:color="auto"/>
        <w:right w:val="none" w:sz="0" w:space="0" w:color="auto"/>
      </w:divBdr>
      <w:divsChild>
        <w:div w:id="613637633">
          <w:marLeft w:val="274"/>
          <w:marRight w:val="0"/>
          <w:marTop w:val="0"/>
          <w:marBottom w:val="0"/>
          <w:divBdr>
            <w:top w:val="none" w:sz="0" w:space="0" w:color="auto"/>
            <w:left w:val="none" w:sz="0" w:space="0" w:color="auto"/>
            <w:bottom w:val="none" w:sz="0" w:space="0" w:color="auto"/>
            <w:right w:val="none" w:sz="0" w:space="0" w:color="auto"/>
          </w:divBdr>
        </w:div>
        <w:div w:id="405305488">
          <w:marLeft w:val="274"/>
          <w:marRight w:val="0"/>
          <w:marTop w:val="0"/>
          <w:marBottom w:val="0"/>
          <w:divBdr>
            <w:top w:val="none" w:sz="0" w:space="0" w:color="auto"/>
            <w:left w:val="none" w:sz="0" w:space="0" w:color="auto"/>
            <w:bottom w:val="none" w:sz="0" w:space="0" w:color="auto"/>
            <w:right w:val="none" w:sz="0" w:space="0" w:color="auto"/>
          </w:divBdr>
        </w:div>
      </w:divsChild>
    </w:div>
    <w:div w:id="1674918434">
      <w:bodyDiv w:val="1"/>
      <w:marLeft w:val="0"/>
      <w:marRight w:val="0"/>
      <w:marTop w:val="0"/>
      <w:marBottom w:val="0"/>
      <w:divBdr>
        <w:top w:val="none" w:sz="0" w:space="0" w:color="auto"/>
        <w:left w:val="none" w:sz="0" w:space="0" w:color="auto"/>
        <w:bottom w:val="none" w:sz="0" w:space="0" w:color="auto"/>
        <w:right w:val="none" w:sz="0" w:space="0" w:color="auto"/>
      </w:divBdr>
    </w:div>
    <w:div w:id="21343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Gregson</dc:creator>
  <cp:lastModifiedBy>Ben Gregson</cp:lastModifiedBy>
  <cp:revision>2</cp:revision>
  <cp:lastPrinted>2018-09-26T11:20:00Z</cp:lastPrinted>
  <dcterms:created xsi:type="dcterms:W3CDTF">2018-09-27T15:36:00Z</dcterms:created>
  <dcterms:modified xsi:type="dcterms:W3CDTF">2018-09-27T15:36:00Z</dcterms:modified>
</cp:coreProperties>
</file>