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Appendix</w:t>
      </w:r>
    </w:p>
    <w:p w:rsidR="00147FD4" w:rsidRDefault="00147FD4" w:rsidP="00147FD4">
      <w:pPr>
        <w:pStyle w:val="BodyA"/>
        <w:numPr>
          <w:ilvl w:val="0"/>
          <w:numId w:val="2"/>
        </w:numPr>
        <w:spacing w:after="8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 emission material factors (ICE 2011 database)</w:t>
      </w:r>
    </w:p>
    <w:p w:rsidR="00147FD4" w:rsidRDefault="00147FD4" w:rsidP="00147FD4">
      <w:pPr>
        <w:pStyle w:val="BodyA"/>
        <w:spacing w:after="8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A1. Material factors </w:t>
      </w:r>
      <w:proofErr w:type="gramStart"/>
      <w:r>
        <w:rPr>
          <w:rFonts w:ascii="Times New Roman" w:hAnsi="Times New Roman"/>
          <w:sz w:val="24"/>
          <w:szCs w:val="24"/>
        </w:rPr>
        <w:t>EF(</w:t>
      </w:r>
      <w:proofErr w:type="gramEnd"/>
      <w:r>
        <w:rPr>
          <w:rFonts w:ascii="Times New Roman" w:hAnsi="Times New Roman"/>
          <w:sz w:val="24"/>
          <w:szCs w:val="24"/>
        </w:rPr>
        <w:t>kg/kg)</w:t>
      </w:r>
    </w:p>
    <w:tbl>
      <w:tblPr>
        <w:tblW w:w="83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438"/>
        <w:gridCol w:w="3896"/>
      </w:tblGrid>
      <w:tr w:rsidR="00147FD4" w:rsidTr="006B294E">
        <w:trPr>
          <w:trHeight w:val="472"/>
          <w:tblHeader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Materials 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Emission factor EF(kg/kg)</w:t>
            </w:r>
          </w:p>
        </w:tc>
      </w:tr>
      <w:tr w:rsidR="00147FD4" w:rsidTr="006B294E">
        <w:tblPrEx>
          <w:shd w:val="clear" w:color="auto" w:fill="CDD4E9"/>
        </w:tblPrEx>
        <w:trPr>
          <w:trHeight w:val="472"/>
        </w:trPr>
        <w:tc>
          <w:tcPr>
            <w:tcW w:w="4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Average CEM 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portland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cement </w:t>
            </w:r>
          </w:p>
        </w:tc>
        <w:tc>
          <w:tcPr>
            <w:tcW w:w="3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5.50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Common Brick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3.00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Concrete 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0.75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FibreGlass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Glasswool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28.00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Primary Glass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15.00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Plasterboard 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6.75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Rammed Soil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0.45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Rockwool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16.80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Sand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0.081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Stone 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1.26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Timber 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10.00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UK (EU) Average Recycled Steel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20.10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1.2mx1.2m Single Glazed Timber Framed Windows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286</w:t>
            </w:r>
          </w:p>
        </w:tc>
      </w:tr>
      <w:tr w:rsidR="00147FD4" w:rsidTr="006B294E">
        <w:tblPrEx>
          <w:shd w:val="clear" w:color="auto" w:fill="CDD4E9"/>
        </w:tblPrEx>
        <w:trPr>
          <w:trHeight w:val="610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1.2mx1.2m Double Glazed (Air or Argon Filled) Windows</w:t>
            </w:r>
          </w:p>
        </w:tc>
        <w:tc>
          <w:tcPr>
            <w:tcW w:w="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360</w:t>
            </w:r>
          </w:p>
        </w:tc>
      </w:tr>
    </w:tbl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Carbon emission of construction activities (BIS, 2010)</w:t>
      </w: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A2. CO</w:t>
      </w:r>
      <w:r>
        <w:rPr>
          <w:rFonts w:ascii="Arial Unicode MS" w:hAnsi="Arial Unicode MS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emissions amount produced by construction industry (BIS, 2010)</w:t>
      </w:r>
    </w:p>
    <w:tbl>
      <w:tblPr>
        <w:tblW w:w="8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438"/>
        <w:gridCol w:w="3969"/>
      </w:tblGrid>
      <w:tr w:rsidR="00147FD4" w:rsidTr="006B294E">
        <w:trPr>
          <w:trHeight w:val="472"/>
          <w:tblHeader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Sub-sector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MtCO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>₂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Manufacture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45.2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Operations onsite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2.6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Refurb/Demolition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1.3</w:t>
            </w:r>
          </w:p>
        </w:tc>
      </w:tr>
    </w:tbl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hint="eastAsia"/>
          <w:sz w:val="24"/>
          <w:szCs w:val="24"/>
        </w:rPr>
      </w:pPr>
    </w:p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A3. Amount of CO</w:t>
      </w:r>
      <w:r>
        <w:rPr>
          <w:rFonts w:ascii="Arial Unicode MS" w:hAnsi="Arial Unicode MS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emissions within manufacture sector (BIS, 2010)</w:t>
      </w:r>
    </w:p>
    <w:tbl>
      <w:tblPr>
        <w:tblW w:w="86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5220"/>
        <w:gridCol w:w="3471"/>
      </w:tblGrid>
      <w:tr w:rsidR="00147FD4" w:rsidTr="006B294E">
        <w:trPr>
          <w:trHeight w:val="472"/>
          <w:tblHeader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Sub-sector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MtCO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>₂</w:t>
            </w:r>
          </w:p>
        </w:tc>
      </w:tr>
      <w:tr w:rsidR="00147FD4" w:rsidTr="006B294E">
        <w:tblPrEx>
          <w:shd w:val="clear" w:color="auto" w:fill="CDD4E9"/>
        </w:tblPrEx>
        <w:trPr>
          <w:trHeight w:val="472"/>
        </w:trPr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Wood and wood products</w:t>
            </w:r>
          </w:p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1.9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Plastic products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Glass and glass products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1.4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Structural clay products, Cement, lime and plaster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1.2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Articles of concrete, stone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1.2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Metal products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2.2</w:t>
            </w:r>
          </w:p>
        </w:tc>
      </w:tr>
    </w:tbl>
    <w:p w:rsidR="00147FD4" w:rsidRDefault="00147FD4" w:rsidP="00147FD4">
      <w:pPr>
        <w:pStyle w:val="BodyA"/>
        <w:tabs>
          <w:tab w:val="left" w:pos="2430"/>
        </w:tabs>
        <w:spacing w:after="8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A4. Amount of CO</w:t>
      </w:r>
      <w:r>
        <w:rPr>
          <w:rFonts w:ascii="Arial Unicode MS" w:hAnsi="Arial Unicode MS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emissions within onsite operations sector (BIS, 2010)</w:t>
      </w:r>
    </w:p>
    <w:tbl>
      <w:tblPr>
        <w:tblW w:w="86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5220"/>
        <w:gridCol w:w="3471"/>
      </w:tblGrid>
      <w:tr w:rsidR="00147FD4" w:rsidTr="006B294E">
        <w:trPr>
          <w:trHeight w:val="472"/>
          <w:tblHeader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Sub-sector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MtCO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>₂</w:t>
            </w:r>
          </w:p>
        </w:tc>
      </w:tr>
      <w:tr w:rsidR="00147FD4" w:rsidTr="006B294E">
        <w:tblPrEx>
          <w:shd w:val="clear" w:color="auto" w:fill="CDD4E9"/>
        </w:tblPrEx>
        <w:trPr>
          <w:trHeight w:val="472"/>
        </w:trPr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Site activities</w:t>
            </w:r>
          </w:p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2.0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Off site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assembly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0.3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Off site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offices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0.3</w:t>
            </w:r>
          </w:p>
        </w:tc>
      </w:tr>
    </w:tbl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A5. Amount of CO</w:t>
      </w:r>
      <w:r>
        <w:rPr>
          <w:rFonts w:ascii="Arial Unicode MS" w:hAnsi="Arial Unicode MS"/>
          <w:sz w:val="24"/>
          <w:szCs w:val="24"/>
        </w:rPr>
        <w:t>₂</w:t>
      </w:r>
      <w:r>
        <w:rPr>
          <w:rFonts w:ascii="Times New Roman" w:hAnsi="Times New Roman"/>
          <w:sz w:val="24"/>
          <w:szCs w:val="24"/>
        </w:rPr>
        <w:t xml:space="preserve"> emissions within </w:t>
      </w:r>
      <w:proofErr w:type="spellStart"/>
      <w:r>
        <w:rPr>
          <w:rFonts w:ascii="Times New Roman" w:hAnsi="Times New Roman"/>
          <w:sz w:val="24"/>
          <w:szCs w:val="24"/>
        </w:rPr>
        <w:t>refub</w:t>
      </w:r>
      <w:proofErr w:type="spellEnd"/>
      <w:r>
        <w:rPr>
          <w:rFonts w:ascii="Times New Roman" w:hAnsi="Times New Roman"/>
          <w:sz w:val="24"/>
          <w:szCs w:val="24"/>
        </w:rPr>
        <w:t>/demolition sector</w:t>
      </w:r>
    </w:p>
    <w:tbl>
      <w:tblPr>
        <w:tblW w:w="86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5220"/>
        <w:gridCol w:w="3471"/>
      </w:tblGrid>
      <w:tr w:rsidR="00147FD4" w:rsidTr="006B294E">
        <w:trPr>
          <w:trHeight w:val="472"/>
          <w:tblHeader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Sub-sector 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MtCO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>₂</w:t>
            </w:r>
          </w:p>
        </w:tc>
      </w:tr>
      <w:tr w:rsidR="00147FD4" w:rsidTr="006B294E">
        <w:tblPrEx>
          <w:shd w:val="clear" w:color="auto" w:fill="CDD4E9"/>
        </w:tblPrEx>
        <w:trPr>
          <w:trHeight w:val="472"/>
        </w:trPr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Refurbishment and maintenance</w:t>
            </w:r>
          </w:p>
        </w:tc>
        <w:tc>
          <w:tcPr>
            <w:tcW w:w="3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0.7</w:t>
            </w:r>
          </w:p>
        </w:tc>
      </w:tr>
      <w:tr w:rsidR="00147FD4" w:rsidTr="006B294E">
        <w:tblPrEx>
          <w:shd w:val="clear" w:color="auto" w:fill="CDD4E9"/>
        </w:tblPrEx>
        <w:trPr>
          <w:trHeight w:val="452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Waste site removals</w:t>
            </w:r>
          </w:p>
        </w:tc>
        <w:tc>
          <w:tcPr>
            <w:tcW w:w="3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D4" w:rsidRDefault="00147FD4" w:rsidP="006B294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0.6</w:t>
            </w:r>
          </w:p>
        </w:tc>
      </w:tr>
    </w:tbl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FD4" w:rsidRDefault="00147FD4" w:rsidP="00147FD4">
      <w:pPr>
        <w:pStyle w:val="BodyA"/>
        <w:spacing w:after="8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FD4" w:rsidRDefault="00147FD4" w:rsidP="00147FD4"/>
    <w:p w:rsidR="00DE132A" w:rsidRDefault="00DE132A">
      <w:bookmarkStart w:id="0" w:name="_GoBack"/>
      <w:bookmarkEnd w:id="0"/>
    </w:p>
    <w:sectPr w:rsidR="00DE132A" w:rsidSect="00AA2FC6">
      <w:pgSz w:w="11900" w:h="16840"/>
      <w:pgMar w:top="1276" w:right="1268" w:bottom="1276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1A"/>
    <w:multiLevelType w:val="hybridMultilevel"/>
    <w:tmpl w:val="16F04A44"/>
    <w:styleLink w:val="Numbered"/>
    <w:lvl w:ilvl="0" w:tplc="697AFE0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82F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2C8B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600E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6EF7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4EA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C258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E1D1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C82D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864FD9"/>
    <w:multiLevelType w:val="hybridMultilevel"/>
    <w:tmpl w:val="16F04A4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D4"/>
    <w:rsid w:val="000533BD"/>
    <w:rsid w:val="00147FD4"/>
    <w:rsid w:val="00832611"/>
    <w:rsid w:val="00D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F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47F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:lang w:val="en-US" w:eastAsia="en-GB" w:bidi="ar-SA"/>
    </w:rPr>
  </w:style>
  <w:style w:type="numbering" w:customStyle="1" w:styleId="Numbered">
    <w:name w:val="Numbered"/>
    <w:rsid w:val="00147FD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F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47F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:lang w:val="en-US" w:eastAsia="en-GB" w:bidi="ar-SA"/>
    </w:rPr>
  </w:style>
  <w:style w:type="numbering" w:customStyle="1" w:styleId="Numbered">
    <w:name w:val="Numbered"/>
    <w:rsid w:val="00147F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Sakdirat Kaewunruen</dc:creator>
  <cp:lastModifiedBy>Sakdirat Kaewunruen</cp:lastModifiedBy>
  <cp:revision>1</cp:revision>
  <dcterms:created xsi:type="dcterms:W3CDTF">2018-12-03T14:50:00Z</dcterms:created>
  <dcterms:modified xsi:type="dcterms:W3CDTF">2018-12-03T14:50:00Z</dcterms:modified>
</cp:coreProperties>
</file>