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9F" w:rsidRDefault="00BA2C9F" w:rsidP="00BA2C9F">
      <w:pPr>
        <w:autoSpaceDE w:val="0"/>
        <w:autoSpaceDN w:val="0"/>
        <w:adjustRightInd w:val="0"/>
        <w:spacing w:after="0" w:line="480" w:lineRule="auto"/>
        <w:rPr>
          <w:b/>
          <w:lang w:val="en-US"/>
        </w:rPr>
      </w:pPr>
      <w:r w:rsidRPr="006E59E1">
        <w:rPr>
          <w:b/>
          <w:lang w:val="en-US"/>
        </w:rPr>
        <w:t>Supplementary information</w:t>
      </w:r>
    </w:p>
    <w:p w:rsidR="00BA2C9F" w:rsidRPr="00786ACE" w:rsidRDefault="00BA2C9F" w:rsidP="00BA2C9F">
      <w:pPr>
        <w:spacing w:after="0" w:line="480" w:lineRule="auto"/>
        <w:rPr>
          <w:b/>
          <w:lang w:val="en-US"/>
        </w:rPr>
      </w:pPr>
      <w:r w:rsidRPr="00786ACE">
        <w:rPr>
          <w:b/>
          <w:lang w:val="en-US"/>
        </w:rPr>
        <w:t>Materials and Methods</w:t>
      </w:r>
    </w:p>
    <w:p w:rsidR="00BA2C9F" w:rsidRPr="00786ACE" w:rsidRDefault="00BA2C9F" w:rsidP="00BA2C9F">
      <w:pPr>
        <w:spacing w:after="0" w:line="480" w:lineRule="auto"/>
        <w:rPr>
          <w:i/>
          <w:lang w:val="en-US"/>
        </w:rPr>
      </w:pPr>
      <w:r w:rsidRPr="00786ACE">
        <w:rPr>
          <w:i/>
          <w:lang w:val="en-US"/>
        </w:rPr>
        <w:t>SPECT/CT image reconstruction</w:t>
      </w:r>
    </w:p>
    <w:p w:rsidR="00BA2C9F" w:rsidRDefault="00BA2C9F" w:rsidP="00BA2C9F">
      <w:pPr>
        <w:spacing w:after="0" w:line="480" w:lineRule="auto"/>
        <w:rPr>
          <w:lang w:val="en-US"/>
        </w:rPr>
      </w:pPr>
      <w:r w:rsidRPr="00404505">
        <w:rPr>
          <w:lang w:val="en-US"/>
        </w:rPr>
        <w:t>For the SPECT images, we used 16 subsets, 10 iterations and an isotropic 0.4 mm voxel grid. The images were decay</w:t>
      </w:r>
      <w:r>
        <w:rPr>
          <w:lang w:val="en-US"/>
        </w:rPr>
        <w:t>-</w:t>
      </w:r>
      <w:r w:rsidRPr="00404505">
        <w:rPr>
          <w:lang w:val="en-US"/>
        </w:rPr>
        <w:t>corrected</w:t>
      </w:r>
      <w:r>
        <w:rPr>
          <w:lang w:val="en-US"/>
        </w:rPr>
        <w:t>,</w:t>
      </w:r>
      <w:r w:rsidRPr="00404505">
        <w:rPr>
          <w:lang w:val="en-US"/>
        </w:rPr>
        <w:t xml:space="preserve"> and after CT registration, a</w:t>
      </w:r>
      <w:r>
        <w:rPr>
          <w:lang w:val="en-US"/>
        </w:rPr>
        <w:t>ttenuation correcte</w:t>
      </w:r>
      <w:r w:rsidRPr="00404505">
        <w:rPr>
          <w:lang w:val="en-US"/>
        </w:rPr>
        <w:t xml:space="preserve">d. For visual representation, the reconstructed volumes of </w:t>
      </w:r>
      <w:r>
        <w:rPr>
          <w:lang w:val="en-US"/>
        </w:rPr>
        <w:t xml:space="preserve">the </w:t>
      </w:r>
      <w:r w:rsidRPr="00404505">
        <w:rPr>
          <w:lang w:val="en-US"/>
        </w:rPr>
        <w:t xml:space="preserve">SPECT scans were post-filtered </w:t>
      </w:r>
      <w:r>
        <w:rPr>
          <w:lang w:val="en-US"/>
        </w:rPr>
        <w:t>using</w:t>
      </w:r>
      <w:r w:rsidRPr="00404505">
        <w:rPr>
          <w:lang w:val="en-US"/>
        </w:rPr>
        <w:t xml:space="preserve"> a 3D Gaussian filter. </w:t>
      </w:r>
      <w:r>
        <w:rPr>
          <w:lang w:val="en-US"/>
        </w:rPr>
        <w:t xml:space="preserve">The </w:t>
      </w:r>
      <w:r w:rsidRPr="00404505">
        <w:rPr>
          <w:lang w:val="en-US"/>
        </w:rPr>
        <w:t xml:space="preserve">CT scans were acquired </w:t>
      </w:r>
      <w:r>
        <w:rPr>
          <w:lang w:val="en-US"/>
        </w:rPr>
        <w:t>using</w:t>
      </w:r>
      <w:r w:rsidRPr="00404505">
        <w:rPr>
          <w:lang w:val="en-US"/>
        </w:rPr>
        <w:t xml:space="preserve"> a tube set</w:t>
      </w:r>
      <w:r>
        <w:rPr>
          <w:lang w:val="en-US"/>
        </w:rPr>
        <w:t>ting of 4</w:t>
      </w:r>
      <w:r w:rsidRPr="00404505">
        <w:rPr>
          <w:lang w:val="en-US"/>
        </w:rPr>
        <w:t>5 kV and 615 µA. In total</w:t>
      </w:r>
      <w:r>
        <w:rPr>
          <w:lang w:val="en-US"/>
        </w:rPr>
        <w:t>,</w:t>
      </w:r>
      <w:r w:rsidRPr="00404505">
        <w:rPr>
          <w:lang w:val="en-US"/>
        </w:rPr>
        <w:t xml:space="preserve"> </w:t>
      </w:r>
      <w:r>
        <w:rPr>
          <w:lang w:val="en-US"/>
        </w:rPr>
        <w:t>two</w:t>
      </w:r>
      <w:r w:rsidRPr="00404505">
        <w:rPr>
          <w:lang w:val="en-US"/>
        </w:rPr>
        <w:t xml:space="preserve"> frames of 180 projections over 360 degrees were acquired in step and shoot rotation mode. The acquired projection data was reconstructe</w:t>
      </w:r>
      <w:r>
        <w:rPr>
          <w:lang w:val="en-US"/>
        </w:rPr>
        <w:t xml:space="preserve">d using SkyScan NRecon software (Bruker microCT, </w:t>
      </w:r>
      <w:r w:rsidRPr="00633B88">
        <w:rPr>
          <w:lang w:val="en-US"/>
        </w:rPr>
        <w:t>Kontich</w:t>
      </w:r>
      <w:r>
        <w:rPr>
          <w:lang w:val="en-US"/>
        </w:rPr>
        <w:t xml:space="preserve">, Belgium) </w:t>
      </w:r>
      <w:r w:rsidRPr="00404505">
        <w:rPr>
          <w:lang w:val="en-US"/>
        </w:rPr>
        <w:t>to generate a 3D CT image o</w:t>
      </w:r>
      <w:r>
        <w:rPr>
          <w:lang w:val="en-US"/>
        </w:rPr>
        <w:t>f</w:t>
      </w:r>
      <w:r w:rsidRPr="00404505">
        <w:rPr>
          <w:lang w:val="en-US"/>
        </w:rPr>
        <w:t xml:space="preserve"> 0.169 mm</w:t>
      </w:r>
      <w:r w:rsidRPr="00FA6FE6">
        <w:rPr>
          <w:vertAlign w:val="superscript"/>
          <w:lang w:val="en-US"/>
        </w:rPr>
        <w:t>3</w:t>
      </w:r>
      <w:r w:rsidRPr="00404505">
        <w:rPr>
          <w:lang w:val="en-US"/>
        </w:rPr>
        <w:t xml:space="preserve"> voxel size. Volumes of interest (VOIs) were manually defined using AMIDE (v.1.0.5</w:t>
      </w:r>
      <w:r>
        <w:rPr>
          <w:lang w:val="en-US"/>
        </w:rPr>
        <w:t>, Stanford University, Stanford, CA, USA</w:t>
      </w:r>
      <w:r w:rsidRPr="00404505">
        <w:rPr>
          <w:lang w:val="en-US"/>
        </w:rPr>
        <w:t xml:space="preserve">) to determine the time activity pattern per target organ. Thus, the delineated regions were lungs, site of injection, trachea, right and left kidney, bladder, stomach and intestines. The precise positions of the VOIs were adjusted using the registered CT image for each scan. In order to relate the scanner units (counts/voxel) to radioactivity concentration, a calibration factor was determined </w:t>
      </w:r>
      <w:r>
        <w:rPr>
          <w:lang w:val="en-US"/>
        </w:rPr>
        <w:t xml:space="preserve">by </w:t>
      </w:r>
      <w:r w:rsidRPr="00404505">
        <w:rPr>
          <w:lang w:val="en-US"/>
        </w:rPr>
        <w:t xml:space="preserve">scanning a source with a known concentration of </w:t>
      </w:r>
      <w:r w:rsidRPr="00FA6FE6">
        <w:rPr>
          <w:vertAlign w:val="superscript"/>
          <w:lang w:val="en-US"/>
        </w:rPr>
        <w:t>111</w:t>
      </w:r>
      <w:r w:rsidRPr="00404505">
        <w:rPr>
          <w:lang w:val="en-US"/>
        </w:rPr>
        <w:t>In</w:t>
      </w:r>
      <w:r>
        <w:rPr>
          <w:lang w:val="en-US"/>
        </w:rPr>
        <w:t xml:space="preserve"> and </w:t>
      </w:r>
      <w:r w:rsidRPr="00304964">
        <w:rPr>
          <w:vertAlign w:val="superscript"/>
          <w:lang w:val="en-US"/>
        </w:rPr>
        <w:t>67</w:t>
      </w:r>
      <w:r>
        <w:rPr>
          <w:lang w:val="en-US"/>
        </w:rPr>
        <w:t>Ga</w:t>
      </w:r>
      <w:r w:rsidRPr="00404505">
        <w:rPr>
          <w:lang w:val="en-US"/>
        </w:rPr>
        <w:t xml:space="preserve">. The mean activity in each VOI (counts/pixel) was multiplied by the calibration factor to calculate </w:t>
      </w:r>
      <w:r>
        <w:rPr>
          <w:lang w:val="en-US"/>
        </w:rPr>
        <w:t xml:space="preserve">the </w:t>
      </w:r>
      <w:r w:rsidRPr="00404505">
        <w:rPr>
          <w:lang w:val="en-US"/>
        </w:rPr>
        <w:t>activity concentration in each organ (MBq/</w:t>
      </w:r>
      <w:r>
        <w:rPr>
          <w:lang w:val="en-US"/>
        </w:rPr>
        <w:t>mL</w:t>
      </w:r>
      <w:r w:rsidRPr="00404505">
        <w:rPr>
          <w:lang w:val="en-US"/>
        </w:rPr>
        <w:t xml:space="preserve">). Results </w:t>
      </w:r>
      <w:r>
        <w:rPr>
          <w:lang w:val="en-US"/>
        </w:rPr>
        <w:t>a</w:t>
      </w:r>
      <w:r w:rsidRPr="00404505">
        <w:rPr>
          <w:lang w:val="en-US"/>
        </w:rPr>
        <w:t xml:space="preserve">re expressed as standardized uptake values (SUVs) to normalize the reached organ concentrations by taking into account </w:t>
      </w:r>
      <w:r>
        <w:rPr>
          <w:lang w:val="en-US"/>
        </w:rPr>
        <w:t>the individual</w:t>
      </w:r>
      <w:r w:rsidRPr="00404505">
        <w:rPr>
          <w:lang w:val="en-US"/>
        </w:rPr>
        <w:t xml:space="preserve"> body weight and </w:t>
      </w:r>
      <w:r>
        <w:rPr>
          <w:lang w:val="en-US"/>
        </w:rPr>
        <w:t>the administer</w:t>
      </w:r>
      <w:r w:rsidRPr="00404505">
        <w:rPr>
          <w:lang w:val="en-US"/>
        </w:rPr>
        <w:t xml:space="preserve">ed dose according to the following </w:t>
      </w:r>
      <w:r>
        <w:rPr>
          <w:lang w:val="en-US"/>
        </w:rPr>
        <w:t>equation (Equation 1)</w:t>
      </w:r>
      <w:r w:rsidRPr="00404505">
        <w:rPr>
          <w:lang w:val="en-US"/>
        </w:rPr>
        <w:t xml:space="preserve">: </w:t>
      </w:r>
    </w:p>
    <w:p w:rsidR="00BA2C9F" w:rsidRDefault="00BA2C9F" w:rsidP="00BA2C9F">
      <w:pPr>
        <w:spacing w:after="0" w:line="480" w:lineRule="auto"/>
        <w:rPr>
          <w:lang w:val="en-US"/>
        </w:rPr>
      </w:pPr>
      <w:r w:rsidRPr="00404505">
        <w:rPr>
          <w:lang w:val="en-US"/>
        </w:rPr>
        <w:t>SUV (g/</w:t>
      </w:r>
      <w:r>
        <w:rPr>
          <w:lang w:val="en-US"/>
        </w:rPr>
        <w:t>mL</w:t>
      </w:r>
      <w:r w:rsidRPr="00404505">
        <w:rPr>
          <w:lang w:val="en-US"/>
        </w:rPr>
        <w:t>) = [</w:t>
      </w:r>
      <w:r>
        <w:rPr>
          <w:lang w:val="en-US"/>
        </w:rPr>
        <w:t>a</w:t>
      </w:r>
      <w:r w:rsidRPr="00404505">
        <w:rPr>
          <w:lang w:val="en-US"/>
        </w:rPr>
        <w:t xml:space="preserve">ctivity </w:t>
      </w:r>
      <w:r>
        <w:rPr>
          <w:lang w:val="en-US"/>
        </w:rPr>
        <w:t>c</w:t>
      </w:r>
      <w:r w:rsidRPr="00404505">
        <w:rPr>
          <w:lang w:val="en-US"/>
        </w:rPr>
        <w:t>oncentration in VOI (MBq/</w:t>
      </w:r>
      <w:r>
        <w:rPr>
          <w:lang w:val="en-US"/>
        </w:rPr>
        <w:t>mL</w:t>
      </w:r>
      <w:r w:rsidRPr="00404505">
        <w:rPr>
          <w:lang w:val="en-US"/>
        </w:rPr>
        <w:t>)/(</w:t>
      </w:r>
      <w:r>
        <w:rPr>
          <w:lang w:val="en-US"/>
        </w:rPr>
        <w:t>administered</w:t>
      </w:r>
      <w:r w:rsidRPr="00404505">
        <w:rPr>
          <w:lang w:val="en-US"/>
        </w:rPr>
        <w:t xml:space="preserve"> dose (MBq) x </w:t>
      </w:r>
      <w:r>
        <w:rPr>
          <w:lang w:val="en-US"/>
        </w:rPr>
        <w:t>b</w:t>
      </w:r>
      <w:r w:rsidRPr="00404505">
        <w:rPr>
          <w:lang w:val="en-US"/>
        </w:rPr>
        <w:t>ody weight (g))]</w:t>
      </w:r>
      <w:r>
        <w:rPr>
          <w:lang w:val="en-US"/>
        </w:rPr>
        <w:t xml:space="preserve"> (Equation 1)</w:t>
      </w:r>
    </w:p>
    <w:p w:rsidR="00BA2C9F" w:rsidRDefault="00BA2C9F" w:rsidP="00BA2C9F">
      <w:pPr>
        <w:spacing w:after="0" w:line="480" w:lineRule="auto"/>
        <w:rPr>
          <w:lang w:val="en-US"/>
        </w:rPr>
      </w:pPr>
      <w:r w:rsidRPr="00404505">
        <w:rPr>
          <w:lang w:val="en-US"/>
        </w:rPr>
        <w:t>All SPECT images were decay</w:t>
      </w:r>
      <w:r>
        <w:rPr>
          <w:lang w:val="en-US"/>
        </w:rPr>
        <w:t>-</w:t>
      </w:r>
      <w:r w:rsidRPr="00404505">
        <w:rPr>
          <w:lang w:val="en-US"/>
        </w:rPr>
        <w:t xml:space="preserve">corrected to the </w:t>
      </w:r>
      <w:r>
        <w:rPr>
          <w:lang w:val="en-US"/>
        </w:rPr>
        <w:t>time of administration</w:t>
      </w:r>
      <w:r w:rsidRPr="00404505">
        <w:rPr>
          <w:lang w:val="en-US"/>
        </w:rPr>
        <w:t xml:space="preserve">. Mice were </w:t>
      </w:r>
      <w:r>
        <w:rPr>
          <w:lang w:val="en-US"/>
        </w:rPr>
        <w:t>euthanized</w:t>
      </w:r>
      <w:r w:rsidRPr="00404505">
        <w:rPr>
          <w:lang w:val="en-US"/>
        </w:rPr>
        <w:t xml:space="preserve"> for </w:t>
      </w:r>
      <w:r w:rsidRPr="00987FCC">
        <w:rPr>
          <w:i/>
          <w:lang w:val="en-US"/>
        </w:rPr>
        <w:t>ex vivo</w:t>
      </w:r>
      <w:r w:rsidRPr="00404505">
        <w:rPr>
          <w:lang w:val="en-US"/>
        </w:rPr>
        <w:t xml:space="preserve"> </w:t>
      </w:r>
      <w:r>
        <w:rPr>
          <w:lang w:val="en-US"/>
        </w:rPr>
        <w:t xml:space="preserve">quantification of the </w:t>
      </w:r>
      <w:r w:rsidRPr="00404505">
        <w:rPr>
          <w:lang w:val="en-US"/>
        </w:rPr>
        <w:t>biodistribution</w:t>
      </w:r>
      <w:r>
        <w:rPr>
          <w:lang w:val="en-US"/>
        </w:rPr>
        <w:t>,</w:t>
      </w:r>
      <w:r w:rsidRPr="00404505">
        <w:rPr>
          <w:lang w:val="en-US"/>
        </w:rPr>
        <w:t xml:space="preserve"> and the radioactivity in </w:t>
      </w:r>
      <w:r>
        <w:rPr>
          <w:lang w:val="en-US"/>
        </w:rPr>
        <w:t>the</w:t>
      </w:r>
      <w:r w:rsidRPr="00404505">
        <w:rPr>
          <w:lang w:val="en-US"/>
        </w:rPr>
        <w:t xml:space="preserve"> organs was determined by </w:t>
      </w:r>
      <w:r w:rsidRPr="000D758A">
        <w:rPr>
          <w:rFonts w:ascii="Times New Roman" w:hAnsi="Times New Roman" w:cs="Times New Roman"/>
          <w:lang w:val="en-US"/>
        </w:rPr>
        <w:t>γ</w:t>
      </w:r>
      <w:r w:rsidRPr="00404505">
        <w:rPr>
          <w:lang w:val="en-US"/>
        </w:rPr>
        <w:t>-counting.</w:t>
      </w:r>
      <w:r>
        <w:rPr>
          <w:lang w:val="en-US"/>
        </w:rPr>
        <w:t xml:space="preserve"> </w:t>
      </w:r>
    </w:p>
    <w:p w:rsidR="00BA2C9F" w:rsidRDefault="00BA2C9F" w:rsidP="00BA2C9F">
      <w:pPr>
        <w:autoSpaceDE w:val="0"/>
        <w:autoSpaceDN w:val="0"/>
        <w:adjustRightInd w:val="0"/>
        <w:spacing w:after="0" w:line="480" w:lineRule="auto"/>
        <w:rPr>
          <w:b/>
          <w:lang w:val="en-US"/>
        </w:rPr>
      </w:pPr>
    </w:p>
    <w:p w:rsidR="00BA2C9F" w:rsidRPr="008D7733" w:rsidRDefault="00BA2C9F" w:rsidP="00BA2C9F">
      <w:pPr>
        <w:autoSpaceDE w:val="0"/>
        <w:autoSpaceDN w:val="0"/>
        <w:adjustRightInd w:val="0"/>
        <w:spacing w:after="0" w:line="480" w:lineRule="auto"/>
        <w:rPr>
          <w:lang w:val="en-US"/>
        </w:rPr>
      </w:pPr>
      <w:r w:rsidRPr="008D7733">
        <w:rPr>
          <w:b/>
          <w:lang w:val="en-US"/>
        </w:rPr>
        <w:lastRenderedPageBreak/>
        <w:t>Supplementary Table S1.</w:t>
      </w:r>
      <w:r w:rsidRPr="008D7733">
        <w:rPr>
          <w:lang w:val="en-US"/>
        </w:rPr>
        <w:t xml:space="preserve"> Secondary antibodies for the detection of antibody production in lung supernatants and serum</w:t>
      </w:r>
    </w:p>
    <w:tbl>
      <w:tblPr>
        <w:tblStyle w:val="TableGrid"/>
        <w:tblW w:w="0" w:type="auto"/>
        <w:tblLook w:val="04A0" w:firstRow="1" w:lastRow="0" w:firstColumn="1" w:lastColumn="0" w:noHBand="0" w:noVBand="1"/>
      </w:tblPr>
      <w:tblGrid>
        <w:gridCol w:w="895"/>
        <w:gridCol w:w="3960"/>
        <w:gridCol w:w="3766"/>
        <w:gridCol w:w="999"/>
      </w:tblGrid>
      <w:tr w:rsidR="00BA2C9F" w:rsidTr="00571108">
        <w:tc>
          <w:tcPr>
            <w:tcW w:w="895" w:type="dxa"/>
          </w:tcPr>
          <w:p w:rsidR="00BA2C9F" w:rsidRDefault="00BA2C9F" w:rsidP="00571108">
            <w:pPr>
              <w:autoSpaceDE w:val="0"/>
              <w:autoSpaceDN w:val="0"/>
              <w:adjustRightInd w:val="0"/>
              <w:spacing w:line="480" w:lineRule="auto"/>
              <w:rPr>
                <w:b/>
              </w:rPr>
            </w:pPr>
            <w:r>
              <w:rPr>
                <w:b/>
              </w:rPr>
              <w:t>Isotype</w:t>
            </w:r>
          </w:p>
        </w:tc>
        <w:tc>
          <w:tcPr>
            <w:tcW w:w="3960" w:type="dxa"/>
          </w:tcPr>
          <w:p w:rsidR="00BA2C9F" w:rsidRDefault="00BA2C9F" w:rsidP="00571108">
            <w:pPr>
              <w:autoSpaceDE w:val="0"/>
              <w:autoSpaceDN w:val="0"/>
              <w:adjustRightInd w:val="0"/>
              <w:spacing w:line="480" w:lineRule="auto"/>
              <w:rPr>
                <w:b/>
              </w:rPr>
            </w:pPr>
            <w:r>
              <w:rPr>
                <w:b/>
              </w:rPr>
              <w:t>Antibody</w:t>
            </w:r>
          </w:p>
        </w:tc>
        <w:tc>
          <w:tcPr>
            <w:tcW w:w="3766" w:type="dxa"/>
          </w:tcPr>
          <w:p w:rsidR="00BA2C9F" w:rsidRDefault="00BA2C9F" w:rsidP="00571108">
            <w:pPr>
              <w:autoSpaceDE w:val="0"/>
              <w:autoSpaceDN w:val="0"/>
              <w:adjustRightInd w:val="0"/>
              <w:spacing w:line="480" w:lineRule="auto"/>
              <w:rPr>
                <w:b/>
              </w:rPr>
            </w:pPr>
            <w:r>
              <w:rPr>
                <w:b/>
              </w:rPr>
              <w:t>Supplier</w:t>
            </w:r>
          </w:p>
        </w:tc>
        <w:tc>
          <w:tcPr>
            <w:tcW w:w="999" w:type="dxa"/>
          </w:tcPr>
          <w:p w:rsidR="00BA2C9F" w:rsidRDefault="00BA2C9F" w:rsidP="00571108">
            <w:pPr>
              <w:autoSpaceDE w:val="0"/>
              <w:autoSpaceDN w:val="0"/>
              <w:adjustRightInd w:val="0"/>
              <w:spacing w:line="480" w:lineRule="auto"/>
              <w:rPr>
                <w:b/>
              </w:rPr>
            </w:pPr>
            <w:r>
              <w:rPr>
                <w:b/>
              </w:rPr>
              <w:t>Dilution</w:t>
            </w:r>
          </w:p>
        </w:tc>
      </w:tr>
      <w:tr w:rsidR="00BA2C9F" w:rsidTr="00571108">
        <w:tc>
          <w:tcPr>
            <w:tcW w:w="895" w:type="dxa"/>
          </w:tcPr>
          <w:p w:rsidR="00BA2C9F" w:rsidRPr="002B4B18" w:rsidRDefault="00BA2C9F" w:rsidP="00571108">
            <w:pPr>
              <w:autoSpaceDE w:val="0"/>
              <w:autoSpaceDN w:val="0"/>
              <w:adjustRightInd w:val="0"/>
              <w:spacing w:line="480" w:lineRule="auto"/>
            </w:pPr>
            <w:r w:rsidRPr="002B4B18">
              <w:t>IgA</w:t>
            </w:r>
          </w:p>
        </w:tc>
        <w:tc>
          <w:tcPr>
            <w:tcW w:w="3960" w:type="dxa"/>
          </w:tcPr>
          <w:p w:rsidR="00BA2C9F" w:rsidRPr="002B4B18" w:rsidRDefault="00BA2C9F" w:rsidP="00571108">
            <w:pPr>
              <w:autoSpaceDE w:val="0"/>
              <w:autoSpaceDN w:val="0"/>
              <w:adjustRightInd w:val="0"/>
              <w:spacing w:line="480" w:lineRule="auto"/>
              <w:rPr>
                <w:lang w:val="en-US"/>
              </w:rPr>
            </w:pPr>
            <w:r>
              <w:rPr>
                <w:lang w:val="en-US"/>
              </w:rPr>
              <w:t>HRP</w:t>
            </w:r>
            <w:r w:rsidRPr="00762FE5">
              <w:rPr>
                <w:lang w:val="en-US"/>
              </w:rPr>
              <w:t xml:space="preserve">-conjugated goat anti-mouse IgA </w:t>
            </w:r>
          </w:p>
        </w:tc>
        <w:tc>
          <w:tcPr>
            <w:tcW w:w="3766" w:type="dxa"/>
          </w:tcPr>
          <w:p w:rsidR="00BA2C9F" w:rsidRPr="002B4B18" w:rsidRDefault="00BA2C9F" w:rsidP="00571108">
            <w:pPr>
              <w:autoSpaceDE w:val="0"/>
              <w:autoSpaceDN w:val="0"/>
              <w:adjustRightInd w:val="0"/>
              <w:spacing w:line="480" w:lineRule="auto"/>
            </w:pPr>
            <w:r w:rsidRPr="00762FE5">
              <w:rPr>
                <w:lang w:val="en-US"/>
              </w:rPr>
              <w:t>Invitrogen, Hvidovre, Denmark</w:t>
            </w:r>
          </w:p>
        </w:tc>
        <w:tc>
          <w:tcPr>
            <w:tcW w:w="999" w:type="dxa"/>
          </w:tcPr>
          <w:p w:rsidR="00BA2C9F" w:rsidRPr="002B4B18" w:rsidRDefault="00BA2C9F" w:rsidP="00571108">
            <w:pPr>
              <w:autoSpaceDE w:val="0"/>
              <w:autoSpaceDN w:val="0"/>
              <w:adjustRightInd w:val="0"/>
              <w:spacing w:line="480" w:lineRule="auto"/>
            </w:pPr>
            <w:r>
              <w:t>1:5,000</w:t>
            </w:r>
          </w:p>
        </w:tc>
      </w:tr>
      <w:tr w:rsidR="00BA2C9F" w:rsidRPr="00211A24" w:rsidTr="00571108">
        <w:tc>
          <w:tcPr>
            <w:tcW w:w="895" w:type="dxa"/>
          </w:tcPr>
          <w:p w:rsidR="00BA2C9F" w:rsidRPr="002B4B18" w:rsidRDefault="00BA2C9F" w:rsidP="00571108">
            <w:pPr>
              <w:autoSpaceDE w:val="0"/>
              <w:autoSpaceDN w:val="0"/>
              <w:adjustRightInd w:val="0"/>
              <w:spacing w:line="480" w:lineRule="auto"/>
            </w:pPr>
            <w:r w:rsidRPr="002B4B18">
              <w:t>IgG1</w:t>
            </w:r>
          </w:p>
        </w:tc>
        <w:tc>
          <w:tcPr>
            <w:tcW w:w="3960" w:type="dxa"/>
          </w:tcPr>
          <w:p w:rsidR="00BA2C9F" w:rsidRPr="00211A24" w:rsidRDefault="00BA2C9F" w:rsidP="00571108">
            <w:pPr>
              <w:autoSpaceDE w:val="0"/>
              <w:autoSpaceDN w:val="0"/>
              <w:adjustRightInd w:val="0"/>
              <w:spacing w:line="480" w:lineRule="auto"/>
              <w:rPr>
                <w:lang w:val="en-US"/>
              </w:rPr>
            </w:pPr>
            <w:r w:rsidRPr="00762FE5">
              <w:rPr>
                <w:lang w:val="en-US"/>
              </w:rPr>
              <w:t>HRP-conjugated goat anti-mouse IgG1</w:t>
            </w:r>
          </w:p>
        </w:tc>
        <w:tc>
          <w:tcPr>
            <w:tcW w:w="3766" w:type="dxa"/>
          </w:tcPr>
          <w:p w:rsidR="00BA2C9F" w:rsidRPr="00211A24" w:rsidRDefault="00BA2C9F" w:rsidP="00571108">
            <w:pPr>
              <w:autoSpaceDE w:val="0"/>
              <w:autoSpaceDN w:val="0"/>
              <w:adjustRightInd w:val="0"/>
              <w:spacing w:line="480" w:lineRule="auto"/>
              <w:rPr>
                <w:lang w:val="en-US"/>
              </w:rPr>
            </w:pPr>
            <w:r w:rsidRPr="00762FE5">
              <w:rPr>
                <w:lang w:val="en-US"/>
              </w:rPr>
              <w:t>Southern Biotech, Birmingham, AL</w:t>
            </w:r>
            <w:r>
              <w:rPr>
                <w:lang w:val="en-US"/>
              </w:rPr>
              <w:t>, USA</w:t>
            </w:r>
          </w:p>
        </w:tc>
        <w:tc>
          <w:tcPr>
            <w:tcW w:w="999" w:type="dxa"/>
          </w:tcPr>
          <w:p w:rsidR="00BA2C9F" w:rsidRPr="00211A24" w:rsidRDefault="00BA2C9F" w:rsidP="00571108">
            <w:pPr>
              <w:autoSpaceDE w:val="0"/>
              <w:autoSpaceDN w:val="0"/>
              <w:adjustRightInd w:val="0"/>
              <w:spacing w:line="480" w:lineRule="auto"/>
              <w:rPr>
                <w:lang w:val="en-US"/>
              </w:rPr>
            </w:pPr>
            <w:r>
              <w:rPr>
                <w:lang w:val="en-US"/>
              </w:rPr>
              <w:t>1:20,000</w:t>
            </w:r>
          </w:p>
        </w:tc>
      </w:tr>
      <w:tr w:rsidR="00BA2C9F" w:rsidRPr="00211A24" w:rsidTr="00571108">
        <w:tc>
          <w:tcPr>
            <w:tcW w:w="895" w:type="dxa"/>
          </w:tcPr>
          <w:p w:rsidR="00BA2C9F" w:rsidRPr="002B4B18" w:rsidRDefault="00BA2C9F" w:rsidP="00571108">
            <w:pPr>
              <w:autoSpaceDE w:val="0"/>
              <w:autoSpaceDN w:val="0"/>
              <w:adjustRightInd w:val="0"/>
              <w:spacing w:line="480" w:lineRule="auto"/>
            </w:pPr>
            <w:r w:rsidRPr="002B4B18">
              <w:t>IgG2a</w:t>
            </w:r>
          </w:p>
        </w:tc>
        <w:tc>
          <w:tcPr>
            <w:tcW w:w="3960" w:type="dxa"/>
          </w:tcPr>
          <w:p w:rsidR="00BA2C9F" w:rsidRPr="00211A24" w:rsidRDefault="00BA2C9F" w:rsidP="00571108">
            <w:pPr>
              <w:autoSpaceDE w:val="0"/>
              <w:autoSpaceDN w:val="0"/>
              <w:adjustRightInd w:val="0"/>
              <w:spacing w:line="480" w:lineRule="auto"/>
              <w:rPr>
                <w:lang w:val="en-US"/>
              </w:rPr>
            </w:pPr>
            <w:r w:rsidRPr="00762FE5">
              <w:rPr>
                <w:lang w:val="en-US"/>
              </w:rPr>
              <w:t>HRP-conjugated rabbit anti-mouse IgG2a</w:t>
            </w:r>
          </w:p>
        </w:tc>
        <w:tc>
          <w:tcPr>
            <w:tcW w:w="3766" w:type="dxa"/>
          </w:tcPr>
          <w:p w:rsidR="00BA2C9F" w:rsidRPr="00211A24" w:rsidRDefault="00BA2C9F" w:rsidP="00571108">
            <w:pPr>
              <w:autoSpaceDE w:val="0"/>
              <w:autoSpaceDN w:val="0"/>
              <w:adjustRightInd w:val="0"/>
              <w:spacing w:line="480" w:lineRule="auto"/>
              <w:rPr>
                <w:lang w:val="en-US"/>
              </w:rPr>
            </w:pPr>
            <w:r w:rsidRPr="00762FE5">
              <w:rPr>
                <w:lang w:val="en-US"/>
              </w:rPr>
              <w:t>Invitrogen, Hvidovre, Denmark</w:t>
            </w:r>
          </w:p>
        </w:tc>
        <w:tc>
          <w:tcPr>
            <w:tcW w:w="999" w:type="dxa"/>
          </w:tcPr>
          <w:p w:rsidR="00BA2C9F" w:rsidRPr="00211A24" w:rsidRDefault="00BA2C9F" w:rsidP="00571108">
            <w:pPr>
              <w:autoSpaceDE w:val="0"/>
              <w:autoSpaceDN w:val="0"/>
              <w:adjustRightInd w:val="0"/>
              <w:spacing w:line="480" w:lineRule="auto"/>
              <w:rPr>
                <w:lang w:val="en-US"/>
              </w:rPr>
            </w:pPr>
            <w:r>
              <w:t>1:5,000</w:t>
            </w:r>
          </w:p>
        </w:tc>
      </w:tr>
      <w:tr w:rsidR="00BA2C9F" w:rsidRPr="00211A24" w:rsidTr="00571108">
        <w:tc>
          <w:tcPr>
            <w:tcW w:w="895" w:type="dxa"/>
          </w:tcPr>
          <w:p w:rsidR="00BA2C9F" w:rsidRPr="002B4B18" w:rsidRDefault="00BA2C9F" w:rsidP="00571108">
            <w:pPr>
              <w:autoSpaceDE w:val="0"/>
              <w:autoSpaceDN w:val="0"/>
              <w:adjustRightInd w:val="0"/>
              <w:spacing w:line="480" w:lineRule="auto"/>
            </w:pPr>
            <w:r>
              <w:t>IgG2b</w:t>
            </w:r>
          </w:p>
        </w:tc>
        <w:tc>
          <w:tcPr>
            <w:tcW w:w="3960" w:type="dxa"/>
          </w:tcPr>
          <w:p w:rsidR="00BA2C9F" w:rsidRPr="00211A24" w:rsidRDefault="00BA2C9F" w:rsidP="00571108">
            <w:pPr>
              <w:autoSpaceDE w:val="0"/>
              <w:autoSpaceDN w:val="0"/>
              <w:adjustRightInd w:val="0"/>
              <w:spacing w:line="480" w:lineRule="auto"/>
              <w:rPr>
                <w:lang w:val="en-US"/>
              </w:rPr>
            </w:pPr>
            <w:r w:rsidRPr="00762FE5">
              <w:rPr>
                <w:lang w:val="en-US"/>
              </w:rPr>
              <w:t>HRP-conju</w:t>
            </w:r>
            <w:r>
              <w:rPr>
                <w:lang w:val="en-US"/>
              </w:rPr>
              <w:t>gated rabbit anti-mouse IgG2b</w:t>
            </w:r>
          </w:p>
        </w:tc>
        <w:tc>
          <w:tcPr>
            <w:tcW w:w="3766" w:type="dxa"/>
          </w:tcPr>
          <w:p w:rsidR="00BA2C9F" w:rsidRPr="00211A24" w:rsidRDefault="00BA2C9F" w:rsidP="00571108">
            <w:pPr>
              <w:autoSpaceDE w:val="0"/>
              <w:autoSpaceDN w:val="0"/>
              <w:adjustRightInd w:val="0"/>
              <w:spacing w:line="480" w:lineRule="auto"/>
              <w:rPr>
                <w:lang w:val="en-US"/>
              </w:rPr>
            </w:pPr>
            <w:r w:rsidRPr="00762FE5">
              <w:rPr>
                <w:lang w:val="en-US"/>
              </w:rPr>
              <w:t>Invitrogen, Hvidovre, Denmark</w:t>
            </w:r>
          </w:p>
        </w:tc>
        <w:tc>
          <w:tcPr>
            <w:tcW w:w="999" w:type="dxa"/>
          </w:tcPr>
          <w:p w:rsidR="00BA2C9F" w:rsidRPr="00211A24" w:rsidRDefault="00BA2C9F" w:rsidP="00571108">
            <w:pPr>
              <w:autoSpaceDE w:val="0"/>
              <w:autoSpaceDN w:val="0"/>
              <w:adjustRightInd w:val="0"/>
              <w:spacing w:line="480" w:lineRule="auto"/>
              <w:rPr>
                <w:lang w:val="en-US"/>
              </w:rPr>
            </w:pPr>
            <w:r>
              <w:t>1:5,000</w:t>
            </w:r>
          </w:p>
        </w:tc>
      </w:tr>
      <w:tr w:rsidR="00BA2C9F" w:rsidRPr="00211A24" w:rsidTr="00571108">
        <w:tc>
          <w:tcPr>
            <w:tcW w:w="895" w:type="dxa"/>
          </w:tcPr>
          <w:p w:rsidR="00BA2C9F" w:rsidRPr="002B4B18" w:rsidRDefault="00BA2C9F" w:rsidP="00571108">
            <w:pPr>
              <w:autoSpaceDE w:val="0"/>
              <w:autoSpaceDN w:val="0"/>
              <w:adjustRightInd w:val="0"/>
              <w:spacing w:line="480" w:lineRule="auto"/>
            </w:pPr>
            <w:r>
              <w:t>IgG2c</w:t>
            </w:r>
          </w:p>
        </w:tc>
        <w:tc>
          <w:tcPr>
            <w:tcW w:w="3960" w:type="dxa"/>
          </w:tcPr>
          <w:p w:rsidR="00BA2C9F" w:rsidRPr="00211A24" w:rsidRDefault="00BA2C9F" w:rsidP="00571108">
            <w:pPr>
              <w:autoSpaceDE w:val="0"/>
              <w:autoSpaceDN w:val="0"/>
              <w:adjustRightInd w:val="0"/>
              <w:spacing w:line="480" w:lineRule="auto"/>
              <w:rPr>
                <w:lang w:val="en-US"/>
              </w:rPr>
            </w:pPr>
            <w:r w:rsidRPr="00762FE5">
              <w:rPr>
                <w:lang w:val="en-US"/>
              </w:rPr>
              <w:t>HRP-co</w:t>
            </w:r>
            <w:r>
              <w:rPr>
                <w:lang w:val="en-US"/>
              </w:rPr>
              <w:t>njugated rabbit anti-mouse IgG2c</w:t>
            </w:r>
          </w:p>
        </w:tc>
        <w:tc>
          <w:tcPr>
            <w:tcW w:w="3766" w:type="dxa"/>
          </w:tcPr>
          <w:p w:rsidR="00BA2C9F" w:rsidRPr="00211A24" w:rsidRDefault="00BA2C9F" w:rsidP="00571108">
            <w:pPr>
              <w:autoSpaceDE w:val="0"/>
              <w:autoSpaceDN w:val="0"/>
              <w:adjustRightInd w:val="0"/>
              <w:spacing w:line="480" w:lineRule="auto"/>
              <w:rPr>
                <w:lang w:val="en-US"/>
              </w:rPr>
            </w:pPr>
            <w:r w:rsidRPr="00762FE5">
              <w:rPr>
                <w:lang w:val="en-US"/>
              </w:rPr>
              <w:t>Southern Biotech, Birmingham, AL</w:t>
            </w:r>
            <w:r>
              <w:rPr>
                <w:lang w:val="en-US"/>
              </w:rPr>
              <w:t>, USA</w:t>
            </w:r>
          </w:p>
        </w:tc>
        <w:tc>
          <w:tcPr>
            <w:tcW w:w="999" w:type="dxa"/>
          </w:tcPr>
          <w:p w:rsidR="00BA2C9F" w:rsidRPr="00211A24" w:rsidRDefault="00BA2C9F" w:rsidP="00571108">
            <w:pPr>
              <w:autoSpaceDE w:val="0"/>
              <w:autoSpaceDN w:val="0"/>
              <w:adjustRightInd w:val="0"/>
              <w:spacing w:line="480" w:lineRule="auto"/>
              <w:rPr>
                <w:lang w:val="en-US"/>
              </w:rPr>
            </w:pPr>
            <w:r>
              <w:t>1:5,000</w:t>
            </w:r>
          </w:p>
        </w:tc>
      </w:tr>
      <w:tr w:rsidR="00BA2C9F" w:rsidRPr="00211A24" w:rsidTr="00571108">
        <w:tc>
          <w:tcPr>
            <w:tcW w:w="895" w:type="dxa"/>
          </w:tcPr>
          <w:p w:rsidR="00BA2C9F" w:rsidRPr="002B4B18" w:rsidRDefault="00BA2C9F" w:rsidP="00571108">
            <w:pPr>
              <w:autoSpaceDE w:val="0"/>
              <w:autoSpaceDN w:val="0"/>
              <w:adjustRightInd w:val="0"/>
              <w:spacing w:line="480" w:lineRule="auto"/>
            </w:pPr>
            <w:r>
              <w:t>IgM</w:t>
            </w:r>
          </w:p>
        </w:tc>
        <w:tc>
          <w:tcPr>
            <w:tcW w:w="3960" w:type="dxa"/>
          </w:tcPr>
          <w:p w:rsidR="00BA2C9F" w:rsidRPr="00211A24" w:rsidRDefault="00BA2C9F" w:rsidP="00571108">
            <w:pPr>
              <w:autoSpaceDE w:val="0"/>
              <w:autoSpaceDN w:val="0"/>
              <w:adjustRightInd w:val="0"/>
              <w:spacing w:line="480" w:lineRule="auto"/>
              <w:rPr>
                <w:lang w:val="en-US"/>
              </w:rPr>
            </w:pPr>
            <w:r w:rsidRPr="0043404A">
              <w:rPr>
                <w:lang w:val="en-US"/>
              </w:rPr>
              <w:t>HRP-conjugated goat anti-mouse IgM</w:t>
            </w:r>
          </w:p>
        </w:tc>
        <w:tc>
          <w:tcPr>
            <w:tcW w:w="3766" w:type="dxa"/>
          </w:tcPr>
          <w:p w:rsidR="00BA2C9F" w:rsidRPr="00211A24" w:rsidRDefault="00BA2C9F" w:rsidP="00571108">
            <w:pPr>
              <w:autoSpaceDE w:val="0"/>
              <w:autoSpaceDN w:val="0"/>
              <w:adjustRightInd w:val="0"/>
              <w:spacing w:line="480" w:lineRule="auto"/>
              <w:rPr>
                <w:lang w:val="en-US"/>
              </w:rPr>
            </w:pPr>
            <w:r w:rsidRPr="00762FE5">
              <w:rPr>
                <w:lang w:val="en-US"/>
              </w:rPr>
              <w:t>Southern Biotech, Birmingham, AL</w:t>
            </w:r>
            <w:r>
              <w:rPr>
                <w:lang w:val="en-US"/>
              </w:rPr>
              <w:t>, USA</w:t>
            </w:r>
          </w:p>
        </w:tc>
        <w:tc>
          <w:tcPr>
            <w:tcW w:w="999" w:type="dxa"/>
          </w:tcPr>
          <w:p w:rsidR="00BA2C9F" w:rsidRPr="00211A24" w:rsidRDefault="00BA2C9F" w:rsidP="00571108">
            <w:pPr>
              <w:autoSpaceDE w:val="0"/>
              <w:autoSpaceDN w:val="0"/>
              <w:adjustRightInd w:val="0"/>
              <w:spacing w:line="480" w:lineRule="auto"/>
              <w:rPr>
                <w:lang w:val="en-US"/>
              </w:rPr>
            </w:pPr>
            <w:r>
              <w:t>1:5,000</w:t>
            </w:r>
          </w:p>
        </w:tc>
      </w:tr>
    </w:tbl>
    <w:p w:rsidR="00BA2C9F" w:rsidRPr="00211A24" w:rsidRDefault="00BA2C9F" w:rsidP="00BA2C9F">
      <w:pPr>
        <w:autoSpaceDE w:val="0"/>
        <w:autoSpaceDN w:val="0"/>
        <w:adjustRightInd w:val="0"/>
        <w:spacing w:after="0" w:line="480" w:lineRule="auto"/>
        <w:rPr>
          <w:b/>
          <w:lang w:val="en-US"/>
        </w:rPr>
      </w:pPr>
    </w:p>
    <w:p w:rsidR="00BA2C9F" w:rsidRDefault="00BA2C9F" w:rsidP="00BA2C9F">
      <w:pPr>
        <w:autoSpaceDE w:val="0"/>
        <w:autoSpaceDN w:val="0"/>
        <w:adjustRightInd w:val="0"/>
        <w:spacing w:after="0" w:line="480" w:lineRule="auto"/>
        <w:rPr>
          <w:b/>
          <w:lang w:val="en-US"/>
        </w:rPr>
      </w:pPr>
      <w:r>
        <w:rPr>
          <w:b/>
          <w:lang w:val="en-US"/>
        </w:rPr>
        <w:t>Results</w:t>
      </w:r>
    </w:p>
    <w:p w:rsidR="00BA2C9F" w:rsidRPr="006E59E1" w:rsidRDefault="00BA2C9F" w:rsidP="00BA2C9F">
      <w:pPr>
        <w:autoSpaceDE w:val="0"/>
        <w:autoSpaceDN w:val="0"/>
        <w:adjustRightInd w:val="0"/>
        <w:spacing w:after="0" w:line="480" w:lineRule="auto"/>
        <w:rPr>
          <w:lang w:val="en-US"/>
        </w:rPr>
      </w:pPr>
      <w:r w:rsidRPr="004B0DB7">
        <w:rPr>
          <w:b/>
          <w:lang w:val="en-US"/>
        </w:rPr>
        <w:t>Supplementary Figure S1.</w:t>
      </w:r>
      <w:r>
        <w:rPr>
          <w:lang w:val="en-US"/>
        </w:rPr>
        <w:t xml:space="preserve"> </w:t>
      </w:r>
      <w:r w:rsidRPr="00DA3447">
        <w:rPr>
          <w:lang w:val="en-US"/>
        </w:rPr>
        <w:t xml:space="preserve">Antigen-specific </w:t>
      </w:r>
      <w:r>
        <w:rPr>
          <w:lang w:val="en-US"/>
        </w:rPr>
        <w:t>antibody</w:t>
      </w:r>
      <w:r w:rsidRPr="00DA3447">
        <w:rPr>
          <w:lang w:val="en-US"/>
        </w:rPr>
        <w:t xml:space="preserve"> responses </w:t>
      </w:r>
      <w:r>
        <w:rPr>
          <w:lang w:val="en-US"/>
        </w:rPr>
        <w:t>in lung supernatants and serum measured by ELISA</w:t>
      </w:r>
      <w:r w:rsidRPr="00DA3447">
        <w:rPr>
          <w:lang w:val="en-US"/>
        </w:rPr>
        <w:t xml:space="preserve">. </w:t>
      </w:r>
      <w:r>
        <w:rPr>
          <w:lang w:val="en-US"/>
        </w:rPr>
        <w:t>Lung supernatants and serum s</w:t>
      </w:r>
      <w:r w:rsidRPr="00DA3447">
        <w:rPr>
          <w:lang w:val="en-US"/>
        </w:rPr>
        <w:t>amples were</w:t>
      </w:r>
      <w:r>
        <w:rPr>
          <w:lang w:val="en-US"/>
        </w:rPr>
        <w:t xml:space="preserve"> isolated</w:t>
      </w:r>
      <w:r w:rsidRPr="00DA3447">
        <w:rPr>
          <w:lang w:val="en-US"/>
        </w:rPr>
        <w:t xml:space="preserve"> </w:t>
      </w:r>
      <w:r>
        <w:rPr>
          <w:lang w:val="en-US"/>
        </w:rPr>
        <w:t>two</w:t>
      </w:r>
      <w:r w:rsidRPr="00DA3447">
        <w:rPr>
          <w:lang w:val="en-US"/>
        </w:rPr>
        <w:t xml:space="preserve"> weeks after the last booster immunization (week </w:t>
      </w:r>
      <w:r>
        <w:rPr>
          <w:lang w:val="en-US"/>
        </w:rPr>
        <w:t xml:space="preserve">6 </w:t>
      </w:r>
      <w:r w:rsidRPr="00DA3447">
        <w:rPr>
          <w:lang w:val="en-US"/>
        </w:rPr>
        <w:t>of the study). H56-specific production of</w:t>
      </w:r>
      <w:r>
        <w:rPr>
          <w:lang w:val="en-US"/>
        </w:rPr>
        <w:t xml:space="preserve"> IgA, IgG1, IgG2a, IgG2b, IgG2c, and IgM </w:t>
      </w:r>
      <w:r w:rsidRPr="00DA3447">
        <w:rPr>
          <w:lang w:val="en-US"/>
        </w:rPr>
        <w:t>was measured</w:t>
      </w:r>
      <w:r>
        <w:rPr>
          <w:lang w:val="en-US"/>
        </w:rPr>
        <w:t xml:space="preserve"> in the lung supernatant (a-f) and serum</w:t>
      </w:r>
      <w:r w:rsidRPr="00DA3447">
        <w:rPr>
          <w:lang w:val="en-US"/>
        </w:rPr>
        <w:t xml:space="preserve"> </w:t>
      </w:r>
      <w:r>
        <w:rPr>
          <w:lang w:val="en-US"/>
        </w:rPr>
        <w:t xml:space="preserve">(g-l) </w:t>
      </w:r>
      <w:r w:rsidRPr="00DA3447">
        <w:rPr>
          <w:lang w:val="en-US"/>
        </w:rPr>
        <w:t xml:space="preserve">by ELISA. </w:t>
      </w:r>
    </w:p>
    <w:p w:rsidR="00BA2C9F" w:rsidRPr="00E92ED5" w:rsidRDefault="00BA2C9F" w:rsidP="00BA2C9F">
      <w:pPr>
        <w:autoSpaceDE w:val="0"/>
        <w:autoSpaceDN w:val="0"/>
        <w:adjustRightInd w:val="0"/>
        <w:spacing w:after="0" w:line="480" w:lineRule="auto"/>
        <w:rPr>
          <w:lang w:val="en-US"/>
        </w:rPr>
      </w:pPr>
    </w:p>
    <w:p w:rsidR="00BA2C9F" w:rsidRDefault="00BA2C9F" w:rsidP="00BA2C9F">
      <w:pPr>
        <w:autoSpaceDE w:val="0"/>
        <w:autoSpaceDN w:val="0"/>
        <w:adjustRightInd w:val="0"/>
        <w:spacing w:after="0" w:line="480" w:lineRule="auto"/>
        <w:rPr>
          <w:lang w:val="en-US"/>
        </w:rPr>
      </w:pPr>
      <w:r>
        <w:rPr>
          <w:b/>
          <w:lang w:val="en-US"/>
        </w:rPr>
        <w:t>Supplementary Figure S2</w:t>
      </w:r>
      <w:r w:rsidRPr="004B0DB7">
        <w:rPr>
          <w:b/>
          <w:lang w:val="en-US"/>
        </w:rPr>
        <w:t>.</w:t>
      </w:r>
      <w:r>
        <w:rPr>
          <w:lang w:val="en-US"/>
        </w:rPr>
        <w:t xml:space="preserve"> Percentage of IFN-</w:t>
      </w:r>
      <w:r>
        <w:rPr>
          <w:rFonts w:ascii="Times New Roman" w:hAnsi="Times New Roman" w:cs="Times New Roman"/>
          <w:lang w:val="en-US"/>
        </w:rPr>
        <w:t>γ</w:t>
      </w:r>
      <w:r w:rsidRPr="00FF62F9">
        <w:rPr>
          <w:vertAlign w:val="superscript"/>
          <w:lang w:val="en-US"/>
        </w:rPr>
        <w:t>+</w:t>
      </w:r>
      <w:r>
        <w:rPr>
          <w:lang w:val="en-US"/>
        </w:rPr>
        <w:t>CD4</w:t>
      </w:r>
      <w:r w:rsidRPr="00FF62F9">
        <w:rPr>
          <w:vertAlign w:val="superscript"/>
          <w:lang w:val="en-US"/>
        </w:rPr>
        <w:t>+</w:t>
      </w:r>
      <w:r>
        <w:rPr>
          <w:lang w:val="en-US"/>
        </w:rPr>
        <w:t>CD44</w:t>
      </w:r>
      <w:r w:rsidRPr="00FF62F9">
        <w:rPr>
          <w:vertAlign w:val="superscript"/>
          <w:lang w:val="en-US"/>
        </w:rPr>
        <w:t>+</w:t>
      </w:r>
      <w:r>
        <w:rPr>
          <w:lang w:val="en-US"/>
        </w:rPr>
        <w:t xml:space="preserve"> or TNF-</w:t>
      </w:r>
      <w:r>
        <w:rPr>
          <w:rFonts w:cstheme="minorHAnsi"/>
          <w:lang w:val="en-US"/>
        </w:rPr>
        <w:t>α</w:t>
      </w:r>
      <w:r w:rsidRPr="00FF62F9">
        <w:rPr>
          <w:vertAlign w:val="superscript"/>
          <w:lang w:val="en-US"/>
        </w:rPr>
        <w:t>+</w:t>
      </w:r>
      <w:r>
        <w:rPr>
          <w:lang w:val="en-US"/>
        </w:rPr>
        <w:t>CD4</w:t>
      </w:r>
      <w:r w:rsidRPr="00FF62F9">
        <w:rPr>
          <w:vertAlign w:val="superscript"/>
          <w:lang w:val="en-US"/>
        </w:rPr>
        <w:t>+</w:t>
      </w:r>
      <w:r>
        <w:rPr>
          <w:lang w:val="en-US"/>
        </w:rPr>
        <w:t>CD44</w:t>
      </w:r>
      <w:r w:rsidRPr="00FF62F9">
        <w:rPr>
          <w:vertAlign w:val="superscript"/>
          <w:lang w:val="en-US"/>
        </w:rPr>
        <w:t>+</w:t>
      </w:r>
      <w:r>
        <w:rPr>
          <w:lang w:val="en-US"/>
        </w:rPr>
        <w:t xml:space="preserve"> or IL-17</w:t>
      </w:r>
      <w:r w:rsidRPr="00FF62F9">
        <w:rPr>
          <w:vertAlign w:val="superscript"/>
          <w:lang w:val="en-US"/>
        </w:rPr>
        <w:t>+</w:t>
      </w:r>
      <w:r>
        <w:rPr>
          <w:lang w:val="en-US"/>
        </w:rPr>
        <w:t>CD4</w:t>
      </w:r>
      <w:r w:rsidRPr="00FF62F9">
        <w:rPr>
          <w:vertAlign w:val="superscript"/>
          <w:lang w:val="en-US"/>
        </w:rPr>
        <w:t>+</w:t>
      </w:r>
      <w:r>
        <w:rPr>
          <w:lang w:val="en-US"/>
        </w:rPr>
        <w:t>CD44</w:t>
      </w:r>
      <w:r w:rsidRPr="00FF62F9">
        <w:rPr>
          <w:vertAlign w:val="superscript"/>
          <w:lang w:val="en-US"/>
        </w:rPr>
        <w:t>+</w:t>
      </w:r>
      <w:r>
        <w:rPr>
          <w:lang w:val="en-US"/>
        </w:rPr>
        <w:t xml:space="preserve"> T cells by intracellular flow cytometry. Lung cells were examined for labeling with i.v.-injected, FITC-conjugated anti-CD45.2 mAb. IFN-</w:t>
      </w:r>
      <w:r>
        <w:rPr>
          <w:rFonts w:ascii="Times New Roman" w:hAnsi="Times New Roman" w:cs="Times New Roman"/>
          <w:lang w:val="en-US"/>
        </w:rPr>
        <w:t>γ</w:t>
      </w:r>
      <w:r w:rsidRPr="00FF62F9">
        <w:rPr>
          <w:vertAlign w:val="superscript"/>
          <w:lang w:val="en-US"/>
        </w:rPr>
        <w:t>+</w:t>
      </w:r>
      <w:r>
        <w:rPr>
          <w:lang w:val="en-US"/>
        </w:rPr>
        <w:t xml:space="preserve"> or TNF-</w:t>
      </w:r>
      <w:r>
        <w:rPr>
          <w:rFonts w:cstheme="minorHAnsi"/>
          <w:lang w:val="en-US"/>
        </w:rPr>
        <w:t>α</w:t>
      </w:r>
      <w:r w:rsidRPr="00FF62F9">
        <w:rPr>
          <w:vertAlign w:val="superscript"/>
          <w:lang w:val="en-US"/>
        </w:rPr>
        <w:t>+</w:t>
      </w:r>
      <w:r>
        <w:rPr>
          <w:vertAlign w:val="superscript"/>
          <w:lang w:val="en-US"/>
        </w:rPr>
        <w:t xml:space="preserve"> </w:t>
      </w:r>
      <w:r>
        <w:rPr>
          <w:lang w:val="en-US"/>
        </w:rPr>
        <w:t>or IL-17 producing i.v.CD45</w:t>
      </w:r>
      <w:r w:rsidRPr="00651055">
        <w:rPr>
          <w:vertAlign w:val="superscript"/>
          <w:lang w:val="en-US"/>
        </w:rPr>
        <w:t>-</w:t>
      </w:r>
      <w:r>
        <w:rPr>
          <w:lang w:val="en-US"/>
        </w:rPr>
        <w:t>CD4</w:t>
      </w:r>
      <w:r w:rsidRPr="00751C8C">
        <w:rPr>
          <w:vertAlign w:val="superscript"/>
          <w:lang w:val="en-US"/>
        </w:rPr>
        <w:t>+</w:t>
      </w:r>
      <w:r>
        <w:rPr>
          <w:lang w:val="en-US"/>
        </w:rPr>
        <w:t>CD44</w:t>
      </w:r>
      <w:r w:rsidRPr="00751C8C">
        <w:rPr>
          <w:vertAlign w:val="superscript"/>
          <w:lang w:val="en-US"/>
        </w:rPr>
        <w:t>+</w:t>
      </w:r>
      <w:r>
        <w:rPr>
          <w:lang w:val="en-US"/>
        </w:rPr>
        <w:t xml:space="preserve"> T cells were then identified by gating of lung cells as described earlier (a). Similarly, the percentages of IFN-</w:t>
      </w:r>
      <w:r>
        <w:rPr>
          <w:rFonts w:ascii="Times New Roman" w:hAnsi="Times New Roman" w:cs="Times New Roman"/>
          <w:lang w:val="en-US"/>
        </w:rPr>
        <w:t>γ</w:t>
      </w:r>
      <w:r w:rsidRPr="00FF62F9">
        <w:rPr>
          <w:vertAlign w:val="superscript"/>
          <w:lang w:val="en-US"/>
        </w:rPr>
        <w:t>+</w:t>
      </w:r>
      <w:r>
        <w:rPr>
          <w:lang w:val="en-US"/>
        </w:rPr>
        <w:t xml:space="preserve"> or TNF-</w:t>
      </w:r>
      <w:r>
        <w:rPr>
          <w:rFonts w:cstheme="minorHAnsi"/>
          <w:lang w:val="en-US"/>
        </w:rPr>
        <w:t>α</w:t>
      </w:r>
      <w:r w:rsidRPr="00FF62F9">
        <w:rPr>
          <w:vertAlign w:val="superscript"/>
          <w:lang w:val="en-US"/>
        </w:rPr>
        <w:t>+</w:t>
      </w:r>
      <w:r>
        <w:rPr>
          <w:vertAlign w:val="superscript"/>
          <w:lang w:val="en-US"/>
        </w:rPr>
        <w:t xml:space="preserve"> </w:t>
      </w:r>
      <w:r>
        <w:rPr>
          <w:lang w:val="en-US"/>
        </w:rPr>
        <w:t>or IL-17 producing CD4</w:t>
      </w:r>
      <w:r w:rsidRPr="00751C8C">
        <w:rPr>
          <w:vertAlign w:val="superscript"/>
          <w:lang w:val="en-US"/>
        </w:rPr>
        <w:t>+</w:t>
      </w:r>
      <w:r>
        <w:rPr>
          <w:lang w:val="en-US"/>
        </w:rPr>
        <w:t>CD44</w:t>
      </w:r>
      <w:r w:rsidRPr="00751C8C">
        <w:rPr>
          <w:vertAlign w:val="superscript"/>
          <w:lang w:val="en-US"/>
        </w:rPr>
        <w:t>+</w:t>
      </w:r>
      <w:r>
        <w:rPr>
          <w:lang w:val="en-US"/>
        </w:rPr>
        <w:t xml:space="preserve"> T cells were identified in the lung-draining LNs (TLN + MLN) (b), spleen (c), and LNs draining the </w:t>
      </w:r>
      <w:r>
        <w:rPr>
          <w:lang w:val="en-US"/>
        </w:rPr>
        <w:lastRenderedPageBreak/>
        <w:t>site of i.m. injection (ILN + PLN) (d). Statistical analysis: one-way ANOVA and Tukey’s post-test. Bars represent mean values ± s.e.m</w:t>
      </w:r>
      <w:r w:rsidRPr="001C0D52">
        <w:rPr>
          <w:lang w:val="en-US"/>
        </w:rPr>
        <w:t>.,</w:t>
      </w:r>
      <w:r>
        <w:rPr>
          <w:lang w:val="en-US"/>
        </w:rPr>
        <w:t xml:space="preserve"> n = 6</w:t>
      </w:r>
      <w:r w:rsidRPr="00341BDB">
        <w:rPr>
          <w:lang w:val="en-US"/>
        </w:rPr>
        <w:t>.</w:t>
      </w:r>
      <w:r>
        <w:rPr>
          <w:lang w:val="en-US"/>
        </w:rPr>
        <w:t xml:space="preserve"> ***</w:t>
      </w:r>
      <w:r w:rsidRPr="00BF255B">
        <w:rPr>
          <w:i/>
          <w:lang w:val="en-US"/>
        </w:rPr>
        <w:t>p</w:t>
      </w:r>
      <w:r>
        <w:rPr>
          <w:lang w:val="en-US"/>
        </w:rPr>
        <w:t xml:space="preserve"> &lt; </w:t>
      </w:r>
      <w:r w:rsidRPr="00054C83">
        <w:rPr>
          <w:lang w:val="en-US"/>
        </w:rPr>
        <w:t>0.001</w:t>
      </w:r>
      <w:r>
        <w:rPr>
          <w:lang w:val="en-US"/>
        </w:rPr>
        <w:t xml:space="preserve">.   </w:t>
      </w:r>
    </w:p>
    <w:p w:rsidR="00BA2C9F" w:rsidRDefault="00BA2C9F" w:rsidP="00BA2C9F">
      <w:pPr>
        <w:autoSpaceDE w:val="0"/>
        <w:autoSpaceDN w:val="0"/>
        <w:adjustRightInd w:val="0"/>
        <w:spacing w:after="0" w:line="480" w:lineRule="auto"/>
        <w:rPr>
          <w:lang w:val="en-US"/>
        </w:rPr>
      </w:pPr>
    </w:p>
    <w:p w:rsidR="00BA2C9F" w:rsidRDefault="00BA2C9F" w:rsidP="00BA2C9F">
      <w:pPr>
        <w:autoSpaceDE w:val="0"/>
        <w:autoSpaceDN w:val="0"/>
        <w:adjustRightInd w:val="0"/>
        <w:spacing w:after="0" w:line="480" w:lineRule="auto"/>
        <w:rPr>
          <w:lang w:val="en-US"/>
        </w:rPr>
      </w:pPr>
      <w:r>
        <w:rPr>
          <w:b/>
          <w:lang w:val="en-US"/>
        </w:rPr>
        <w:t>Supplementary Figure S3</w:t>
      </w:r>
      <w:r w:rsidRPr="004B0DB7">
        <w:rPr>
          <w:b/>
          <w:lang w:val="en-US"/>
        </w:rPr>
        <w:t>.</w:t>
      </w:r>
      <w:r>
        <w:rPr>
          <w:lang w:val="en-US"/>
        </w:rPr>
        <w:t xml:space="preserve"> Unadjuvanted H56 is rapidly cleared. (a) Experimental scheme:</w:t>
      </w:r>
      <w:r w:rsidRPr="00C01C1A">
        <w:rPr>
          <w:lang w:val="en-US"/>
        </w:rPr>
        <w:t xml:space="preserve"> </w:t>
      </w:r>
      <w:r>
        <w:rPr>
          <w:lang w:val="en-US"/>
        </w:rPr>
        <w:t xml:space="preserve">Mice were prime-immunized s.c. with 5 </w:t>
      </w:r>
      <w:r>
        <w:rPr>
          <w:rFonts w:cstheme="minorHAnsi"/>
          <w:lang w:val="en-US"/>
        </w:rPr>
        <w:t>µ</w:t>
      </w:r>
      <w:r>
        <w:rPr>
          <w:lang w:val="en-US"/>
        </w:rPr>
        <w:t xml:space="preserve">g H56. At week 2, animals were boost-immunized </w:t>
      </w:r>
      <w:r w:rsidRPr="00906834">
        <w:rPr>
          <w:i/>
          <w:lang w:val="en-US"/>
        </w:rPr>
        <w:t>via</w:t>
      </w:r>
      <w:r>
        <w:rPr>
          <w:lang w:val="en-US"/>
        </w:rPr>
        <w:t xml:space="preserve"> the intrapulmonary (i.pulmon.) route with 10 </w:t>
      </w:r>
      <w:r>
        <w:rPr>
          <w:rFonts w:cstheme="minorHAnsi"/>
          <w:lang w:val="en-US"/>
        </w:rPr>
        <w:t>µ</w:t>
      </w:r>
      <w:r>
        <w:rPr>
          <w:lang w:val="en-US"/>
        </w:rPr>
        <w:t xml:space="preserve">g </w:t>
      </w:r>
      <w:r>
        <w:rPr>
          <w:vertAlign w:val="superscript"/>
          <w:lang w:val="en-US"/>
        </w:rPr>
        <w:t>67</w:t>
      </w:r>
      <w:r>
        <w:rPr>
          <w:lang w:val="en-US"/>
        </w:rPr>
        <w:t>Ga-H56. Animals were imaged by dynamic whole-body SPECT/CT scan for the initial 40 min (10 min/frame) and after that static 40 min scans at 6 and 24 h, 60 min scan at 96 h and 90 min scan at 144 h were conducted. A</w:t>
      </w:r>
      <w:r w:rsidRPr="00C01C1A">
        <w:rPr>
          <w:lang w:val="en-US"/>
        </w:rPr>
        <w:t xml:space="preserve">nimals were </w:t>
      </w:r>
      <w:r>
        <w:rPr>
          <w:lang w:val="en-US"/>
        </w:rPr>
        <w:t>euthanized on day 6</w:t>
      </w:r>
      <w:r w:rsidRPr="00C01C1A">
        <w:rPr>
          <w:lang w:val="en-US"/>
        </w:rPr>
        <w:t xml:space="preserve"> after immunization</w:t>
      </w:r>
      <w:r>
        <w:rPr>
          <w:lang w:val="en-US"/>
        </w:rPr>
        <w:t xml:space="preserve"> for </w:t>
      </w:r>
      <w:r w:rsidRPr="00AD6BCC">
        <w:rPr>
          <w:i/>
          <w:lang w:val="en-US"/>
        </w:rPr>
        <w:t>ex vivo</w:t>
      </w:r>
      <w:r>
        <w:rPr>
          <w:lang w:val="en-US"/>
        </w:rPr>
        <w:t xml:space="preserve"> biodistribution using a gamma counter</w:t>
      </w:r>
      <w:r w:rsidRPr="00C01C1A">
        <w:rPr>
          <w:lang w:val="en-US"/>
        </w:rPr>
        <w:t>.</w:t>
      </w:r>
      <w:r>
        <w:rPr>
          <w:lang w:val="en-US"/>
        </w:rPr>
        <w:t xml:space="preserve"> (b) Representative SPECT/CT images of a mouse prime-immunized s.c. with cold H56 and boost-immunized i.pulmon. with </w:t>
      </w:r>
      <w:r w:rsidRPr="00FB78AC">
        <w:rPr>
          <w:vertAlign w:val="superscript"/>
          <w:lang w:val="en-US"/>
        </w:rPr>
        <w:t>67</w:t>
      </w:r>
      <w:r>
        <w:rPr>
          <w:lang w:val="en-US"/>
        </w:rPr>
        <w:t xml:space="preserve">Ga-H56 and imaged over 144 h post-immunization. (c) Organ SUVs (g/mL) were </w:t>
      </w:r>
      <w:r w:rsidRPr="00916F0C">
        <w:rPr>
          <w:lang w:val="en-US"/>
        </w:rPr>
        <w:t xml:space="preserve">calculated from </w:t>
      </w:r>
      <w:r>
        <w:rPr>
          <w:lang w:val="en-US"/>
        </w:rPr>
        <w:t xml:space="preserve">dynamic and </w:t>
      </w:r>
      <w:r w:rsidRPr="00916F0C">
        <w:rPr>
          <w:lang w:val="en-US"/>
        </w:rPr>
        <w:t>static SPECT</w:t>
      </w:r>
      <w:r>
        <w:rPr>
          <w:lang w:val="en-US"/>
        </w:rPr>
        <w:t>/CT images</w:t>
      </w:r>
      <w:r w:rsidRPr="00916F0C">
        <w:rPr>
          <w:lang w:val="en-US"/>
        </w:rPr>
        <w:t xml:space="preserve"> o</w:t>
      </w:r>
      <w:r>
        <w:rPr>
          <w:lang w:val="en-US"/>
        </w:rPr>
        <w:t xml:space="preserve">f the cold H56 prime-immunized and hot </w:t>
      </w:r>
      <w:r>
        <w:rPr>
          <w:vertAlign w:val="superscript"/>
          <w:lang w:val="en-US"/>
        </w:rPr>
        <w:t>67</w:t>
      </w:r>
      <w:r>
        <w:rPr>
          <w:lang w:val="en-US"/>
        </w:rPr>
        <w:t>Ga-H56 boost-immunized animals over 144 h post-immunization (n = 3)</w:t>
      </w:r>
      <w:r w:rsidRPr="00341BDB">
        <w:rPr>
          <w:lang w:val="en-US"/>
        </w:rPr>
        <w:t>.</w:t>
      </w:r>
      <w:r>
        <w:rPr>
          <w:lang w:val="en-US"/>
        </w:rPr>
        <w:t xml:space="preserve"> (d) </w:t>
      </w:r>
      <w:r w:rsidRPr="00E076B7">
        <w:rPr>
          <w:i/>
          <w:lang w:val="en-US"/>
        </w:rPr>
        <w:t>Ex vivo</w:t>
      </w:r>
      <w:r>
        <w:rPr>
          <w:lang w:val="en-US"/>
        </w:rPr>
        <w:t xml:space="preserve"> organ biodistribution (% administered dose (AD)/organ] </w:t>
      </w:r>
      <w:r w:rsidRPr="00916F0C">
        <w:rPr>
          <w:lang w:val="en-US"/>
        </w:rPr>
        <w:t>o</w:t>
      </w:r>
      <w:r>
        <w:rPr>
          <w:lang w:val="en-US"/>
        </w:rPr>
        <w:t xml:space="preserve">f the cold H56 prime-immunized and hot </w:t>
      </w:r>
      <w:r>
        <w:rPr>
          <w:vertAlign w:val="superscript"/>
          <w:lang w:val="en-US"/>
        </w:rPr>
        <w:t>67</w:t>
      </w:r>
      <w:r>
        <w:rPr>
          <w:lang w:val="en-US"/>
        </w:rPr>
        <w:t>Ga-H56 boost-immunized animals on day 6 (144 h) post-immunization (n = 3)</w:t>
      </w:r>
      <w:r w:rsidRPr="00341BDB">
        <w:rPr>
          <w:lang w:val="en-US"/>
        </w:rPr>
        <w:t>.</w:t>
      </w:r>
      <w:r>
        <w:rPr>
          <w:lang w:val="en-US"/>
        </w:rPr>
        <w:t xml:space="preserve">      </w:t>
      </w:r>
    </w:p>
    <w:p w:rsidR="00BA2C9F" w:rsidRDefault="00BA2C9F" w:rsidP="00BA2C9F">
      <w:pPr>
        <w:autoSpaceDE w:val="0"/>
        <w:autoSpaceDN w:val="0"/>
        <w:adjustRightInd w:val="0"/>
        <w:spacing w:after="0" w:line="480" w:lineRule="auto"/>
        <w:rPr>
          <w:lang w:val="en-US"/>
        </w:rPr>
      </w:pPr>
    </w:p>
    <w:p w:rsidR="00BA2C9F" w:rsidRPr="008F2DB9" w:rsidRDefault="00BA2C9F" w:rsidP="00BA2C9F">
      <w:pPr>
        <w:autoSpaceDE w:val="0"/>
        <w:autoSpaceDN w:val="0"/>
        <w:adjustRightInd w:val="0"/>
        <w:spacing w:after="0" w:line="480" w:lineRule="auto"/>
        <w:rPr>
          <w:lang w:val="en-US"/>
        </w:rPr>
      </w:pPr>
      <w:r>
        <w:rPr>
          <w:b/>
          <w:lang w:val="en-US"/>
        </w:rPr>
        <w:t>Supplementary Figure S4</w:t>
      </w:r>
      <w:r w:rsidRPr="004B0DB7">
        <w:rPr>
          <w:b/>
          <w:lang w:val="en-US"/>
        </w:rPr>
        <w:t>.</w:t>
      </w:r>
      <w:r>
        <w:rPr>
          <w:lang w:val="en-US"/>
        </w:rPr>
        <w:t xml:space="preserve"> H56 has a distinct biodistribution profile when administered in the presence or absence of CAF01 liposomes. The SUVs (g/mL) were compared in the animals that were prime-immunized s.c. with 5 </w:t>
      </w:r>
      <w:r>
        <w:rPr>
          <w:rFonts w:cstheme="minorHAnsi"/>
          <w:lang w:val="en-US"/>
        </w:rPr>
        <w:t>µ</w:t>
      </w:r>
      <w:r>
        <w:rPr>
          <w:lang w:val="en-US"/>
        </w:rPr>
        <w:t xml:space="preserve">g cold H56 or 5 </w:t>
      </w:r>
      <w:r>
        <w:rPr>
          <w:rFonts w:cstheme="minorHAnsi"/>
          <w:lang w:val="en-US"/>
        </w:rPr>
        <w:t>µ</w:t>
      </w:r>
      <w:r>
        <w:rPr>
          <w:lang w:val="en-US"/>
        </w:rPr>
        <w:t xml:space="preserve">g cold H56 adjuvanted with cold CAF01 (250/50 </w:t>
      </w:r>
      <w:r>
        <w:rPr>
          <w:rFonts w:cstheme="minorHAnsi"/>
          <w:lang w:val="en-US"/>
        </w:rPr>
        <w:t>µ</w:t>
      </w:r>
      <w:r>
        <w:rPr>
          <w:lang w:val="en-US"/>
        </w:rPr>
        <w:t xml:space="preserve">g DDA/TDB). At week 2, animals were boost-immunized </w:t>
      </w:r>
      <w:r w:rsidRPr="00906834">
        <w:rPr>
          <w:i/>
          <w:lang w:val="en-US"/>
        </w:rPr>
        <w:t>via</w:t>
      </w:r>
      <w:r>
        <w:rPr>
          <w:lang w:val="en-US"/>
        </w:rPr>
        <w:t xml:space="preserve"> the intrapulmonary (i.pulmon.) route with 10 </w:t>
      </w:r>
      <w:r>
        <w:rPr>
          <w:rFonts w:cstheme="minorHAnsi"/>
          <w:lang w:val="en-US"/>
        </w:rPr>
        <w:t>µ</w:t>
      </w:r>
      <w:r>
        <w:rPr>
          <w:lang w:val="en-US"/>
        </w:rPr>
        <w:t xml:space="preserve">g </w:t>
      </w:r>
      <w:r>
        <w:rPr>
          <w:vertAlign w:val="superscript"/>
          <w:lang w:val="en-US"/>
        </w:rPr>
        <w:t>67</w:t>
      </w:r>
      <w:r>
        <w:rPr>
          <w:lang w:val="en-US"/>
        </w:rPr>
        <w:t xml:space="preserve">Ga-H56 or 10 </w:t>
      </w:r>
      <w:r>
        <w:rPr>
          <w:rFonts w:cstheme="minorHAnsi"/>
          <w:lang w:val="en-US"/>
        </w:rPr>
        <w:t>µ</w:t>
      </w:r>
      <w:r>
        <w:rPr>
          <w:lang w:val="en-US"/>
        </w:rPr>
        <w:t xml:space="preserve">g </w:t>
      </w:r>
      <w:r>
        <w:rPr>
          <w:vertAlign w:val="superscript"/>
          <w:lang w:val="en-US"/>
        </w:rPr>
        <w:t>67</w:t>
      </w:r>
      <w:r>
        <w:rPr>
          <w:lang w:val="en-US"/>
        </w:rPr>
        <w:t xml:space="preserve">Ga-H56 adjuvanted with </w:t>
      </w:r>
      <w:r w:rsidRPr="00906834">
        <w:rPr>
          <w:vertAlign w:val="superscript"/>
          <w:lang w:val="en-US"/>
        </w:rPr>
        <w:t>111</w:t>
      </w:r>
      <w:r>
        <w:rPr>
          <w:lang w:val="en-US"/>
        </w:rPr>
        <w:t xml:space="preserve">In-CAF01 (125/25 </w:t>
      </w:r>
      <w:r>
        <w:rPr>
          <w:rFonts w:cstheme="minorHAnsi"/>
          <w:lang w:val="en-US"/>
        </w:rPr>
        <w:t>µ</w:t>
      </w:r>
      <w:r>
        <w:rPr>
          <w:lang w:val="en-US"/>
        </w:rPr>
        <w:t xml:space="preserve">g DDA/TDB). </w:t>
      </w:r>
      <w:r>
        <w:rPr>
          <w:rFonts w:cstheme="minorHAnsi"/>
          <w:lang w:val="en-US"/>
        </w:rPr>
        <w:t>S</w:t>
      </w:r>
      <w:r>
        <w:rPr>
          <w:lang w:val="en-US"/>
        </w:rPr>
        <w:t>tatistical analysis: two-way ANOVA and Sidak’s post-test. Data represent mean values ± s</w:t>
      </w:r>
      <w:r w:rsidRPr="001C0D52">
        <w:rPr>
          <w:lang w:val="en-US"/>
        </w:rPr>
        <w:t>.</w:t>
      </w:r>
      <w:r>
        <w:rPr>
          <w:lang w:val="en-US"/>
        </w:rPr>
        <w:t>d.</w:t>
      </w:r>
      <w:r w:rsidRPr="001C0D52">
        <w:rPr>
          <w:lang w:val="en-US"/>
        </w:rPr>
        <w:t>,</w:t>
      </w:r>
      <w:r>
        <w:rPr>
          <w:lang w:val="en-US"/>
        </w:rPr>
        <w:t xml:space="preserve"> n = 3</w:t>
      </w:r>
      <w:r w:rsidRPr="00341BDB">
        <w:rPr>
          <w:lang w:val="en-US"/>
        </w:rPr>
        <w:t>.</w:t>
      </w:r>
      <w:r>
        <w:rPr>
          <w:lang w:val="en-US"/>
        </w:rPr>
        <w:t xml:space="preserve"> *</w:t>
      </w:r>
      <w:r w:rsidRPr="00BF255B">
        <w:rPr>
          <w:i/>
          <w:lang w:val="en-US"/>
        </w:rPr>
        <w:t>p</w:t>
      </w:r>
      <w:r>
        <w:rPr>
          <w:lang w:val="en-US"/>
        </w:rPr>
        <w:t xml:space="preserve"> &lt; 0.05, **</w:t>
      </w:r>
      <w:r w:rsidRPr="00BF255B">
        <w:rPr>
          <w:i/>
          <w:lang w:val="en-US"/>
        </w:rPr>
        <w:t>p</w:t>
      </w:r>
      <w:r>
        <w:rPr>
          <w:lang w:val="en-US"/>
        </w:rPr>
        <w:t xml:space="preserve"> &lt; 0.</w:t>
      </w:r>
      <w:r w:rsidRPr="00054C83">
        <w:rPr>
          <w:lang w:val="en-US"/>
        </w:rPr>
        <w:t>01</w:t>
      </w:r>
      <w:r>
        <w:rPr>
          <w:lang w:val="en-US"/>
        </w:rPr>
        <w:t xml:space="preserve"> and ****</w:t>
      </w:r>
      <w:r w:rsidRPr="00BF255B">
        <w:rPr>
          <w:i/>
          <w:lang w:val="en-US"/>
        </w:rPr>
        <w:t>p</w:t>
      </w:r>
      <w:r>
        <w:rPr>
          <w:lang w:val="en-US"/>
        </w:rPr>
        <w:t xml:space="preserve"> &lt; </w:t>
      </w:r>
      <w:r w:rsidRPr="00054C83">
        <w:rPr>
          <w:lang w:val="en-US"/>
        </w:rPr>
        <w:t>0.0</w:t>
      </w:r>
      <w:r>
        <w:rPr>
          <w:lang w:val="en-US"/>
        </w:rPr>
        <w:t>0</w:t>
      </w:r>
      <w:r w:rsidRPr="00054C83">
        <w:rPr>
          <w:lang w:val="en-US"/>
        </w:rPr>
        <w:t>01</w:t>
      </w:r>
      <w:r>
        <w:rPr>
          <w:lang w:val="en-US"/>
        </w:rPr>
        <w:t xml:space="preserve">.      </w:t>
      </w:r>
    </w:p>
    <w:p w:rsidR="003E6EF5" w:rsidRDefault="003E6EF5">
      <w:bookmarkStart w:id="0" w:name="_GoBack"/>
      <w:bookmarkEnd w:id="0"/>
    </w:p>
    <w:sectPr w:rsidR="003E6EF5" w:rsidSect="00BA2C9F">
      <w:footerReference w:type="default" r:id="rId4"/>
      <w:pgSz w:w="11906" w:h="16838" w:code="9"/>
      <w:pgMar w:top="1699" w:right="1138" w:bottom="1699"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63217"/>
      <w:docPartObj>
        <w:docPartGallery w:val="Page Numbers (Bottom of Page)"/>
        <w:docPartUnique/>
      </w:docPartObj>
    </w:sdtPr>
    <w:sdtEndPr>
      <w:rPr>
        <w:noProof/>
      </w:rPr>
    </w:sdtEndPr>
    <w:sdtContent>
      <w:p w:rsidR="00CE5996" w:rsidRDefault="00BA2C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E5996" w:rsidRDefault="00BA2C9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9F"/>
    <w:rsid w:val="003E6EF5"/>
    <w:rsid w:val="00BA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5DEC-5A03-48D8-878D-E2A657C0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9F"/>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2C9F"/>
    <w:pPr>
      <w:tabs>
        <w:tab w:val="center" w:pos="4986"/>
        <w:tab w:val="right" w:pos="9972"/>
      </w:tabs>
      <w:spacing w:after="0" w:line="240" w:lineRule="auto"/>
    </w:pPr>
  </w:style>
  <w:style w:type="character" w:customStyle="1" w:styleId="FooterChar">
    <w:name w:val="Footer Char"/>
    <w:basedOn w:val="DefaultParagraphFont"/>
    <w:link w:val="Footer"/>
    <w:uiPriority w:val="99"/>
    <w:rsid w:val="00BA2C9F"/>
    <w:rPr>
      <w:lang w:val="da-DK"/>
    </w:rPr>
  </w:style>
  <w:style w:type="table" w:styleId="TableGrid">
    <w:name w:val="Table Grid"/>
    <w:basedOn w:val="TableNormal"/>
    <w:uiPriority w:val="59"/>
    <w:rsid w:val="00BA2C9F"/>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A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Company>PITSOLUTIONS PVT LTD</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2018-11-15T11:38:00Z</dcterms:created>
  <dcterms:modified xsi:type="dcterms:W3CDTF">2018-11-15T11:39:00Z</dcterms:modified>
</cp:coreProperties>
</file>