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104D196" w14:textId="301703D9" w:rsidR="00817DD6" w:rsidRPr="001549D3" w:rsidRDefault="00CB6A51" w:rsidP="0001436A">
      <w:pPr>
        <w:pStyle w:val="Titel"/>
      </w:pPr>
      <w:r w:rsidRPr="00CB6A51">
        <w:t>Assessment of microbial community dynamics in river bank filtrate using high-throughput sequencing and flow cytometry</w:t>
      </w:r>
    </w:p>
    <w:p w14:paraId="00E92DC7" w14:textId="5864A258" w:rsidR="002868E2" w:rsidRPr="00994A3D" w:rsidRDefault="00892A79" w:rsidP="0001436A">
      <w:pPr>
        <w:pStyle w:val="AuthorList"/>
      </w:pPr>
      <w:r>
        <w:t>Christina J. Fiedler</w:t>
      </w:r>
      <w:r w:rsidRPr="00376CC5">
        <w:t>,</w:t>
      </w:r>
      <w:r>
        <w:t xml:space="preserve"> Christoph </w:t>
      </w:r>
      <w:proofErr w:type="spellStart"/>
      <w:r>
        <w:t>Schönher</w:t>
      </w:r>
      <w:proofErr w:type="spellEnd"/>
      <w:r>
        <w:t xml:space="preserve">, Philipp </w:t>
      </w:r>
      <w:proofErr w:type="spellStart"/>
      <w:r>
        <w:t>Proksch</w:t>
      </w:r>
      <w:proofErr w:type="spellEnd"/>
      <w:r>
        <w:t xml:space="preserve">, David Johannes </w:t>
      </w:r>
      <w:proofErr w:type="spellStart"/>
      <w:r>
        <w:t>Kerschbaumer</w:t>
      </w:r>
      <w:proofErr w:type="spellEnd"/>
      <w:r>
        <w:t xml:space="preserve">, Ernest Mayr,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Zunabovic</w:t>
      </w:r>
      <w:proofErr w:type="spellEnd"/>
      <w:r>
        <w:t>-Pichler</w:t>
      </w:r>
      <w:r w:rsidRPr="00A545C6">
        <w:rPr>
          <w:vertAlign w:val="superscript"/>
        </w:rPr>
        <w:t>*</w:t>
      </w:r>
      <w:r>
        <w:t xml:space="preserve">, Konrad J. </w:t>
      </w:r>
      <w:proofErr w:type="spellStart"/>
      <w:r>
        <w:t>Domig</w:t>
      </w:r>
      <w:proofErr w:type="spellEnd"/>
      <w:r>
        <w:t xml:space="preserve">, Reinhard </w:t>
      </w:r>
      <w:proofErr w:type="spellStart"/>
      <w:r>
        <w:t>Perfler</w:t>
      </w:r>
      <w:proofErr w:type="spellEnd"/>
    </w:p>
    <w:p w14:paraId="6754D378" w14:textId="6E438ECE" w:rsidR="00994A3D" w:rsidRPr="00D56CEF" w:rsidRDefault="002868E2" w:rsidP="00F0139C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892A79">
        <w:rPr>
          <w:rFonts w:cs="Times New Roman"/>
          <w:szCs w:val="24"/>
        </w:rPr>
        <w:t xml:space="preserve">Dipl.-Ing. </w:t>
      </w:r>
      <w:r w:rsidR="00892A79" w:rsidRPr="00D56CEF">
        <w:rPr>
          <w:rFonts w:cs="Times New Roman"/>
          <w:szCs w:val="24"/>
        </w:rPr>
        <w:t xml:space="preserve">Dr. </w:t>
      </w:r>
      <w:proofErr w:type="spellStart"/>
      <w:r w:rsidR="00892A79" w:rsidRPr="00D56CEF">
        <w:rPr>
          <w:rFonts w:cs="Times New Roman"/>
          <w:szCs w:val="24"/>
        </w:rPr>
        <w:t>Marija</w:t>
      </w:r>
      <w:proofErr w:type="spellEnd"/>
      <w:r w:rsidR="00892A79" w:rsidRPr="00D56CEF">
        <w:rPr>
          <w:rFonts w:cs="Times New Roman"/>
          <w:szCs w:val="24"/>
        </w:rPr>
        <w:t xml:space="preserve"> </w:t>
      </w:r>
      <w:proofErr w:type="spellStart"/>
      <w:r w:rsidR="00892A79" w:rsidRPr="00D56CEF">
        <w:rPr>
          <w:rFonts w:cs="Times New Roman"/>
          <w:szCs w:val="24"/>
        </w:rPr>
        <w:t>Zunabovic</w:t>
      </w:r>
      <w:proofErr w:type="spellEnd"/>
      <w:r w:rsidR="00892A79" w:rsidRPr="00D56CEF">
        <w:rPr>
          <w:rFonts w:cs="Times New Roman"/>
          <w:szCs w:val="24"/>
        </w:rPr>
        <w:t>-Pichler: marija.zunabovic@boku.ac.at</w:t>
      </w:r>
      <w:r w:rsidR="00892A79" w:rsidRPr="00D56CEF">
        <w:rPr>
          <w:rFonts w:cs="Times New Roman"/>
        </w:rPr>
        <w:t xml:space="preserve"> </w:t>
      </w:r>
    </w:p>
    <w:p w14:paraId="3C419443" w14:textId="29778FDD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</w:p>
    <w:p w14:paraId="6B2C842F" w14:textId="0BB9A397" w:rsidR="00B01E4B" w:rsidRDefault="00B01E4B" w:rsidP="00B01E4B">
      <w:pPr>
        <w:keepNext/>
        <w:rPr>
          <w:rFonts w:cs="Times New Roman"/>
          <w:b/>
          <w:szCs w:val="24"/>
        </w:rPr>
      </w:pPr>
      <w:r w:rsidRPr="00F0139C">
        <w:rPr>
          <w:rFonts w:cs="Times New Roman"/>
          <w:b/>
          <w:szCs w:val="24"/>
        </w:rPr>
        <w:t>Captions of the Supplementary Figures</w:t>
      </w:r>
      <w:r w:rsidR="004C272B">
        <w:rPr>
          <w:rFonts w:cs="Times New Roman"/>
          <w:b/>
          <w:szCs w:val="24"/>
        </w:rPr>
        <w:t xml:space="preserve"> (S1-S6)</w:t>
      </w:r>
    </w:p>
    <w:p w14:paraId="25D7EAE6" w14:textId="77777777" w:rsidR="00B01E4B" w:rsidRPr="00605B39" w:rsidRDefault="00B01E4B" w:rsidP="00B01E4B">
      <w:pPr>
        <w:jc w:val="both"/>
        <w:rPr>
          <w:b/>
        </w:rPr>
      </w:pPr>
      <w:r>
        <w:rPr>
          <w:rFonts w:cs="Times New Roman"/>
          <w:szCs w:val="24"/>
        </w:rPr>
        <w:t xml:space="preserve">Supplementary Figure 1. Exemplary scatterplot of </w:t>
      </w:r>
      <w:r w:rsidRPr="00A016C7">
        <w:rPr>
          <w:rFonts w:cs="Times New Roman"/>
          <w:szCs w:val="24"/>
        </w:rPr>
        <w:t>two fluorescence parameters (FL1-</w:t>
      </w:r>
      <w:r>
        <w:rPr>
          <w:rFonts w:cs="Times New Roman"/>
          <w:szCs w:val="24"/>
        </w:rPr>
        <w:t xml:space="preserve">A and </w:t>
      </w:r>
      <w:r w:rsidRPr="00A016C7">
        <w:rPr>
          <w:rFonts w:cs="Times New Roman"/>
          <w:szCs w:val="24"/>
        </w:rPr>
        <w:t>FL3-</w:t>
      </w:r>
      <w:r>
        <w:rPr>
          <w:rFonts w:cs="Times New Roman"/>
          <w:szCs w:val="24"/>
        </w:rPr>
        <w:t>A</w:t>
      </w:r>
      <w:r w:rsidRPr="00A016C7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to visualize the </w:t>
      </w:r>
      <w:r>
        <w:rPr>
          <w:szCs w:val="20"/>
        </w:rPr>
        <w:t xml:space="preserve">gating strategy. Each point represents a detection. Cells are separated from </w:t>
      </w:r>
      <w:r w:rsidRPr="00A016C7">
        <w:rPr>
          <w:szCs w:val="20"/>
        </w:rPr>
        <w:t>(in)organic noise</w:t>
      </w:r>
      <w:r>
        <w:rPr>
          <w:szCs w:val="20"/>
        </w:rPr>
        <w:t xml:space="preserve"> by means of a digital gate (red) uniformly applied to all datasets.</w:t>
      </w:r>
    </w:p>
    <w:p w14:paraId="675B3BB7" w14:textId="77777777" w:rsidR="00B01E4B" w:rsidRDefault="00B01E4B" w:rsidP="00B01E4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Supplementary Figure 2. </w:t>
      </w:r>
      <w:r w:rsidRPr="002A6D5A">
        <w:rPr>
          <w:szCs w:val="20"/>
        </w:rPr>
        <w:t xml:space="preserve">Relative abundances of phyla at the respective dates (cut-off value 1%). </w:t>
      </w:r>
      <w:r>
        <w:rPr>
          <w:szCs w:val="20"/>
        </w:rPr>
        <w:t>Reads from t</w:t>
      </w:r>
      <w:r w:rsidRPr="002A6D5A">
        <w:rPr>
          <w:szCs w:val="20"/>
        </w:rPr>
        <w:t>riplicate</w:t>
      </w:r>
      <w:r>
        <w:rPr>
          <w:szCs w:val="20"/>
        </w:rPr>
        <w:t>s</w:t>
      </w:r>
      <w:r w:rsidRPr="002A6D5A">
        <w:rPr>
          <w:szCs w:val="20"/>
        </w:rPr>
        <w:t xml:space="preserve"> </w:t>
      </w:r>
      <w:r w:rsidRPr="002A6D5A">
        <w:t>were pooled to one sample each.</w:t>
      </w:r>
    </w:p>
    <w:p w14:paraId="320EC43B" w14:textId="77777777" w:rsidR="00B01E4B" w:rsidRDefault="00B01E4B" w:rsidP="00B01E4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Supplementary Figure 3. Selected results of </w:t>
      </w:r>
      <w:proofErr w:type="spellStart"/>
      <w:r w:rsidRPr="00F0139C">
        <w:rPr>
          <w:rFonts w:cs="Times New Roman"/>
          <w:szCs w:val="24"/>
        </w:rPr>
        <w:t>DAtest</w:t>
      </w:r>
      <w:proofErr w:type="spellEnd"/>
      <w:r w:rsidRPr="00F0139C">
        <w:rPr>
          <w:rFonts w:cs="Times New Roman"/>
          <w:szCs w:val="24"/>
        </w:rPr>
        <w:t xml:space="preserve"> between wells 1 – </w:t>
      </w:r>
      <w:r>
        <w:rPr>
          <w:rFonts w:cs="Times New Roman"/>
          <w:szCs w:val="24"/>
        </w:rPr>
        <w:t>3</w:t>
      </w:r>
      <w:r w:rsidRPr="00F0139C">
        <w:rPr>
          <w:rFonts w:cs="Times New Roman"/>
          <w:szCs w:val="24"/>
        </w:rPr>
        <w:t xml:space="preserve"> on April 7 and May 3, relative abundances.</w:t>
      </w:r>
    </w:p>
    <w:p w14:paraId="7B8AE2B9" w14:textId="77777777" w:rsidR="00B01E4B" w:rsidRDefault="00B01E4B" w:rsidP="00B01E4B">
      <w:pPr>
        <w:keepNext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Supplementary Figure 4. Selected results of </w:t>
      </w:r>
      <w:proofErr w:type="spellStart"/>
      <w:r w:rsidRPr="00F0139C">
        <w:rPr>
          <w:rFonts w:cs="Times New Roman"/>
          <w:szCs w:val="24"/>
        </w:rPr>
        <w:t>DAtest</w:t>
      </w:r>
      <w:proofErr w:type="spellEnd"/>
      <w:r w:rsidRPr="00F0139C">
        <w:rPr>
          <w:rFonts w:cs="Times New Roman"/>
          <w:szCs w:val="24"/>
        </w:rPr>
        <w:t xml:space="preserve"> between wells 1 – </w:t>
      </w:r>
      <w:r>
        <w:rPr>
          <w:rFonts w:cs="Times New Roman"/>
          <w:szCs w:val="24"/>
        </w:rPr>
        <w:t>3</w:t>
      </w:r>
      <w:r w:rsidRPr="00F0139C">
        <w:rPr>
          <w:rFonts w:cs="Times New Roman"/>
          <w:szCs w:val="24"/>
        </w:rPr>
        <w:t xml:space="preserve"> on April 7 and May 3, absolute abundances.</w:t>
      </w:r>
    </w:p>
    <w:p w14:paraId="1A28C480" w14:textId="77777777" w:rsidR="00B01E4B" w:rsidRDefault="00B01E4B" w:rsidP="00B01E4B">
      <w:pPr>
        <w:keepNext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Supplementary Figure 5. </w:t>
      </w:r>
      <w:r w:rsidRPr="00F0139C">
        <w:rPr>
          <w:rFonts w:cs="Times New Roman"/>
          <w:szCs w:val="24"/>
        </w:rPr>
        <w:t>Temperature course of wells and surface water. W1 – 6, wells 1 – 6.</w:t>
      </w:r>
    </w:p>
    <w:p w14:paraId="29072E8E" w14:textId="77777777" w:rsidR="00B01E4B" w:rsidRPr="00CB6A51" w:rsidRDefault="00B01E4B" w:rsidP="00B01E4B">
      <w:pPr>
        <w:keepNext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Supplementary Figure 6. </w:t>
      </w:r>
      <w:r w:rsidRPr="00F0139C">
        <w:rPr>
          <w:rFonts w:cs="Times New Roman"/>
          <w:szCs w:val="24"/>
        </w:rPr>
        <w:t>Course of electrical conductivity within wells and surface water. W1 – 6, wells 1 – 6.</w:t>
      </w:r>
    </w:p>
    <w:p w14:paraId="3AE196DF" w14:textId="622C58E7" w:rsidR="00994A3D" w:rsidRPr="004C272B" w:rsidRDefault="00B01E4B" w:rsidP="002B4A57">
      <w:pPr>
        <w:keepNext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column"/>
      </w:r>
      <w:r w:rsidR="00994A3D" w:rsidRPr="0001436A">
        <w:rPr>
          <w:rFonts w:cs="Times New Roman"/>
          <w:b/>
          <w:szCs w:val="24"/>
        </w:rPr>
        <w:lastRenderedPageBreak/>
        <w:t>Supplementary Figure</w:t>
      </w:r>
      <w:r w:rsidR="00B0367E">
        <w:rPr>
          <w:rFonts w:cs="Times New Roman"/>
          <w:b/>
          <w:szCs w:val="24"/>
        </w:rPr>
        <w:t>s</w:t>
      </w:r>
      <w:r w:rsidR="00994A3D" w:rsidRPr="0001436A">
        <w:rPr>
          <w:rFonts w:cs="Times New Roman"/>
          <w:b/>
          <w:szCs w:val="24"/>
        </w:rPr>
        <w:t xml:space="preserve"> </w:t>
      </w:r>
      <w:r w:rsidR="00CB6A51">
        <w:rPr>
          <w:rFonts w:cs="Times New Roman"/>
          <w:b/>
          <w:szCs w:val="24"/>
        </w:rPr>
        <w:t>3 and 4</w:t>
      </w:r>
      <w:r w:rsidR="00994A3D" w:rsidRPr="006F3533">
        <w:rPr>
          <w:rFonts w:cs="Times New Roman"/>
          <w:b/>
          <w:szCs w:val="24"/>
        </w:rPr>
        <w:t xml:space="preserve"> </w:t>
      </w:r>
      <w:r w:rsidR="004C272B">
        <w:rPr>
          <w:rFonts w:cs="Times New Roman"/>
          <w:b/>
          <w:szCs w:val="24"/>
        </w:rPr>
        <w:t>– a</w:t>
      </w:r>
      <w:bookmarkStart w:id="0" w:name="_GoBack"/>
      <w:bookmarkEnd w:id="0"/>
      <w:r w:rsidR="004C272B">
        <w:rPr>
          <w:rFonts w:cs="Times New Roman"/>
          <w:b/>
          <w:szCs w:val="24"/>
        </w:rPr>
        <w:t>dditional information</w:t>
      </w:r>
    </w:p>
    <w:p w14:paraId="1D2ADD9A" w14:textId="1FFF8308" w:rsidR="006F3533" w:rsidRPr="00DC00F8" w:rsidRDefault="006F3533" w:rsidP="006F3533">
      <w:pPr>
        <w:rPr>
          <w:rFonts w:cs="Times New Roman"/>
          <w:szCs w:val="24"/>
        </w:rPr>
      </w:pPr>
      <w:proofErr w:type="spellStart"/>
      <w:r w:rsidRPr="00DC00F8">
        <w:rPr>
          <w:rFonts w:cs="Times New Roman"/>
          <w:szCs w:val="24"/>
        </w:rPr>
        <w:t>DAtest</w:t>
      </w:r>
      <w:proofErr w:type="spellEnd"/>
      <w:r w:rsidRPr="00DC00F8">
        <w:rPr>
          <w:rFonts w:cs="Times New Roman"/>
          <w:szCs w:val="24"/>
        </w:rPr>
        <w:t xml:space="preserve"> was used for the assessment of suitability of various differential abundance testing procedures (for a current list see https://github.com/Russel88/DAtest) for the dataset of interest (5</w:t>
      </w:r>
      <w:r w:rsidR="007C3C61">
        <w:rPr>
          <w:rFonts w:cs="Times New Roman"/>
          <w:szCs w:val="24"/>
        </w:rPr>
        <w:t>2</w:t>
      </w:r>
      <w:r w:rsidRPr="00DC00F8">
        <w:rPr>
          <w:rFonts w:cs="Times New Roman"/>
          <w:szCs w:val="24"/>
        </w:rPr>
        <w:t xml:space="preserve"> phyla, </w:t>
      </w:r>
      <w:r w:rsidR="002768D9">
        <w:rPr>
          <w:rFonts w:cs="Times New Roman"/>
          <w:szCs w:val="24"/>
        </w:rPr>
        <w:t>6</w:t>
      </w:r>
      <w:r w:rsidRPr="00DC00F8">
        <w:rPr>
          <w:rFonts w:cs="Times New Roman"/>
          <w:szCs w:val="24"/>
        </w:rPr>
        <w:t xml:space="preserve"> samples, 2 groups </w:t>
      </w:r>
      <w:r w:rsidR="001C74FE">
        <w:rPr>
          <w:rFonts w:cs="Times New Roman"/>
          <w:szCs w:val="24"/>
        </w:rPr>
        <w:t xml:space="preserve">comprising the same </w:t>
      </w:r>
      <w:r w:rsidR="002768D9">
        <w:rPr>
          <w:rFonts w:cs="Times New Roman"/>
          <w:szCs w:val="24"/>
        </w:rPr>
        <w:t>wells 1-3</w:t>
      </w:r>
      <w:r w:rsidRPr="00DC00F8">
        <w:rPr>
          <w:rFonts w:cs="Times New Roman"/>
          <w:szCs w:val="24"/>
        </w:rPr>
        <w:t>). Essentially, the following steps have been performed:</w:t>
      </w:r>
    </w:p>
    <w:p w14:paraId="10841E23" w14:textId="77777777" w:rsidR="006F3533" w:rsidRPr="00DC00F8" w:rsidRDefault="006F3533" w:rsidP="006F3533">
      <w:pPr>
        <w:pStyle w:val="Listenabsatz"/>
        <w:numPr>
          <w:ilvl w:val="0"/>
          <w:numId w:val="20"/>
        </w:numPr>
        <w:spacing w:before="0" w:after="160" w:line="259" w:lineRule="auto"/>
      </w:pPr>
      <w:r w:rsidRPr="00DC00F8">
        <w:t xml:space="preserve">Taxonomic agglomeration of sequence data (combined as </w:t>
      </w:r>
      <w:proofErr w:type="spellStart"/>
      <w:r w:rsidRPr="00DC00F8">
        <w:t>phyloseq</w:t>
      </w:r>
      <w:proofErr w:type="spellEnd"/>
      <w:r w:rsidRPr="00DC00F8">
        <w:t xml:space="preserve"> object including sample data, a table of sequence variants and a taxonomy table) on phylum level using </w:t>
      </w:r>
      <w:proofErr w:type="spellStart"/>
      <w:r w:rsidRPr="00DC00F8">
        <w:t>phyloseq’s</w:t>
      </w:r>
      <w:proofErr w:type="spellEnd"/>
      <w:r w:rsidRPr="00DC00F8">
        <w:t xml:space="preserve"> </w:t>
      </w:r>
      <w:proofErr w:type="spellStart"/>
      <w:r w:rsidRPr="00DC00F8">
        <w:t>tax_glom</w:t>
      </w:r>
      <w:proofErr w:type="spellEnd"/>
      <w:r w:rsidRPr="00DC00F8">
        <w:t xml:space="preserve"> function</w:t>
      </w:r>
    </w:p>
    <w:p w14:paraId="3784D93E" w14:textId="77777777" w:rsidR="006F3533" w:rsidRPr="00DC00F8" w:rsidRDefault="006F3533" w:rsidP="006F3533">
      <w:pPr>
        <w:pStyle w:val="Listenabsatz"/>
        <w:numPr>
          <w:ilvl w:val="0"/>
          <w:numId w:val="20"/>
        </w:numPr>
        <w:spacing w:before="0" w:after="160" w:line="259" w:lineRule="auto"/>
      </w:pPr>
      <w:r w:rsidRPr="00DC00F8">
        <w:t>Transformation of raw counts to relative abundances and subsequent multiplication with flow cytometric total cell counts resulting in estimated absolute abundances (EAAs)</w:t>
      </w:r>
    </w:p>
    <w:p w14:paraId="7E8EDFA9" w14:textId="7D05D2A1" w:rsidR="006F3533" w:rsidRPr="00DC00F8" w:rsidRDefault="006F3533" w:rsidP="006F3533">
      <w:pPr>
        <w:pStyle w:val="Listenabsatz"/>
        <w:numPr>
          <w:ilvl w:val="0"/>
          <w:numId w:val="20"/>
        </w:numPr>
        <w:spacing w:before="0" w:after="160" w:line="259" w:lineRule="auto"/>
      </w:pPr>
      <w:r w:rsidRPr="00DC00F8">
        <w:t xml:space="preserve">Removal of low abundance phyla with the function </w:t>
      </w:r>
      <w:proofErr w:type="spellStart"/>
      <w:r w:rsidRPr="00DC00F8">
        <w:t>preDA</w:t>
      </w:r>
      <w:proofErr w:type="spellEnd"/>
      <w:r w:rsidRPr="00DC00F8">
        <w:t xml:space="preserve"> of package </w:t>
      </w:r>
      <w:proofErr w:type="spellStart"/>
      <w:r w:rsidRPr="00DC00F8">
        <w:t>DAtest</w:t>
      </w:r>
      <w:proofErr w:type="spellEnd"/>
      <w:r w:rsidRPr="00DC00F8">
        <w:t xml:space="preserve"> (parameters: </w:t>
      </w:r>
      <w:proofErr w:type="spellStart"/>
      <w:proofErr w:type="gramStart"/>
      <w:r w:rsidRPr="00DC00F8">
        <w:t>min.samples</w:t>
      </w:r>
      <w:proofErr w:type="spellEnd"/>
      <w:proofErr w:type="gramEnd"/>
      <w:r w:rsidRPr="00DC00F8">
        <w:t xml:space="preserve">=0, </w:t>
      </w:r>
      <w:proofErr w:type="spellStart"/>
      <w:r w:rsidRPr="00DC00F8">
        <w:t>min.reads</w:t>
      </w:r>
      <w:proofErr w:type="spellEnd"/>
      <w:r w:rsidRPr="00DC00F8">
        <w:t xml:space="preserve">=1, </w:t>
      </w:r>
      <w:proofErr w:type="spellStart"/>
      <w:r w:rsidRPr="00DC00F8">
        <w:t>min.abundance</w:t>
      </w:r>
      <w:proofErr w:type="spellEnd"/>
      <w:r w:rsidRPr="00DC00F8">
        <w:t>=0.0001). This resulted in a reduction of the number of phyla from 5</w:t>
      </w:r>
      <w:r w:rsidR="007C3C61">
        <w:t>2</w:t>
      </w:r>
      <w:r w:rsidRPr="00DC00F8">
        <w:t xml:space="preserve"> to 36.</w:t>
      </w:r>
    </w:p>
    <w:p w14:paraId="4A2742D1" w14:textId="77777777" w:rsidR="006F3533" w:rsidRPr="00DC00F8" w:rsidRDefault="006F3533" w:rsidP="006F3533">
      <w:pPr>
        <w:pStyle w:val="Listenabsatz"/>
        <w:numPr>
          <w:ilvl w:val="0"/>
          <w:numId w:val="20"/>
        </w:numPr>
        <w:spacing w:before="0" w:after="160" w:line="259" w:lineRule="auto"/>
      </w:pPr>
      <w:r w:rsidRPr="00DC00F8">
        <w:t xml:space="preserve">Application of the function </w:t>
      </w:r>
      <w:proofErr w:type="spellStart"/>
      <w:r w:rsidRPr="00DC00F8">
        <w:t>testDA</w:t>
      </w:r>
      <w:proofErr w:type="spellEnd"/>
      <w:r w:rsidRPr="00DC00F8">
        <w:t xml:space="preserve"> of package </w:t>
      </w:r>
      <w:proofErr w:type="spellStart"/>
      <w:r w:rsidRPr="00DC00F8">
        <w:t>DAtest</w:t>
      </w:r>
      <w:proofErr w:type="spellEnd"/>
      <w:r w:rsidRPr="00DC00F8">
        <w:t xml:space="preserve"> for a combination of different input parameters, namely: </w:t>
      </w:r>
    </w:p>
    <w:p w14:paraId="5F3B1F78" w14:textId="77777777" w:rsidR="006F3533" w:rsidRPr="00DC00F8" w:rsidRDefault="006F3533" w:rsidP="006F3533">
      <w:pPr>
        <w:pStyle w:val="Listenabsatz"/>
        <w:numPr>
          <w:ilvl w:val="1"/>
          <w:numId w:val="20"/>
        </w:numPr>
        <w:spacing w:before="0" w:after="160" w:line="259" w:lineRule="auto"/>
      </w:pPr>
      <w:r w:rsidRPr="00DC00F8">
        <w:t xml:space="preserve">spiking patterns (k) as the number of spiked features in each abundance </w:t>
      </w:r>
      <w:proofErr w:type="spellStart"/>
      <w:r w:rsidRPr="00DC00F8">
        <w:t>tertile</w:t>
      </w:r>
      <w:proofErr w:type="spellEnd"/>
      <w:r w:rsidRPr="00DC00F8">
        <w:t xml:space="preserve"> (lower, mid, upper): (1,1,1), (2,2,2), (3,3,3), (4,4,4), (5,5,5) and (6,6,6)</w:t>
      </w:r>
    </w:p>
    <w:p w14:paraId="7E24A501" w14:textId="77777777" w:rsidR="000E2BF8" w:rsidRDefault="006F3533" w:rsidP="000E2BF8">
      <w:pPr>
        <w:pStyle w:val="Listenabsatz"/>
        <w:numPr>
          <w:ilvl w:val="1"/>
          <w:numId w:val="20"/>
        </w:numPr>
        <w:spacing w:before="0" w:after="160" w:line="259" w:lineRule="auto"/>
      </w:pPr>
      <w:r w:rsidRPr="00DC00F8">
        <w:t>effect sizes (</w:t>
      </w:r>
      <w:proofErr w:type="spellStart"/>
      <w:r w:rsidRPr="00DC00F8">
        <w:t>effectSize</w:t>
      </w:r>
      <w:proofErr w:type="spellEnd"/>
      <w:r w:rsidRPr="00DC00F8">
        <w:t>): 2, 4, 8, 16, 32, 64, 128</w:t>
      </w:r>
    </w:p>
    <w:p w14:paraId="184828F4" w14:textId="64AA8E5E" w:rsidR="006F3533" w:rsidRPr="00DC00F8" w:rsidRDefault="006F3533" w:rsidP="000E2BF8">
      <w:pPr>
        <w:spacing w:before="0" w:after="160" w:line="259" w:lineRule="auto"/>
        <w:ind w:left="1080"/>
      </w:pPr>
      <w:r w:rsidRPr="00DC00F8">
        <w:t xml:space="preserve">The number of times to run the test was set to 100. By setting the parameter </w:t>
      </w:r>
      <w:r w:rsidRPr="000E2BF8">
        <w:rPr>
          <w:i/>
        </w:rPr>
        <w:t>relative</w:t>
      </w:r>
      <w:r w:rsidRPr="00DC00F8">
        <w:t xml:space="preserve"> to true or false the calculations were performed with or without relative abundances. Setting </w:t>
      </w:r>
      <w:r w:rsidRPr="000E2BF8">
        <w:rPr>
          <w:i/>
        </w:rPr>
        <w:t>relative</w:t>
      </w:r>
      <w:r w:rsidRPr="00DC00F8">
        <w:t xml:space="preserve"> to false (for absolute abundances) results in the in the deactivation of internal normalizations and methods that rely on such normalizations. As predictor the date of sampling was chosen. The parameter </w:t>
      </w:r>
      <w:r w:rsidRPr="000E2BF8">
        <w:rPr>
          <w:i/>
        </w:rPr>
        <w:t>paired</w:t>
      </w:r>
      <w:r w:rsidRPr="00DC00F8">
        <w:t xml:space="preserve"> was defined as the name of the well. Not all of the methods provide the possibility of performing a paired analysis, thus only a subset of all available methods had been used.</w:t>
      </w:r>
    </w:p>
    <w:p w14:paraId="12CA5136" w14:textId="1391BF14" w:rsidR="006F3533" w:rsidRPr="00B01E4B" w:rsidRDefault="006F3533" w:rsidP="006F3533">
      <w:pPr>
        <w:keepNext/>
        <w:rPr>
          <w:rFonts w:cs="Times New Roman"/>
          <w:szCs w:val="24"/>
        </w:rPr>
      </w:pPr>
      <w:r w:rsidRPr="00DC00F8">
        <w:rPr>
          <w:rFonts w:cs="Times New Roman"/>
          <w:szCs w:val="24"/>
        </w:rPr>
        <w:t xml:space="preserve">For the assessment of the results plots of effect size versus </w:t>
      </w:r>
      <w:proofErr w:type="spellStart"/>
      <w:r w:rsidRPr="00DC00F8">
        <w:rPr>
          <w:rFonts w:cs="Times New Roman"/>
          <w:szCs w:val="24"/>
        </w:rPr>
        <w:t>DAtest’s</w:t>
      </w:r>
      <w:proofErr w:type="spellEnd"/>
      <w:r w:rsidRPr="00DC00F8">
        <w:rPr>
          <w:rFonts w:cs="Times New Roman"/>
          <w:szCs w:val="24"/>
        </w:rPr>
        <w:t xml:space="preserve"> score combined with different spiking patterns were produced with ggplot2 </w:t>
      </w:r>
      <w:r w:rsidRPr="00DC00F8">
        <w:rPr>
          <w:rFonts w:cs="Times New Roman"/>
          <w:szCs w:val="24"/>
        </w:rPr>
        <w:fldChar w:fldCharType="begin"/>
      </w:r>
      <w:r w:rsidRPr="00DC00F8">
        <w:rPr>
          <w:rFonts w:cs="Times New Roman"/>
          <w:szCs w:val="24"/>
        </w:rPr>
        <w:instrText xml:space="preserve"> ADDIN EN.CITE &lt;EndNote&gt;&lt;Cite&gt;&lt;Author&gt;Wickham&lt;/Author&gt;&lt;Year&gt;2016&lt;/Year&gt;&lt;IDText&gt;ggplot2: Elegant Graphics for Data Analysis&lt;/IDText&gt;&lt;DisplayText&gt;(Wickham, 2016)&lt;/DisplayText&gt;&lt;record&gt;&lt;urls&gt;&lt;related-urls&gt;&lt;url&gt;http://ggplot2.org&lt;/url&gt;&lt;/related-urls&gt;&lt;/urls&gt;&lt;isbn&gt;978-3-319-24277-4&lt;/isbn&gt;&lt;titles&gt;&lt;title&gt;ggplot2: Elegant Graphics for Data Analysis&lt;/title&gt;&lt;/titles&gt;&lt;contributors&gt;&lt;authors&gt;&lt;author&gt;Wickham, H&lt;/author&gt;&lt;/authors&gt;&lt;/contributors&gt;&lt;added-date format="utc"&gt;1534156934&lt;/added-date&gt;&lt;ref-type name="Book"&gt;6&lt;/ref-type&gt;&lt;dates&gt;&lt;year&gt;2016&lt;/year&gt;&lt;/dates&gt;&lt;rec-number&gt;540&lt;/rec-number&gt;&lt;publisher&gt;Springer-Verlag New York&lt;/publisher&gt;&lt;last-updated-date format="utc"&gt;1534157011&lt;/last-updated-date&gt;&lt;/record&gt;&lt;/Cite&gt;&lt;/EndNote&gt;</w:instrText>
      </w:r>
      <w:r w:rsidRPr="00DC00F8">
        <w:rPr>
          <w:rFonts w:cs="Times New Roman"/>
          <w:szCs w:val="24"/>
        </w:rPr>
        <w:fldChar w:fldCharType="separate"/>
      </w:r>
      <w:r w:rsidRPr="00DC00F8">
        <w:rPr>
          <w:rFonts w:cs="Times New Roman"/>
          <w:noProof/>
          <w:szCs w:val="24"/>
        </w:rPr>
        <w:t>(Wickham, 2016)</w:t>
      </w:r>
      <w:r w:rsidRPr="00DC00F8">
        <w:rPr>
          <w:rFonts w:cs="Times New Roman"/>
          <w:szCs w:val="24"/>
        </w:rPr>
        <w:fldChar w:fldCharType="end"/>
      </w:r>
      <w:r w:rsidRPr="00DC00F8">
        <w:rPr>
          <w:rFonts w:cs="Times New Roman"/>
          <w:szCs w:val="24"/>
        </w:rPr>
        <w:t xml:space="preserve"> and are shown for a selection of methods in Figure S1 and Figure S2. The score is calculated as the (AUC-0.5) * </w:t>
      </w:r>
      <w:proofErr w:type="spellStart"/>
      <w:r w:rsidRPr="00DC00F8">
        <w:rPr>
          <w:rFonts w:cs="Times New Roman"/>
          <w:szCs w:val="24"/>
        </w:rPr>
        <w:t>Spike.detect.rate</w:t>
      </w:r>
      <w:proofErr w:type="spellEnd"/>
      <w:r w:rsidRPr="00DC00F8">
        <w:rPr>
          <w:rFonts w:cs="Times New Roman"/>
          <w:szCs w:val="24"/>
        </w:rPr>
        <w:t xml:space="preserve"> – FDR, with AUC being the area under the ROC curve and FDR being the false discovery rate (maximum score is 0.5).</w:t>
      </w:r>
    </w:p>
    <w:sectPr w:rsidR="006F3533" w:rsidRPr="00B01E4B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2094C" w14:textId="77777777" w:rsidR="001D1615" w:rsidRDefault="001D1615" w:rsidP="00117666">
      <w:pPr>
        <w:spacing w:after="0"/>
      </w:pPr>
      <w:r>
        <w:separator/>
      </w:r>
    </w:p>
  </w:endnote>
  <w:endnote w:type="continuationSeparator" w:id="0">
    <w:p w14:paraId="700C19ED" w14:textId="77777777" w:rsidR="001D1615" w:rsidRDefault="001D161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360094" w:rsidRPr="00577C4C" w:rsidRDefault="00C52A7B">
    <w:pPr>
      <w:rPr>
        <w:color w:val="C00000"/>
        <w:szCs w:val="24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360094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750D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360094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750D0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360094" w:rsidRPr="00577C4C" w:rsidRDefault="00C52A7B">
    <w:pPr>
      <w:rPr>
        <w:b/>
        <w:sz w:val="20"/>
        <w:szCs w:val="24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360094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0139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360094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0139C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61AF0" w14:textId="77777777" w:rsidR="001D1615" w:rsidRDefault="001D1615" w:rsidP="00117666">
      <w:pPr>
        <w:spacing w:after="0"/>
      </w:pPr>
      <w:r>
        <w:separator/>
      </w:r>
    </w:p>
  </w:footnote>
  <w:footnote w:type="continuationSeparator" w:id="0">
    <w:p w14:paraId="13348836" w14:textId="77777777" w:rsidR="001D1615" w:rsidRDefault="001D161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360094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360094" w:rsidRDefault="0093429D" w:rsidP="0093429D">
    <w:r w:rsidRPr="005A1D84">
      <w:rPr>
        <w:b/>
        <w:noProof/>
        <w:color w:val="A6A6A6" w:themeColor="background1" w:themeShade="A6"/>
        <w:lang w:val="de-AT" w:eastAsia="de-AT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9252BB"/>
    <w:multiLevelType w:val="hybridMultilevel"/>
    <w:tmpl w:val="D1101084"/>
    <w:lvl w:ilvl="0" w:tplc="EB1C55D8">
      <w:start w:val="1"/>
      <w:numFmt w:val="decimal"/>
      <w:pStyle w:val="EndNoteBibliography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A7BA7"/>
    <w:rsid w:val="000D6425"/>
    <w:rsid w:val="000E2BF8"/>
    <w:rsid w:val="00105FD9"/>
    <w:rsid w:val="00117666"/>
    <w:rsid w:val="001549D3"/>
    <w:rsid w:val="00160065"/>
    <w:rsid w:val="00177D84"/>
    <w:rsid w:val="001C74FE"/>
    <w:rsid w:val="001D1615"/>
    <w:rsid w:val="00267D18"/>
    <w:rsid w:val="002768D9"/>
    <w:rsid w:val="002868E2"/>
    <w:rsid w:val="002869C3"/>
    <w:rsid w:val="002936E4"/>
    <w:rsid w:val="002B4A57"/>
    <w:rsid w:val="002C74CA"/>
    <w:rsid w:val="003544FB"/>
    <w:rsid w:val="00360094"/>
    <w:rsid w:val="003D2F2D"/>
    <w:rsid w:val="00401590"/>
    <w:rsid w:val="00447801"/>
    <w:rsid w:val="00452E9C"/>
    <w:rsid w:val="004735C8"/>
    <w:rsid w:val="004947A6"/>
    <w:rsid w:val="004961FF"/>
    <w:rsid w:val="004C272B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F3533"/>
    <w:rsid w:val="00701727"/>
    <w:rsid w:val="0070566C"/>
    <w:rsid w:val="00714C50"/>
    <w:rsid w:val="00725A7D"/>
    <w:rsid w:val="007501BE"/>
    <w:rsid w:val="00790BB3"/>
    <w:rsid w:val="007C206C"/>
    <w:rsid w:val="007C3C61"/>
    <w:rsid w:val="00817DD6"/>
    <w:rsid w:val="0083759F"/>
    <w:rsid w:val="00885156"/>
    <w:rsid w:val="00892A79"/>
    <w:rsid w:val="009151AA"/>
    <w:rsid w:val="0093429D"/>
    <w:rsid w:val="00943573"/>
    <w:rsid w:val="00970F7D"/>
    <w:rsid w:val="00994A3D"/>
    <w:rsid w:val="009C2B12"/>
    <w:rsid w:val="00A13D6A"/>
    <w:rsid w:val="00A174D9"/>
    <w:rsid w:val="00AA4D24"/>
    <w:rsid w:val="00AB42CA"/>
    <w:rsid w:val="00AB6055"/>
    <w:rsid w:val="00AB6715"/>
    <w:rsid w:val="00B01E4B"/>
    <w:rsid w:val="00B0367E"/>
    <w:rsid w:val="00B1671E"/>
    <w:rsid w:val="00B25EB8"/>
    <w:rsid w:val="00B37F4D"/>
    <w:rsid w:val="00B750D0"/>
    <w:rsid w:val="00C52A7B"/>
    <w:rsid w:val="00C56BAF"/>
    <w:rsid w:val="00C679AA"/>
    <w:rsid w:val="00C75972"/>
    <w:rsid w:val="00CB6A51"/>
    <w:rsid w:val="00CC12DF"/>
    <w:rsid w:val="00CD066B"/>
    <w:rsid w:val="00CE4FEE"/>
    <w:rsid w:val="00D56CEF"/>
    <w:rsid w:val="00DB59C3"/>
    <w:rsid w:val="00DC259A"/>
    <w:rsid w:val="00DE23E8"/>
    <w:rsid w:val="00E52377"/>
    <w:rsid w:val="00E64E17"/>
    <w:rsid w:val="00E866C9"/>
    <w:rsid w:val="00EA3D3C"/>
    <w:rsid w:val="00EC090A"/>
    <w:rsid w:val="00ED20B5"/>
    <w:rsid w:val="00ED2349"/>
    <w:rsid w:val="00F0139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D1B1E9D2-2AF5-4D10-93E7-8AB8B60B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6F3533"/>
    <w:rPr>
      <w:rFonts w:ascii="Times New Roman" w:eastAsia="Cambria" w:hAnsi="Times New Roman" w:cs="Times New Roman"/>
      <w:sz w:val="24"/>
      <w:szCs w:val="24"/>
    </w:rPr>
  </w:style>
  <w:style w:type="paragraph" w:customStyle="1" w:styleId="EndNoteBibliography">
    <w:name w:val="EndNote Bibliography"/>
    <w:basedOn w:val="Standard"/>
    <w:rsid w:val="006F3533"/>
    <w:pPr>
      <w:numPr>
        <w:numId w:val="20"/>
      </w:numPr>
      <w:spacing w:before="0" w:after="160"/>
      <w:ind w:left="0" w:firstLine="0"/>
    </w:pPr>
    <w:rPr>
      <w:rFonts w:ascii="Calibri" w:hAnsi="Calibri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BEF494C-E3F2-8C49-8F93-C1724049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0</TotalTime>
  <Pages>2</Pages>
  <Words>581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stud811</dc:creator>
  <cp:keywords/>
  <dc:description/>
  <cp:lastModifiedBy>Christina Fiedler</cp:lastModifiedBy>
  <cp:revision>5</cp:revision>
  <cp:lastPrinted>2013-10-03T12:51:00Z</cp:lastPrinted>
  <dcterms:created xsi:type="dcterms:W3CDTF">2018-10-22T16:36:00Z</dcterms:created>
  <dcterms:modified xsi:type="dcterms:W3CDTF">2018-11-20T12:32:00Z</dcterms:modified>
</cp:coreProperties>
</file>