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B3C" w:rsidRDefault="00D22E01" w:rsidP="00154B3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904744" cy="71262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_new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7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D2" w:rsidRDefault="00D91B1D">
      <w:pPr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A6CD2">
        <w:rPr>
          <w:rFonts w:ascii="Times New Roman" w:hAnsi="Times New Roman" w:cs="Times New Roman"/>
          <w:b/>
          <w:sz w:val="24"/>
          <w:szCs w:val="24"/>
        </w:rPr>
        <w:t>upplementary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A6CD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D3104D">
        <w:rPr>
          <w:rFonts w:ascii="Times New Roman" w:hAnsi="Times New Roman" w:cs="Times New Roman"/>
          <w:sz w:val="24"/>
          <w:szCs w:val="24"/>
        </w:rPr>
        <w:t xml:space="preserve">Heatmap including all data of the naïve </w:t>
      </w:r>
      <w:r>
        <w:rPr>
          <w:rFonts w:ascii="Times New Roman" w:hAnsi="Times New Roman" w:cs="Times New Roman"/>
          <w:sz w:val="24"/>
          <w:szCs w:val="24"/>
        </w:rPr>
        <w:t xml:space="preserve">BCR </w:t>
      </w:r>
      <w:r w:rsidRPr="00D3104D">
        <w:rPr>
          <w:rFonts w:ascii="Times New Roman" w:hAnsi="Times New Roman" w:cs="Times New Roman"/>
          <w:sz w:val="24"/>
          <w:szCs w:val="24"/>
        </w:rPr>
        <w:t>repertoire. Data are cluste</w:t>
      </w:r>
      <w:r>
        <w:rPr>
          <w:rFonts w:ascii="Times New Roman" w:hAnsi="Times New Roman" w:cs="Times New Roman"/>
          <w:sz w:val="24"/>
          <w:szCs w:val="24"/>
        </w:rPr>
        <w:t>re</w:t>
      </w:r>
      <w:r w:rsidRPr="00D3104D">
        <w:rPr>
          <w:rFonts w:ascii="Times New Roman" w:hAnsi="Times New Roman" w:cs="Times New Roman"/>
          <w:sz w:val="24"/>
          <w:szCs w:val="24"/>
        </w:rPr>
        <w:t xml:space="preserve">d based on all data depicted. Values which deviate &gt;2 st dev from the mean are depicted in increasingly darker shades of red (decreased values) or green (increase values). </w:t>
      </w:r>
      <w:r w:rsidR="00AA6CD2">
        <w:rPr>
          <w:b/>
        </w:rPr>
        <w:br w:type="page"/>
      </w:r>
    </w:p>
    <w:p w:rsidR="00154B3C" w:rsidRPr="00154B3C" w:rsidRDefault="00154B3C">
      <w:pPr>
        <w:rPr>
          <w:b/>
        </w:rPr>
      </w:pPr>
    </w:p>
    <w:p w:rsidR="00A71A23" w:rsidRPr="00154B3C" w:rsidRDefault="0025711F">
      <w:r w:rsidRPr="00154B3C">
        <w:rPr>
          <w:noProof/>
          <w:lang w:eastAsia="en-GB"/>
        </w:rPr>
        <w:drawing>
          <wp:inline distT="0" distB="0" distL="0" distR="0" wp14:anchorId="11EC31FD" wp14:editId="2D46600C">
            <wp:extent cx="5729605" cy="8069580"/>
            <wp:effectExtent l="0" t="0" r="4445" b="7620"/>
            <wp:docPr id="2" name="Picture 2" descr="I:\Laboratoria\immlab-IHOBA\PID\Data manuscripten\CVID repertoire\Figuren\New version figures without ICF2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aboratoria\immlab-IHOBA\PID\Data manuscripten\CVID repertoire\Figuren\New version figures without ICF2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6E" w:rsidRDefault="007F7112" w:rsidP="007F71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 w:rsidR="00AA6CD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54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5E31">
        <w:rPr>
          <w:rFonts w:ascii="Times New Roman" w:hAnsi="Times New Roman" w:cs="Times New Roman"/>
          <w:b/>
          <w:sz w:val="24"/>
          <w:szCs w:val="24"/>
        </w:rPr>
        <w:t>Contribution of the different parameters to the PCA analysis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3104D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Contribution of the different parameters to PCA1 and PCA2 of the naïve repertoire.</w:t>
      </w:r>
      <w:r w:rsidRPr="00D33B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04D">
        <w:rPr>
          <w:rFonts w:ascii="Times New Roman" w:hAnsi="Times New Roman" w:cs="Times New Roman"/>
          <w:b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 xml:space="preserve">Contribution of all parameters to the PCA analysis of the antigen selected repertoire.  </w:t>
      </w:r>
    </w:p>
    <w:p w:rsidR="00AA6CD2" w:rsidRDefault="00D22E01" w:rsidP="00AA6CD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45910" cy="49917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3_new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01" w:rsidRDefault="00AA6CD2" w:rsidP="008516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A6CD2">
        <w:rPr>
          <w:rFonts w:ascii="Times New Roman" w:hAnsi="Times New Roman" w:cs="Times New Roman"/>
          <w:b/>
          <w:sz w:val="24"/>
          <w:szCs w:val="24"/>
        </w:rPr>
        <w:t>upplementary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A6CD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A6CD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B1D" w:rsidRPr="00D3104D">
        <w:rPr>
          <w:rFonts w:ascii="Times New Roman" w:hAnsi="Times New Roman" w:cs="Times New Roman"/>
          <w:sz w:val="24"/>
          <w:szCs w:val="24"/>
        </w:rPr>
        <w:t xml:space="preserve">Heatmap showing all parameters analysed in the antigen selected </w:t>
      </w:r>
      <w:r w:rsidR="00D91B1D">
        <w:rPr>
          <w:rFonts w:ascii="Times New Roman" w:hAnsi="Times New Roman" w:cs="Times New Roman"/>
          <w:sz w:val="24"/>
          <w:szCs w:val="24"/>
        </w:rPr>
        <w:t xml:space="preserve">BCR </w:t>
      </w:r>
      <w:r w:rsidR="00D91B1D" w:rsidRPr="00D3104D">
        <w:rPr>
          <w:rFonts w:ascii="Times New Roman" w:hAnsi="Times New Roman" w:cs="Times New Roman"/>
          <w:sz w:val="24"/>
          <w:szCs w:val="24"/>
        </w:rPr>
        <w:t>repertoire. Difference shades of red indicate values &gt;2 st dev below the mean, while green indicates deviations &gt;2 st dev above the mean. Patients are clustered based on all parameters analysed in the antigen selected</w:t>
      </w:r>
      <w:r w:rsidR="00D91B1D">
        <w:rPr>
          <w:rFonts w:ascii="Times New Roman" w:hAnsi="Times New Roman" w:cs="Times New Roman"/>
          <w:sz w:val="24"/>
          <w:szCs w:val="24"/>
        </w:rPr>
        <w:t xml:space="preserve"> BCR</w:t>
      </w:r>
      <w:r w:rsidR="00D91B1D" w:rsidRPr="00D3104D">
        <w:rPr>
          <w:rFonts w:ascii="Times New Roman" w:hAnsi="Times New Roman" w:cs="Times New Roman"/>
          <w:sz w:val="24"/>
          <w:szCs w:val="24"/>
        </w:rPr>
        <w:t xml:space="preserve"> repertoire.</w:t>
      </w:r>
    </w:p>
    <w:p w:rsidR="00D22E01" w:rsidRDefault="00D22E01" w:rsidP="008516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01" w:rsidRDefault="00D22E01" w:rsidP="008516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01" w:rsidRDefault="00D22E01" w:rsidP="008516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01" w:rsidRDefault="00D22E01" w:rsidP="008516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7E" w:rsidRDefault="0085167E" w:rsidP="008516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7E" w:rsidRDefault="0085167E">
      <w:pPr>
        <w:rPr>
          <w:rFonts w:ascii="Times New Roman" w:hAnsi="Times New Roman" w:cs="Times New Roman"/>
          <w:sz w:val="24"/>
          <w:szCs w:val="24"/>
        </w:rPr>
        <w:sectPr w:rsidR="0085167E" w:rsidSect="00154B3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8"/>
        <w:gridCol w:w="796"/>
        <w:gridCol w:w="878"/>
        <w:gridCol w:w="878"/>
        <w:gridCol w:w="982"/>
        <w:gridCol w:w="878"/>
        <w:gridCol w:w="878"/>
        <w:gridCol w:w="878"/>
        <w:gridCol w:w="878"/>
        <w:gridCol w:w="878"/>
        <w:gridCol w:w="878"/>
        <w:gridCol w:w="878"/>
        <w:gridCol w:w="878"/>
        <w:gridCol w:w="1209"/>
        <w:gridCol w:w="2889"/>
      </w:tblGrid>
      <w:tr w:rsidR="000F1FED" w:rsidRPr="000F1FED" w:rsidTr="000F1FED">
        <w:trPr>
          <w:trHeight w:val="90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-714375</wp:posOffset>
                      </wp:positionV>
                      <wp:extent cx="9907270" cy="450850"/>
                      <wp:effectExtent l="0" t="0" r="0" b="63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7270" cy="450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2FAE" w:rsidRPr="00B74760" w:rsidRDefault="00722FAE">
                                  <w:r w:rsidRPr="00B7476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Supplementary table 1: </w:t>
                                  </w:r>
                                  <w:r w:rsidRPr="00B7476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Overview of patient characteristics. </w:t>
                                  </w:r>
                                  <w:r w:rsidRPr="00B74760">
                                    <w:rPr>
                                      <w:rFonts w:ascii="Times New Roman" w:hAnsi="Times New Roman" w:cs="Times New Roman"/>
                                    </w:rPr>
                                    <w:t>Overview of all patients and all available immune phenotyping data including IgG, IgM and IgA levels at diagnosis.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5pt;margin-top:-56.25pt;width:780.1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" fillcolor="white [3201]" stroked="f" strokeweight=".5pt">
                      <v:textbox>
                        <w:txbxContent>
                          <w:p w:rsidR="00722FAE" w:rsidRPr="00B74760" w:rsidRDefault="00722FAE">
                            <w:r w:rsidRPr="00B74760">
                              <w:rPr>
                                <w:rFonts w:ascii="Times New Roman" w:hAnsi="Times New Roman" w:cs="Times New Roman"/>
                              </w:rPr>
                              <w:t xml:space="preserve">Supplementary table 1: </w:t>
                            </w:r>
                            <w:r w:rsidRPr="00B7476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Overview of patient characteristics. </w:t>
                            </w:r>
                            <w:r w:rsidRPr="00B74760">
                              <w:rPr>
                                <w:rFonts w:ascii="Times New Roman" w:hAnsi="Times New Roman" w:cs="Times New Roman"/>
                              </w:rPr>
                              <w:t>Overview of all patients and all available immune phenotyping data including IgG, IgM and IgA levels at diagnosis.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Patient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Age</w:t>
            </w:r>
            <w:r w:rsidR="002322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br/>
              <w:t>(yr)</w:t>
            </w:r>
            <w:bookmarkStart w:id="0" w:name="_GoBack"/>
            <w:bookmarkEnd w:id="0"/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Sex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CD19 Count  (x10*9/L)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Transitional B-cells Count  (x10*6/L)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Naive mature B-cells Count  (x10*6/L)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Marginal zone like B-cells Count  (x10*6/L)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Memory B-cells Count  (x10*6/L)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CD3 Count (x10*9/L)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CD4 Count (x10*9/L)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CD8 Count (x10*9/L)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IgG levels (g/L)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IgM levels (g/L)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IgA levels (g/L)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Auto-immunity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Ref. values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5-10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0.2-1.6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11-77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111-486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15-88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13-100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0.7-4.2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0.3-2.0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0.3-1.8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Ref. values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6-9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5,2-14,3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0,28-1,9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0,54-2,5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497,55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45,75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26,05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2,06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1,37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2,33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156,49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6,57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244,08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18,07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1,37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Ref. values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10-16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0.2-0.6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4-108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87-390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7-90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10-76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0.8-3.5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0.4-2.1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0.2-1.2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Ref. values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12-16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5,2-15,6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0,13-1,6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0,62-3,0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260,14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21,73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1,52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261,35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20,343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10,34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1,91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0,71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14,2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138,94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3,31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1,63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Ref. values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Adults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0.1-0.5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3-50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57-447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9-88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13-122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0.7-2.1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0.3-1.4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0.2-1.2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7,0-16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0,40-2,3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0,70-4,0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8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207,37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8,88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8,63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0,76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4,49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0,48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242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12,14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25,9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15,62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45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386,61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66,11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14,52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Immune Thrombocytopenic Purpura and</w:t>
            </w: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br/>
              <w:t>Autoimmune hemolytic anemia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111,66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6,95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149,62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1,58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1,34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0,91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0,91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Autoimmunity, vitiligo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1,31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3,35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Autoimmune cytopenias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3,07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62,49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30,95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1,84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0,79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1,13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312,29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79,35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1,58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1,27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86,64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24,91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13,14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0,71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0,96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0,79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1,18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0,82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0,11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2.65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Immune Thrombocytopenic Purpura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2,23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&lt;0.1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F1FED" w:rsidRPr="000F1FED" w:rsidTr="000F1FED">
        <w:trPr>
          <w:trHeight w:val="22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FED" w:rsidRPr="000F1FED" w:rsidRDefault="000F1FED" w:rsidP="000F1F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1,66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0,59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1,11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1FED" w:rsidRPr="000F1FED" w:rsidRDefault="000F1FED" w:rsidP="000F1F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0F1FE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Autoimmune cytopenias</w:t>
            </w:r>
          </w:p>
        </w:tc>
      </w:tr>
    </w:tbl>
    <w:p w:rsidR="00722FAE" w:rsidRDefault="00722FAE" w:rsidP="00154B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722FAE" w:rsidSect="0085167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80" w:rightFromText="180" w:tblpY="810"/>
        <w:tblW w:w="5000" w:type="pct"/>
        <w:tblLook w:val="04A0" w:firstRow="1" w:lastRow="0" w:firstColumn="1" w:lastColumn="0" w:noHBand="0" w:noVBand="1"/>
      </w:tblPr>
      <w:tblGrid>
        <w:gridCol w:w="789"/>
        <w:gridCol w:w="655"/>
        <w:gridCol w:w="1165"/>
        <w:gridCol w:w="559"/>
        <w:gridCol w:w="564"/>
        <w:gridCol w:w="1031"/>
        <w:gridCol w:w="1408"/>
        <w:gridCol w:w="940"/>
        <w:gridCol w:w="919"/>
        <w:gridCol w:w="919"/>
        <w:gridCol w:w="919"/>
        <w:gridCol w:w="814"/>
      </w:tblGrid>
      <w:tr w:rsidR="00C155B8" w:rsidRPr="00C155B8" w:rsidTr="00485C6E">
        <w:trPr>
          <w:trHeight w:val="615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485C6E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-996315</wp:posOffset>
                      </wp:positionV>
                      <wp:extent cx="6838950" cy="603250"/>
                      <wp:effectExtent l="0" t="0" r="0" b="63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0" cy="603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2FAE" w:rsidRPr="00485C6E" w:rsidRDefault="00722FAE">
                                  <w:r w:rsidRPr="00485C6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Supplementary table 2: </w:t>
                                  </w:r>
                                  <w:r w:rsidRPr="00485C6E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Overview of sample characteristics and unique IGH rearrangements. </w:t>
                                  </w:r>
                                  <w:r w:rsidRPr="00485C6E">
                                    <w:rPr>
                                      <w:rFonts w:ascii="Times New Roman" w:hAnsi="Times New Roman" w:cs="Times New Roman"/>
                                    </w:rPr>
                                    <w:t>Overview of all patients and HC samples. Codes of all patient samples start with CVID, while the HC start with NWK or perio. # sample excluded based on clonality; * sample excluded because low number of unique reads; ** samples excluded from calculation of diversity.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margin-left:-8.15pt;margin-top:-78.45pt;width:538.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" fillcolor="white [3201]" stroked="f" strokeweight=".5pt">
                      <v:textbox>
                        <w:txbxContent>
                          <w:p w:rsidR="00722FAE" w:rsidRPr="00485C6E" w:rsidRDefault="00722FAE">
                            <w:r w:rsidRPr="00485C6E">
                              <w:rPr>
                                <w:rFonts w:ascii="Times New Roman" w:hAnsi="Times New Roman" w:cs="Times New Roman"/>
                              </w:rPr>
                              <w:t xml:space="preserve">Supplementary table 2: </w:t>
                            </w:r>
                            <w:r w:rsidRPr="00485C6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Overview of sample characteristics and unique IGH rearrangements. </w:t>
                            </w:r>
                            <w:r w:rsidRPr="00485C6E">
                              <w:rPr>
                                <w:rFonts w:ascii="Times New Roman" w:hAnsi="Times New Roman" w:cs="Times New Roman"/>
                              </w:rPr>
                              <w:t>Overview of all patients and HC samples. Codes of all patient samples start with CVID, while the HC start with NWK or perio. # sample excluded based on clonality; * sample excluded because low number of unique reads; ** samples excluded from calculation of diversity.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5B8"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en-US"/>
              </w:rPr>
              <w:t>antigen selected B cell repertoire</w:t>
            </w:r>
          </w:p>
        </w:tc>
        <w:tc>
          <w:tcPr>
            <w:tcW w:w="325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naive B cell repertoire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sample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AGE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autoimmunity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en-US"/>
              </w:rPr>
              <w:t>IGHA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sz w:val="16"/>
                <w:szCs w:val="16"/>
                <w:lang w:val="en-US"/>
              </w:rPr>
              <w:t>IGHG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replicate 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replicate 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replicate 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replicate 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replicate 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replicate 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en-US"/>
              </w:rPr>
              <w:t>sum</w:t>
            </w:r>
          </w:p>
        </w:tc>
      </w:tr>
      <w:tr w:rsidR="00C155B8" w:rsidRPr="00C155B8" w:rsidTr="00485C6E">
        <w:trPr>
          <w:trHeight w:val="315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485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355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7564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8249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9026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5666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9255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6934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46694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1*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322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1544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5319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4530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4457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6351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5572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27773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2*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987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4768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3806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5507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4074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5199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4579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27933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374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167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2865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2128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2148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3620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4960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18687</w:t>
            </w:r>
          </w:p>
        </w:tc>
      </w:tr>
      <w:tr w:rsidR="00C155B8" w:rsidRPr="00C155B8" w:rsidTr="00485C6E">
        <w:trPr>
          <w:trHeight w:val="315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476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402#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9125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10479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9622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8560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6173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7603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51562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113#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143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9690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10979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9104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4952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5587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6657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46969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A548BE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1647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1930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1627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3425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4601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3752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4416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3504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21325</w:t>
            </w:r>
          </w:p>
        </w:tc>
      </w:tr>
      <w:tr w:rsidR="00C155B8" w:rsidRPr="00C155B8" w:rsidTr="00485C6E">
        <w:trPr>
          <w:trHeight w:val="315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587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487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5906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4859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4734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7156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4299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5829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32783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160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196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7305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7376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6356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6048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8636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6930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42651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462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1003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6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657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531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13094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10599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3164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2370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3826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3589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36642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704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523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2460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2204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4366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3165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335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337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12867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33*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431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15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933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76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87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CVID19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6949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7842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7890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8904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11314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9576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52475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8253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4732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3758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2725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5768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29736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47#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6615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8600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7832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7893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2408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5451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38799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223#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86#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4813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3033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3874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3058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4942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3416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23136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3443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2927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3402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2594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2314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3194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17874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52#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42*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3533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1983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1920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1030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2443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15835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1493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2148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1908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2965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2719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2179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13412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35*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7784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3441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3083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3970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471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18749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2694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2084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2799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1539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9122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11*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6413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6592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2923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1040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317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17285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CVID29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1127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2090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1865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3234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374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2629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11319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839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3931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3163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3712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12605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5403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2970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2980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3475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14828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2697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461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1407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1311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7982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2051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742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2760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2568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869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9423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4369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4445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3468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3576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5363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3689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24910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CVID35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  <w:r w:rsidR="0095273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20*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5989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6062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2826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1861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1025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986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819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13579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NWK64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111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35*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NWK61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73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14*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NWK66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65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NWK180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15042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3254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11113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29409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NWK57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223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 xml:space="preserve">NWK42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136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174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 xml:space="preserve">NWK5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129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NWK162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16,8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16055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12025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1992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30072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 xml:space="preserve">NWK53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863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1063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NWK43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277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NWK302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11296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10160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6453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5369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4874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3652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41804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lastRenderedPageBreak/>
              <w:t>NWK303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###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914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NWK290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7951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4217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5175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6104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5184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3505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32136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NWK383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84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NWK214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6514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4554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4506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4927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3831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4561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28893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NWK297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###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598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144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198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NWK245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7671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5369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1650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2167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1646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10601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29104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 xml:space="preserve">perio34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###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784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 xml:space="preserve">perio37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576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1469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NWK237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905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494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3810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7530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8760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4869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6430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4264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35663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NWK379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169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181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4138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4385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4609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562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921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17815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NWK380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27*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92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5181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5346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3066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3564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1364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1376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19897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7927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7644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5866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6366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5476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4645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37924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NWK299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###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630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4990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5769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4439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5137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2526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3294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26155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NWK378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354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540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NWK377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917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469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1089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826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527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556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2646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1059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6703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NWK384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56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35*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41*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761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685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999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325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1075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293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4138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NWK385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26*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7254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6069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4356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2124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3054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754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23611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NWK381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67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88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126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1295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899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1969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1785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1946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1364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9258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NWK387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###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600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C155B8" w:rsidRPr="00C155B8" w:rsidTr="00485C6E">
        <w:trPr>
          <w:trHeight w:val="300"/>
        </w:trPr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NWK386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74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###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839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5B8" w:rsidRPr="00C155B8" w:rsidRDefault="00C155B8" w:rsidP="00485C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</w:pPr>
            <w:r w:rsidRPr="00C155B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/>
              </w:rPr>
              <w:t> </w:t>
            </w:r>
          </w:p>
        </w:tc>
      </w:tr>
    </w:tbl>
    <w:p w:rsidR="00C6566E" w:rsidRDefault="00C6566E" w:rsidP="007F71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B3C" w:rsidRDefault="00154B3C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br w:type="page"/>
      </w:r>
    </w:p>
    <w:p w:rsidR="00154B3C" w:rsidRDefault="00154B3C" w:rsidP="007F7112">
      <w:pPr>
        <w:spacing w:line="48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sectPr w:rsidR="00154B3C" w:rsidSect="0085167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4B3C" w:rsidRDefault="0085167E" w:rsidP="007F7112">
      <w:pPr>
        <w:spacing w:line="48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lastRenderedPageBreak/>
        <w:t>Supplemental Table 3</w:t>
      </w:r>
      <w:r w:rsidR="00154B3C" w:rsidRPr="00C6566E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. Overview of </w:t>
      </w:r>
      <w:r w:rsidR="00154B3C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 xml:space="preserve">the number and type of </w:t>
      </w:r>
      <w:r w:rsidR="00154B3C" w:rsidRPr="00C6566E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mutations per sample</w:t>
      </w:r>
    </w:p>
    <w:p w:rsidR="00C6566E" w:rsidRDefault="00C6566E" w:rsidP="007F71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66E">
        <w:rPr>
          <w:b/>
          <w:noProof/>
          <w:lang w:eastAsia="en-GB"/>
        </w:rPr>
        <w:drawing>
          <wp:inline distT="0" distB="0" distL="0" distR="0" wp14:anchorId="045210EC" wp14:editId="5B5FCE7A">
            <wp:extent cx="10074121" cy="47910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121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3C" w:rsidRDefault="00154B3C" w:rsidP="007F71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B3C" w:rsidRDefault="00154B3C" w:rsidP="007F71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54B3C" w:rsidSect="00154B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FAE" w:rsidRDefault="00722FAE" w:rsidP="00154B3C">
      <w:pPr>
        <w:spacing w:after="0" w:line="240" w:lineRule="auto"/>
      </w:pPr>
      <w:r>
        <w:separator/>
      </w:r>
    </w:p>
  </w:endnote>
  <w:endnote w:type="continuationSeparator" w:id="0">
    <w:p w:rsidR="00722FAE" w:rsidRDefault="00722FAE" w:rsidP="0015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FAE" w:rsidRDefault="00722FAE" w:rsidP="00154B3C">
      <w:pPr>
        <w:spacing w:after="0" w:line="240" w:lineRule="auto"/>
      </w:pPr>
      <w:r>
        <w:separator/>
      </w:r>
    </w:p>
  </w:footnote>
  <w:footnote w:type="continuationSeparator" w:id="0">
    <w:p w:rsidR="00722FAE" w:rsidRDefault="00722FAE" w:rsidP="00154B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Bloo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e5t9tx209z2d4etprqppvseaswzsvwzprx0&quot;&gt;all references&lt;record-ids&gt;&lt;item&gt;1088&lt;/item&gt;&lt;item&gt;1116&lt;/item&gt;&lt;item&gt;1219&lt;/item&gt;&lt;item&gt;1284&lt;/item&gt;&lt;item&gt;1313&lt;/item&gt;&lt;item&gt;1578&lt;/item&gt;&lt;item&gt;1588&lt;/item&gt;&lt;item&gt;1606&lt;/item&gt;&lt;item&gt;1698&lt;/item&gt;&lt;item&gt;1778&lt;/item&gt;&lt;/record-ids&gt;&lt;/item&gt;&lt;/Libraries&gt;"/>
  </w:docVars>
  <w:rsids>
    <w:rsidRoot w:val="00997189"/>
    <w:rsid w:val="000F1FED"/>
    <w:rsid w:val="00134572"/>
    <w:rsid w:val="00154B3C"/>
    <w:rsid w:val="0023225C"/>
    <w:rsid w:val="0025711F"/>
    <w:rsid w:val="002A3A39"/>
    <w:rsid w:val="00485C6E"/>
    <w:rsid w:val="005E06F0"/>
    <w:rsid w:val="00667CE5"/>
    <w:rsid w:val="006F5EC9"/>
    <w:rsid w:val="00704708"/>
    <w:rsid w:val="00722FAE"/>
    <w:rsid w:val="0079451F"/>
    <w:rsid w:val="007F7112"/>
    <w:rsid w:val="0085167E"/>
    <w:rsid w:val="0095273A"/>
    <w:rsid w:val="00997189"/>
    <w:rsid w:val="00A548BE"/>
    <w:rsid w:val="00A71A23"/>
    <w:rsid w:val="00AA6CD2"/>
    <w:rsid w:val="00B74760"/>
    <w:rsid w:val="00BC62A0"/>
    <w:rsid w:val="00C155B8"/>
    <w:rsid w:val="00C6566E"/>
    <w:rsid w:val="00D22E01"/>
    <w:rsid w:val="00D47D08"/>
    <w:rsid w:val="00D55114"/>
    <w:rsid w:val="00D91B1D"/>
    <w:rsid w:val="00E533BE"/>
    <w:rsid w:val="00F5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D0421"/>
  <w15:docId w15:val="{700648DF-AB1F-43CB-B704-347050F0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1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C6566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566E"/>
    <w:rPr>
      <w:color w:val="800080"/>
      <w:u w:val="single"/>
    </w:rPr>
  </w:style>
  <w:style w:type="paragraph" w:customStyle="1" w:styleId="xl65">
    <w:name w:val="xl65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C656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C6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en-GB"/>
    </w:rPr>
  </w:style>
  <w:style w:type="paragraph" w:customStyle="1" w:styleId="xl68">
    <w:name w:val="xl68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C6566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C6566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2">
    <w:name w:val="xl72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3">
    <w:name w:val="xl73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4">
    <w:name w:val="xl74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5">
    <w:name w:val="xl75"/>
    <w:basedOn w:val="Normal"/>
    <w:rsid w:val="00C656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6">
    <w:name w:val="xl76"/>
    <w:basedOn w:val="Normal"/>
    <w:rsid w:val="00C656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7">
    <w:name w:val="xl77"/>
    <w:basedOn w:val="Normal"/>
    <w:rsid w:val="00C656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C656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9">
    <w:name w:val="xl79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C6566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C6566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C656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3">
    <w:name w:val="xl83"/>
    <w:basedOn w:val="Normal"/>
    <w:rsid w:val="00C65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C656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C6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86">
    <w:name w:val="xl86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87">
    <w:name w:val="xl87"/>
    <w:basedOn w:val="Normal"/>
    <w:rsid w:val="00C656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88">
    <w:name w:val="xl88"/>
    <w:basedOn w:val="Normal"/>
    <w:rsid w:val="00C656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89">
    <w:name w:val="xl89"/>
    <w:basedOn w:val="Normal"/>
    <w:rsid w:val="00C656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0">
    <w:name w:val="xl90"/>
    <w:basedOn w:val="Normal"/>
    <w:rsid w:val="00C656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54B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B3C"/>
  </w:style>
  <w:style w:type="paragraph" w:styleId="Footer">
    <w:name w:val="footer"/>
    <w:basedOn w:val="Normal"/>
    <w:link w:val="FooterChar"/>
    <w:uiPriority w:val="99"/>
    <w:unhideWhenUsed/>
    <w:rsid w:val="00154B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B3C"/>
  </w:style>
  <w:style w:type="paragraph" w:customStyle="1" w:styleId="EndNoteBibliographyTitle">
    <w:name w:val="EndNote Bibliography Title"/>
    <w:basedOn w:val="Normal"/>
    <w:link w:val="EndNoteBibliographyTitleChar"/>
    <w:rsid w:val="00154B3C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54B3C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54B3C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54B3C"/>
    <w:rPr>
      <w:rFonts w:ascii="Calibri" w:hAnsi="Calibri"/>
      <w:noProof/>
      <w:lang w:val="en-US"/>
    </w:rPr>
  </w:style>
  <w:style w:type="paragraph" w:customStyle="1" w:styleId="msonormal0">
    <w:name w:val="msonormal"/>
    <w:basedOn w:val="Normal"/>
    <w:rsid w:val="00C15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3">
    <w:name w:val="xl63"/>
    <w:basedOn w:val="Normal"/>
    <w:rsid w:val="00C15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Normal"/>
    <w:rsid w:val="00C15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5CD1B-4B20-4F5A-9585-43A6EAF1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9A99FCFD</Template>
  <TotalTime>2</TotalTime>
  <Pages>7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LUMC</Company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Schouwenburg, P.A. van (KJC)</dc:creator>
  <cp:lastModifiedBy>Burg, M. van der (KJC)</cp:lastModifiedBy>
  <cp:revision>4</cp:revision>
  <dcterms:created xsi:type="dcterms:W3CDTF">2018-10-08T07:35:00Z</dcterms:created>
  <dcterms:modified xsi:type="dcterms:W3CDTF">2018-10-09T10:06:00Z</dcterms:modified>
</cp:coreProperties>
</file>