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BC6" w:rsidRPr="005738A5" w:rsidRDefault="00F25BC6" w:rsidP="00F25BC6">
      <w:pPr>
        <w:jc w:val="center"/>
        <w:rPr>
          <w:b/>
        </w:rPr>
      </w:pPr>
      <w:bookmarkStart w:id="0" w:name="_GoBack"/>
      <w:bookmarkEnd w:id="0"/>
      <w:r w:rsidRPr="005738A5">
        <w:rPr>
          <w:b/>
        </w:rPr>
        <w:t>Supplemental Tables</w:t>
      </w:r>
    </w:p>
    <w:p w:rsidR="00F25BC6" w:rsidRDefault="00F25BC6" w:rsidP="00F25BC6"/>
    <w:p w:rsidR="00F25BC6" w:rsidRPr="00F6563C" w:rsidRDefault="00F25BC6" w:rsidP="00F25BC6">
      <w:pPr>
        <w:pStyle w:val="Caption"/>
        <w:rPr>
          <w:rFonts w:asciiTheme="minorHAnsi" w:hAnsiTheme="minorHAnsi"/>
          <w:b w:val="0"/>
          <w:color w:val="auto"/>
          <w:sz w:val="22"/>
          <w:szCs w:val="22"/>
        </w:rPr>
      </w:pPr>
      <w:bookmarkStart w:id="1" w:name="_Ref383427055"/>
      <w:r w:rsidRPr="00895870">
        <w:rPr>
          <w:rFonts w:asciiTheme="minorHAnsi" w:hAnsiTheme="minorHAnsi"/>
          <w:color w:val="auto"/>
          <w:sz w:val="22"/>
          <w:szCs w:val="22"/>
        </w:rPr>
        <w:t xml:space="preserve">Supplemental Table </w:t>
      </w:r>
      <w:r w:rsidRPr="00895870">
        <w:rPr>
          <w:rFonts w:asciiTheme="minorHAnsi" w:hAnsiTheme="minorHAnsi"/>
          <w:color w:val="auto"/>
          <w:sz w:val="22"/>
          <w:szCs w:val="22"/>
        </w:rPr>
        <w:fldChar w:fldCharType="begin"/>
      </w:r>
      <w:r w:rsidRPr="00895870">
        <w:rPr>
          <w:rFonts w:asciiTheme="minorHAnsi" w:hAnsiTheme="minorHAnsi"/>
          <w:color w:val="auto"/>
          <w:sz w:val="22"/>
          <w:szCs w:val="22"/>
        </w:rPr>
        <w:instrText xml:space="preserve"> SEQ Supplemental_Table \* ARABIC </w:instrText>
      </w:r>
      <w:r w:rsidRPr="00895870">
        <w:rPr>
          <w:rFonts w:asciiTheme="minorHAnsi" w:hAnsiTheme="minorHAnsi"/>
          <w:color w:val="auto"/>
          <w:sz w:val="22"/>
          <w:szCs w:val="22"/>
        </w:rPr>
        <w:fldChar w:fldCharType="separate"/>
      </w:r>
      <w:r>
        <w:rPr>
          <w:rFonts w:asciiTheme="minorHAnsi" w:hAnsiTheme="minorHAnsi"/>
          <w:noProof/>
          <w:color w:val="auto"/>
          <w:sz w:val="22"/>
          <w:szCs w:val="22"/>
        </w:rPr>
        <w:t>1</w:t>
      </w:r>
      <w:r w:rsidRPr="00895870">
        <w:rPr>
          <w:rFonts w:asciiTheme="minorHAnsi" w:hAnsiTheme="minorHAnsi"/>
          <w:color w:val="auto"/>
          <w:sz w:val="22"/>
          <w:szCs w:val="22"/>
        </w:rPr>
        <w:fldChar w:fldCharType="end"/>
      </w:r>
      <w:bookmarkEnd w:id="1"/>
      <w:r>
        <w:rPr>
          <w:rFonts w:asciiTheme="minorHAnsi" w:hAnsiTheme="minorHAnsi"/>
          <w:color w:val="auto"/>
          <w:sz w:val="22"/>
          <w:szCs w:val="22"/>
        </w:rPr>
        <w:t>:</w:t>
      </w:r>
      <w:r w:rsidRPr="00E95B84">
        <w:rPr>
          <w:rFonts w:asciiTheme="minorHAnsi" w:hAnsiTheme="minorHAnsi"/>
          <w:b w:val="0"/>
          <w:color w:val="auto"/>
          <w:sz w:val="22"/>
          <w:szCs w:val="22"/>
        </w:rPr>
        <w:t xml:space="preserve"> </w:t>
      </w:r>
      <w:r w:rsidRPr="00E95B84">
        <w:rPr>
          <w:rFonts w:asciiTheme="minorHAnsi" w:hAnsiTheme="minorHAnsi"/>
          <w:color w:val="auto"/>
          <w:sz w:val="22"/>
          <w:szCs w:val="22"/>
        </w:rPr>
        <w:t xml:space="preserve">Substrate specificity; activity of </w:t>
      </w:r>
      <w:proofErr w:type="spellStart"/>
      <w:r w:rsidRPr="00E95B84">
        <w:rPr>
          <w:rFonts w:asciiTheme="minorHAnsi" w:hAnsiTheme="minorHAnsi"/>
          <w:color w:val="auto"/>
          <w:sz w:val="22"/>
          <w:szCs w:val="22"/>
        </w:rPr>
        <w:t>PeiR</w:t>
      </w:r>
      <w:proofErr w:type="spellEnd"/>
      <w:r w:rsidRPr="00E95B84">
        <w:rPr>
          <w:rFonts w:asciiTheme="minorHAnsi" w:hAnsiTheme="minorHAnsi"/>
          <w:color w:val="auto"/>
          <w:sz w:val="22"/>
          <w:szCs w:val="22"/>
        </w:rPr>
        <w:t xml:space="preserve"> free enzyme on synthetic peptide substrates using an agarose plate </w:t>
      </w:r>
      <w:r w:rsidRPr="00F6563C">
        <w:rPr>
          <w:rFonts w:asciiTheme="minorHAnsi" w:hAnsiTheme="minorHAnsi"/>
          <w:color w:val="auto"/>
          <w:sz w:val="22"/>
          <w:szCs w:val="22"/>
        </w:rPr>
        <w:t>assay</w:t>
      </w:r>
      <w:r w:rsidRPr="00F6563C">
        <w:rPr>
          <w:rFonts w:asciiTheme="minorHAnsi" w:hAnsiTheme="minorHAnsi"/>
          <w:b w:val="0"/>
          <w:color w:val="auto"/>
          <w:sz w:val="22"/>
          <w:szCs w:val="22"/>
        </w:rPr>
        <w:t xml:space="preserve">. The presence of a zone of yellow colouration was compared; </w:t>
      </w:r>
      <w:r>
        <w:rPr>
          <w:rFonts w:asciiTheme="minorHAnsi" w:hAnsiTheme="minorHAnsi"/>
          <w:b w:val="0"/>
          <w:color w:val="auto"/>
          <w:sz w:val="22"/>
          <w:szCs w:val="22"/>
        </w:rPr>
        <w:t>‘</w:t>
      </w:r>
      <w:proofErr w:type="gramStart"/>
      <w:r w:rsidRPr="00F6563C">
        <w:rPr>
          <w:rFonts w:asciiTheme="minorHAnsi" w:hAnsiTheme="minorHAnsi"/>
          <w:b w:val="0"/>
          <w:color w:val="auto"/>
          <w:sz w:val="22"/>
          <w:szCs w:val="22"/>
        </w:rPr>
        <w:t>–</w:t>
      </w:r>
      <w:r>
        <w:rPr>
          <w:rFonts w:asciiTheme="minorHAnsi" w:hAnsiTheme="minorHAnsi"/>
          <w:b w:val="0"/>
          <w:color w:val="auto"/>
          <w:sz w:val="22"/>
          <w:szCs w:val="22"/>
        </w:rPr>
        <w:t>‘</w:t>
      </w:r>
      <w:r w:rsidRPr="00F6563C">
        <w:rPr>
          <w:rFonts w:asciiTheme="minorHAnsi" w:hAnsiTheme="minorHAnsi"/>
          <w:b w:val="0"/>
          <w:color w:val="auto"/>
          <w:sz w:val="22"/>
          <w:szCs w:val="22"/>
        </w:rPr>
        <w:t xml:space="preserve"> no</w:t>
      </w:r>
      <w:proofErr w:type="gramEnd"/>
      <w:r w:rsidRPr="00F6563C">
        <w:rPr>
          <w:rFonts w:asciiTheme="minorHAnsi" w:hAnsiTheme="minorHAnsi"/>
          <w:b w:val="0"/>
          <w:color w:val="auto"/>
          <w:sz w:val="22"/>
          <w:szCs w:val="22"/>
        </w:rPr>
        <w:t xml:space="preserve"> zone, </w:t>
      </w:r>
      <w:r>
        <w:rPr>
          <w:rFonts w:asciiTheme="minorHAnsi" w:hAnsiTheme="minorHAnsi"/>
          <w:b w:val="0"/>
          <w:color w:val="auto"/>
          <w:sz w:val="22"/>
          <w:szCs w:val="22"/>
        </w:rPr>
        <w:t>‘</w:t>
      </w:r>
      <w:r w:rsidRPr="00F6563C">
        <w:rPr>
          <w:rFonts w:asciiTheme="minorHAnsi" w:hAnsiTheme="minorHAnsi"/>
          <w:b w:val="0"/>
          <w:color w:val="auto"/>
          <w:sz w:val="22"/>
          <w:szCs w:val="22"/>
        </w:rPr>
        <w:t>+</w:t>
      </w:r>
      <w:r>
        <w:rPr>
          <w:rFonts w:asciiTheme="minorHAnsi" w:hAnsiTheme="minorHAnsi"/>
          <w:b w:val="0"/>
          <w:color w:val="auto"/>
          <w:sz w:val="22"/>
          <w:szCs w:val="22"/>
        </w:rPr>
        <w:t>’</w:t>
      </w:r>
      <w:r w:rsidRPr="00F6563C">
        <w:rPr>
          <w:rFonts w:asciiTheme="minorHAnsi" w:hAnsiTheme="minorHAnsi"/>
          <w:b w:val="0"/>
          <w:color w:val="auto"/>
          <w:sz w:val="22"/>
          <w:szCs w:val="22"/>
        </w:rPr>
        <w:t xml:space="preserve"> observable zone.</w:t>
      </w:r>
      <w:r>
        <w:rPr>
          <w:rFonts w:asciiTheme="minorHAnsi" w:hAnsiTheme="minorHAnsi"/>
          <w:b w:val="0"/>
          <w:color w:val="auto"/>
          <w:sz w:val="22"/>
          <w:szCs w:val="22"/>
        </w:rPr>
        <w:t xml:space="preserve"> </w:t>
      </w:r>
      <w:r w:rsidRPr="007C7AD2">
        <w:rPr>
          <w:rFonts w:asciiTheme="minorHAnsi" w:hAnsiTheme="minorHAnsi"/>
          <w:b w:val="0"/>
          <w:color w:val="auto"/>
          <w:sz w:val="22"/>
          <w:szCs w:val="22"/>
          <w:lang w:val="en-NZ"/>
        </w:rPr>
        <w:t xml:space="preserve">Ala: alanine; Glu: glutamate; Ser; serine; </w:t>
      </w:r>
      <w:proofErr w:type="spellStart"/>
      <w:r w:rsidRPr="007C7AD2">
        <w:rPr>
          <w:rFonts w:asciiTheme="minorHAnsi" w:hAnsiTheme="minorHAnsi"/>
          <w:b w:val="0"/>
          <w:color w:val="auto"/>
          <w:sz w:val="22"/>
          <w:szCs w:val="22"/>
          <w:lang w:val="en-NZ"/>
        </w:rPr>
        <w:t>Thr</w:t>
      </w:r>
      <w:proofErr w:type="spellEnd"/>
      <w:r w:rsidRPr="007C7AD2">
        <w:rPr>
          <w:rFonts w:asciiTheme="minorHAnsi" w:hAnsiTheme="minorHAnsi"/>
          <w:b w:val="0"/>
          <w:color w:val="auto"/>
          <w:sz w:val="22"/>
          <w:szCs w:val="22"/>
          <w:lang w:val="en-NZ"/>
        </w:rPr>
        <w:t xml:space="preserve">: threonine; Asp: aspartate; </w:t>
      </w:r>
      <w:proofErr w:type="spellStart"/>
      <w:r w:rsidRPr="007C7AD2">
        <w:rPr>
          <w:rFonts w:asciiTheme="minorHAnsi" w:hAnsiTheme="minorHAnsi"/>
          <w:b w:val="0"/>
          <w:color w:val="auto"/>
          <w:sz w:val="22"/>
          <w:szCs w:val="22"/>
          <w:lang w:val="en-NZ"/>
        </w:rPr>
        <w:t>pNA</w:t>
      </w:r>
      <w:proofErr w:type="spellEnd"/>
      <w:r w:rsidRPr="007C7AD2">
        <w:rPr>
          <w:rFonts w:asciiTheme="minorHAnsi" w:hAnsiTheme="minorHAnsi"/>
          <w:b w:val="0"/>
          <w:color w:val="auto"/>
          <w:sz w:val="22"/>
          <w:szCs w:val="22"/>
          <w:lang w:val="en-NZ"/>
        </w:rPr>
        <w:t xml:space="preserve">: </w:t>
      </w:r>
      <w:r w:rsidRPr="002064A2">
        <w:rPr>
          <w:rFonts w:asciiTheme="minorHAnsi" w:hAnsiTheme="minorHAnsi"/>
          <w:b w:val="0"/>
          <w:i/>
          <w:color w:val="auto"/>
          <w:sz w:val="22"/>
          <w:szCs w:val="22"/>
          <w:lang w:val="en-NZ"/>
        </w:rPr>
        <w:t>p</w:t>
      </w:r>
      <w:r w:rsidRPr="007C7AD2">
        <w:rPr>
          <w:rFonts w:asciiTheme="minorHAnsi" w:hAnsiTheme="minorHAnsi"/>
          <w:b w:val="0"/>
          <w:color w:val="auto"/>
          <w:sz w:val="22"/>
          <w:szCs w:val="22"/>
          <w:lang w:val="en-NZ"/>
        </w:rPr>
        <w:t>-nitroaniline</w:t>
      </w:r>
    </w:p>
    <w:tbl>
      <w:tblPr>
        <w:tblW w:w="0" w:type="auto"/>
        <w:tblInd w:w="93" w:type="dxa"/>
        <w:tblBorders>
          <w:top w:val="single" w:sz="4" w:space="0" w:color="auto"/>
          <w:bottom w:val="single" w:sz="4" w:space="0" w:color="auto"/>
        </w:tblBorders>
        <w:tblLook w:val="04A0" w:firstRow="1" w:lastRow="0" w:firstColumn="1" w:lastColumn="0" w:noHBand="0" w:noVBand="1"/>
      </w:tblPr>
      <w:tblGrid>
        <w:gridCol w:w="3263"/>
        <w:gridCol w:w="1372"/>
        <w:gridCol w:w="1630"/>
      </w:tblGrid>
      <w:tr w:rsidR="00F25BC6" w:rsidRPr="00054F62" w:rsidTr="00BE21BE">
        <w:trPr>
          <w:trHeight w:val="680"/>
        </w:trPr>
        <w:tc>
          <w:tcPr>
            <w:tcW w:w="0" w:type="auto"/>
            <w:tcBorders>
              <w:top w:val="single" w:sz="4" w:space="0" w:color="auto"/>
              <w:bottom w:val="single" w:sz="4" w:space="0" w:color="auto"/>
            </w:tcBorders>
            <w:noWrap/>
            <w:vAlign w:val="center"/>
            <w:hideMark/>
          </w:tcPr>
          <w:p w:rsidR="00F25BC6" w:rsidRPr="00054F62" w:rsidRDefault="00F25BC6" w:rsidP="00BE21BE">
            <w:pPr>
              <w:spacing w:after="0"/>
              <w:rPr>
                <w:bCs/>
              </w:rPr>
            </w:pPr>
            <w:r w:rsidRPr="00054F62">
              <w:rPr>
                <w:bCs/>
              </w:rPr>
              <w:t>Synthetic peptide substrate</w:t>
            </w:r>
          </w:p>
        </w:tc>
        <w:tc>
          <w:tcPr>
            <w:tcW w:w="0" w:type="auto"/>
            <w:tcBorders>
              <w:top w:val="single" w:sz="4" w:space="0" w:color="auto"/>
              <w:bottom w:val="single" w:sz="4" w:space="0" w:color="auto"/>
            </w:tcBorders>
            <w:noWrap/>
            <w:vAlign w:val="center"/>
            <w:hideMark/>
          </w:tcPr>
          <w:p w:rsidR="00F25BC6" w:rsidRPr="00054F62" w:rsidRDefault="00F25BC6" w:rsidP="00BE21BE">
            <w:pPr>
              <w:spacing w:after="0"/>
              <w:rPr>
                <w:bCs/>
              </w:rPr>
            </w:pPr>
            <w:r w:rsidRPr="00054F62">
              <w:rPr>
                <w:bCs/>
              </w:rPr>
              <w:t>Abbreviation</w:t>
            </w:r>
          </w:p>
        </w:tc>
        <w:tc>
          <w:tcPr>
            <w:tcW w:w="0" w:type="auto"/>
            <w:tcBorders>
              <w:top w:val="single" w:sz="4" w:space="0" w:color="auto"/>
            </w:tcBorders>
            <w:noWrap/>
            <w:vAlign w:val="center"/>
            <w:hideMark/>
          </w:tcPr>
          <w:p w:rsidR="00F25BC6" w:rsidRPr="00054F62" w:rsidRDefault="00F25BC6" w:rsidP="00BE21BE">
            <w:pPr>
              <w:spacing w:after="0"/>
              <w:rPr>
                <w:bCs/>
              </w:rPr>
            </w:pPr>
            <w:r w:rsidRPr="00054F62">
              <w:rPr>
                <w:bCs/>
              </w:rPr>
              <w:t>Relative activity</w:t>
            </w:r>
          </w:p>
        </w:tc>
      </w:tr>
      <w:tr w:rsidR="00F25BC6" w:rsidRPr="00054F62" w:rsidTr="00BE21BE">
        <w:trPr>
          <w:trHeight w:val="300"/>
        </w:trPr>
        <w:tc>
          <w:tcPr>
            <w:tcW w:w="0" w:type="auto"/>
            <w:tcBorders>
              <w:top w:val="single" w:sz="4" w:space="0" w:color="auto"/>
            </w:tcBorders>
            <w:noWrap/>
            <w:vAlign w:val="center"/>
            <w:hideMark/>
          </w:tcPr>
          <w:p w:rsidR="00F25BC6" w:rsidRPr="00054F62" w:rsidRDefault="00F25BC6" w:rsidP="00BE21BE">
            <w:pPr>
              <w:rPr>
                <w:bCs/>
              </w:rPr>
            </w:pPr>
            <w:r w:rsidRPr="00471590">
              <w:rPr>
                <w:bCs/>
                <w:sz w:val="18"/>
              </w:rPr>
              <w:t>L</w:t>
            </w:r>
            <w:r w:rsidRPr="00054F62">
              <w:rPr>
                <w:bCs/>
              </w:rPr>
              <w:t>-Ala-</w:t>
            </w:r>
            <w:proofErr w:type="spellStart"/>
            <w:r w:rsidRPr="00054F62">
              <w:rPr>
                <w:bCs/>
              </w:rPr>
              <w:t>pNA</w:t>
            </w:r>
            <w:proofErr w:type="spellEnd"/>
          </w:p>
        </w:tc>
        <w:tc>
          <w:tcPr>
            <w:tcW w:w="0" w:type="auto"/>
            <w:tcBorders>
              <w:top w:val="single" w:sz="4" w:space="0" w:color="auto"/>
            </w:tcBorders>
            <w:noWrap/>
            <w:vAlign w:val="center"/>
            <w:hideMark/>
          </w:tcPr>
          <w:p w:rsidR="00F25BC6" w:rsidRPr="00054F62" w:rsidRDefault="00F25BC6" w:rsidP="00BE21BE">
            <w:pPr>
              <w:jc w:val="center"/>
            </w:pPr>
            <w:proofErr w:type="spellStart"/>
            <w:r w:rsidRPr="00054F62">
              <w:t>ApNA</w:t>
            </w:r>
            <w:proofErr w:type="spellEnd"/>
          </w:p>
        </w:tc>
        <w:tc>
          <w:tcPr>
            <w:tcW w:w="0" w:type="auto"/>
            <w:tcBorders>
              <w:top w:val="single" w:sz="4" w:space="0" w:color="auto"/>
            </w:tcBorders>
            <w:noWrap/>
            <w:vAlign w:val="center"/>
            <w:hideMark/>
          </w:tcPr>
          <w:p w:rsidR="00F25BC6" w:rsidRPr="00054F62" w:rsidRDefault="00F25BC6" w:rsidP="00BE21BE">
            <w:pPr>
              <w:jc w:val="center"/>
            </w:pPr>
            <w:r w:rsidRPr="00054F62">
              <w:t>₋</w:t>
            </w:r>
          </w:p>
        </w:tc>
      </w:tr>
      <w:tr w:rsidR="00F25BC6" w:rsidRPr="00054F62" w:rsidTr="00BE21BE">
        <w:trPr>
          <w:trHeight w:val="300"/>
        </w:trPr>
        <w:tc>
          <w:tcPr>
            <w:tcW w:w="0" w:type="auto"/>
            <w:noWrap/>
            <w:vAlign w:val="center"/>
            <w:hideMark/>
          </w:tcPr>
          <w:p w:rsidR="00F25BC6" w:rsidRPr="00054F62" w:rsidRDefault="00F25BC6" w:rsidP="00BE21BE">
            <w:pPr>
              <w:rPr>
                <w:bCs/>
              </w:rPr>
            </w:pPr>
            <w:r>
              <w:rPr>
                <w:bCs/>
              </w:rPr>
              <w:t>H-Glu-Ala-</w:t>
            </w:r>
            <w:proofErr w:type="spellStart"/>
            <w:r>
              <w:rPr>
                <w:bCs/>
              </w:rPr>
              <w:t>pNA</w:t>
            </w:r>
            <w:proofErr w:type="spellEnd"/>
          </w:p>
        </w:tc>
        <w:tc>
          <w:tcPr>
            <w:tcW w:w="0" w:type="auto"/>
            <w:noWrap/>
            <w:vAlign w:val="center"/>
            <w:hideMark/>
          </w:tcPr>
          <w:p w:rsidR="00F25BC6" w:rsidRPr="00054F62" w:rsidRDefault="00F25BC6" w:rsidP="00BE21BE">
            <w:pPr>
              <w:jc w:val="center"/>
            </w:pPr>
            <w:proofErr w:type="spellStart"/>
            <w:r w:rsidRPr="00054F62">
              <w:t>EApNA</w:t>
            </w:r>
            <w:proofErr w:type="spellEnd"/>
          </w:p>
        </w:tc>
        <w:tc>
          <w:tcPr>
            <w:tcW w:w="0" w:type="auto"/>
            <w:shd w:val="clear" w:color="000000" w:fill="FFFFFF"/>
            <w:noWrap/>
            <w:vAlign w:val="center"/>
            <w:hideMark/>
          </w:tcPr>
          <w:p w:rsidR="00F25BC6" w:rsidRPr="00054F62" w:rsidRDefault="00F25BC6" w:rsidP="00BE21BE">
            <w:pPr>
              <w:jc w:val="center"/>
            </w:pPr>
            <w:r w:rsidRPr="00054F62">
              <w:t>₋</w:t>
            </w:r>
          </w:p>
        </w:tc>
      </w:tr>
      <w:tr w:rsidR="00F25BC6" w:rsidRPr="00054F62" w:rsidTr="00BE21BE">
        <w:trPr>
          <w:trHeight w:val="300"/>
        </w:trPr>
        <w:tc>
          <w:tcPr>
            <w:tcW w:w="0" w:type="auto"/>
            <w:noWrap/>
            <w:vAlign w:val="center"/>
            <w:hideMark/>
          </w:tcPr>
          <w:p w:rsidR="00F25BC6" w:rsidRPr="00054F62" w:rsidRDefault="00F25BC6" w:rsidP="00BE21BE">
            <w:pPr>
              <w:rPr>
                <w:bCs/>
              </w:rPr>
            </w:pPr>
            <w:r w:rsidRPr="00054F62">
              <w:rPr>
                <w:bCs/>
              </w:rPr>
              <w:t>Glu-γ-Ala-</w:t>
            </w:r>
            <w:proofErr w:type="spellStart"/>
            <w:r w:rsidRPr="00054F62">
              <w:rPr>
                <w:bCs/>
              </w:rPr>
              <w:t>pNA</w:t>
            </w:r>
            <w:proofErr w:type="spellEnd"/>
            <w:r w:rsidRPr="00054F62">
              <w:rPr>
                <w:bCs/>
              </w:rPr>
              <w:t xml:space="preserve"> (</w:t>
            </w:r>
            <w:proofErr w:type="gramStart"/>
            <w:r w:rsidRPr="00054F62">
              <w:rPr>
                <w:bCs/>
              </w:rPr>
              <w:t>Glu(</w:t>
            </w:r>
            <w:proofErr w:type="gramEnd"/>
            <w:r w:rsidRPr="00054F62">
              <w:rPr>
                <w:bCs/>
              </w:rPr>
              <w:t>Ala-</w:t>
            </w:r>
            <w:proofErr w:type="spellStart"/>
            <w:r w:rsidRPr="00054F62">
              <w:rPr>
                <w:bCs/>
              </w:rPr>
              <w:t>pNA</w:t>
            </w:r>
            <w:proofErr w:type="spellEnd"/>
            <w:r w:rsidRPr="00054F62">
              <w:rPr>
                <w:bCs/>
              </w:rPr>
              <w:t>)-OH)</w:t>
            </w:r>
          </w:p>
        </w:tc>
        <w:tc>
          <w:tcPr>
            <w:tcW w:w="0" w:type="auto"/>
            <w:noWrap/>
            <w:vAlign w:val="center"/>
            <w:hideMark/>
          </w:tcPr>
          <w:p w:rsidR="00F25BC6" w:rsidRPr="00054F62" w:rsidRDefault="00F25BC6" w:rsidP="00BE21BE">
            <w:pPr>
              <w:jc w:val="center"/>
            </w:pPr>
            <w:proofErr w:type="spellStart"/>
            <w:r w:rsidRPr="00054F62">
              <w:t>EγApNA</w:t>
            </w:r>
            <w:proofErr w:type="spellEnd"/>
          </w:p>
        </w:tc>
        <w:tc>
          <w:tcPr>
            <w:tcW w:w="0" w:type="auto"/>
            <w:shd w:val="clear" w:color="000000" w:fill="FFFFFF"/>
            <w:noWrap/>
            <w:vAlign w:val="center"/>
            <w:hideMark/>
          </w:tcPr>
          <w:p w:rsidR="00F25BC6" w:rsidRPr="00054F62" w:rsidRDefault="00F25BC6" w:rsidP="00BE21BE">
            <w:pPr>
              <w:jc w:val="center"/>
            </w:pPr>
            <w:r w:rsidRPr="00054F62">
              <w:t>₋</w:t>
            </w:r>
          </w:p>
        </w:tc>
      </w:tr>
      <w:tr w:rsidR="00F25BC6" w:rsidRPr="00054F62" w:rsidTr="00BE21BE">
        <w:trPr>
          <w:trHeight w:val="300"/>
        </w:trPr>
        <w:tc>
          <w:tcPr>
            <w:tcW w:w="0" w:type="auto"/>
            <w:noWrap/>
            <w:vAlign w:val="center"/>
            <w:hideMark/>
          </w:tcPr>
          <w:p w:rsidR="00F25BC6" w:rsidRPr="00054F62" w:rsidRDefault="00F25BC6" w:rsidP="00BE21BE">
            <w:pPr>
              <w:rPr>
                <w:bCs/>
              </w:rPr>
            </w:pPr>
            <w:r w:rsidRPr="00054F62">
              <w:rPr>
                <w:bCs/>
              </w:rPr>
              <w:t>Glu-γ-Ser-</w:t>
            </w:r>
            <w:proofErr w:type="spellStart"/>
            <w:r w:rsidRPr="00054F62">
              <w:rPr>
                <w:bCs/>
              </w:rPr>
              <w:t>pNA</w:t>
            </w:r>
            <w:proofErr w:type="spellEnd"/>
            <w:r w:rsidRPr="00054F62">
              <w:rPr>
                <w:bCs/>
              </w:rPr>
              <w:t xml:space="preserve"> (</w:t>
            </w:r>
            <w:proofErr w:type="gramStart"/>
            <w:r w:rsidRPr="00054F62">
              <w:rPr>
                <w:bCs/>
              </w:rPr>
              <w:t>Glu(</w:t>
            </w:r>
            <w:proofErr w:type="gramEnd"/>
            <w:r w:rsidRPr="00054F62">
              <w:rPr>
                <w:bCs/>
              </w:rPr>
              <w:t>Ser-</w:t>
            </w:r>
            <w:proofErr w:type="spellStart"/>
            <w:r w:rsidRPr="00054F62">
              <w:rPr>
                <w:bCs/>
              </w:rPr>
              <w:t>pNA</w:t>
            </w:r>
            <w:proofErr w:type="spellEnd"/>
            <w:r w:rsidRPr="00054F62">
              <w:rPr>
                <w:bCs/>
              </w:rPr>
              <w:t>)-OH)</w:t>
            </w:r>
          </w:p>
        </w:tc>
        <w:tc>
          <w:tcPr>
            <w:tcW w:w="0" w:type="auto"/>
            <w:noWrap/>
            <w:vAlign w:val="center"/>
            <w:hideMark/>
          </w:tcPr>
          <w:p w:rsidR="00F25BC6" w:rsidRPr="00054F62" w:rsidRDefault="00F25BC6" w:rsidP="00BE21BE">
            <w:pPr>
              <w:jc w:val="center"/>
            </w:pPr>
            <w:proofErr w:type="spellStart"/>
            <w:r w:rsidRPr="00054F62">
              <w:t>EγSpNA</w:t>
            </w:r>
            <w:proofErr w:type="spellEnd"/>
          </w:p>
        </w:tc>
        <w:tc>
          <w:tcPr>
            <w:tcW w:w="0" w:type="auto"/>
            <w:shd w:val="clear" w:color="000000" w:fill="FFFFFF"/>
            <w:noWrap/>
            <w:vAlign w:val="center"/>
            <w:hideMark/>
          </w:tcPr>
          <w:p w:rsidR="00F25BC6" w:rsidRPr="00054F62" w:rsidRDefault="00F25BC6" w:rsidP="00BE21BE">
            <w:pPr>
              <w:jc w:val="center"/>
            </w:pPr>
            <w:r w:rsidRPr="00054F62">
              <w:t>₋</w:t>
            </w:r>
          </w:p>
        </w:tc>
      </w:tr>
      <w:tr w:rsidR="00F25BC6" w:rsidRPr="00054F62" w:rsidTr="00BE21BE">
        <w:trPr>
          <w:trHeight w:val="300"/>
        </w:trPr>
        <w:tc>
          <w:tcPr>
            <w:tcW w:w="0" w:type="auto"/>
            <w:noWrap/>
            <w:vAlign w:val="center"/>
            <w:hideMark/>
          </w:tcPr>
          <w:p w:rsidR="00F25BC6" w:rsidRPr="00054F62" w:rsidRDefault="00F25BC6" w:rsidP="00BE21BE">
            <w:pPr>
              <w:rPr>
                <w:bCs/>
              </w:rPr>
            </w:pPr>
            <w:r w:rsidRPr="00054F62">
              <w:rPr>
                <w:bCs/>
              </w:rPr>
              <w:t>Glu-γ-</w:t>
            </w:r>
            <w:proofErr w:type="spellStart"/>
            <w:r w:rsidRPr="00054F62">
              <w:rPr>
                <w:bCs/>
              </w:rPr>
              <w:t>Thr</w:t>
            </w:r>
            <w:proofErr w:type="spellEnd"/>
            <w:r w:rsidRPr="00054F62">
              <w:rPr>
                <w:bCs/>
              </w:rPr>
              <w:t>-</w:t>
            </w:r>
            <w:proofErr w:type="spellStart"/>
            <w:r w:rsidRPr="00054F62">
              <w:rPr>
                <w:bCs/>
              </w:rPr>
              <w:t>pNA</w:t>
            </w:r>
            <w:proofErr w:type="spellEnd"/>
            <w:r w:rsidRPr="00054F62">
              <w:rPr>
                <w:bCs/>
              </w:rPr>
              <w:t xml:space="preserve"> (</w:t>
            </w:r>
            <w:proofErr w:type="gramStart"/>
            <w:r w:rsidRPr="00054F62">
              <w:rPr>
                <w:bCs/>
              </w:rPr>
              <w:t>Glu(</w:t>
            </w:r>
            <w:proofErr w:type="spellStart"/>
            <w:proofErr w:type="gramEnd"/>
            <w:r w:rsidRPr="00054F62">
              <w:rPr>
                <w:bCs/>
              </w:rPr>
              <w:t>Thr-pNA</w:t>
            </w:r>
            <w:proofErr w:type="spellEnd"/>
            <w:r w:rsidRPr="00054F62">
              <w:rPr>
                <w:bCs/>
              </w:rPr>
              <w:t>)-OH)</w:t>
            </w:r>
          </w:p>
        </w:tc>
        <w:tc>
          <w:tcPr>
            <w:tcW w:w="0" w:type="auto"/>
            <w:noWrap/>
            <w:vAlign w:val="center"/>
            <w:hideMark/>
          </w:tcPr>
          <w:p w:rsidR="00F25BC6" w:rsidRPr="00054F62" w:rsidRDefault="00F25BC6" w:rsidP="00BE21BE">
            <w:pPr>
              <w:jc w:val="center"/>
            </w:pPr>
            <w:proofErr w:type="spellStart"/>
            <w:r w:rsidRPr="00054F62">
              <w:t>EγTpNA</w:t>
            </w:r>
            <w:proofErr w:type="spellEnd"/>
          </w:p>
        </w:tc>
        <w:tc>
          <w:tcPr>
            <w:tcW w:w="0" w:type="auto"/>
            <w:noWrap/>
            <w:vAlign w:val="center"/>
            <w:hideMark/>
          </w:tcPr>
          <w:p w:rsidR="00F25BC6" w:rsidRPr="00054F62" w:rsidRDefault="00F25BC6" w:rsidP="00BE21BE">
            <w:pPr>
              <w:jc w:val="center"/>
            </w:pPr>
            <w:r w:rsidRPr="00054F62">
              <w:t>₊</w:t>
            </w:r>
          </w:p>
        </w:tc>
      </w:tr>
      <w:tr w:rsidR="00F25BC6" w:rsidRPr="00054F62" w:rsidTr="00BE21BE">
        <w:trPr>
          <w:trHeight w:val="300"/>
        </w:trPr>
        <w:tc>
          <w:tcPr>
            <w:tcW w:w="0" w:type="auto"/>
            <w:noWrap/>
            <w:vAlign w:val="center"/>
            <w:hideMark/>
          </w:tcPr>
          <w:p w:rsidR="00F25BC6" w:rsidRPr="00054F62" w:rsidRDefault="00F25BC6" w:rsidP="00BE21BE">
            <w:pPr>
              <w:rPr>
                <w:bCs/>
              </w:rPr>
            </w:pPr>
            <w:r w:rsidRPr="00054F62">
              <w:rPr>
                <w:bCs/>
              </w:rPr>
              <w:t>Asp-β-Ala-</w:t>
            </w:r>
            <w:proofErr w:type="spellStart"/>
            <w:r w:rsidRPr="00054F62">
              <w:rPr>
                <w:bCs/>
              </w:rPr>
              <w:t>pNA</w:t>
            </w:r>
            <w:proofErr w:type="spellEnd"/>
            <w:r w:rsidRPr="00054F62">
              <w:rPr>
                <w:bCs/>
              </w:rPr>
              <w:t xml:space="preserve"> (</w:t>
            </w:r>
            <w:proofErr w:type="gramStart"/>
            <w:r w:rsidRPr="00054F62">
              <w:rPr>
                <w:bCs/>
              </w:rPr>
              <w:t>Asp(</w:t>
            </w:r>
            <w:proofErr w:type="gramEnd"/>
            <w:r w:rsidRPr="00054F62">
              <w:rPr>
                <w:bCs/>
              </w:rPr>
              <w:t>Ala-</w:t>
            </w:r>
            <w:proofErr w:type="spellStart"/>
            <w:r w:rsidRPr="00054F62">
              <w:rPr>
                <w:bCs/>
              </w:rPr>
              <w:t>pNA</w:t>
            </w:r>
            <w:proofErr w:type="spellEnd"/>
            <w:r w:rsidRPr="00054F62">
              <w:rPr>
                <w:bCs/>
              </w:rPr>
              <w:t>)-OH)</w:t>
            </w:r>
          </w:p>
        </w:tc>
        <w:tc>
          <w:tcPr>
            <w:tcW w:w="0" w:type="auto"/>
            <w:noWrap/>
            <w:vAlign w:val="center"/>
            <w:hideMark/>
          </w:tcPr>
          <w:p w:rsidR="00F25BC6" w:rsidRPr="00054F62" w:rsidRDefault="00F25BC6" w:rsidP="00BE21BE">
            <w:pPr>
              <w:jc w:val="center"/>
            </w:pPr>
            <w:r w:rsidRPr="00054F62">
              <w:t>Dβ</w:t>
            </w:r>
            <w:proofErr w:type="spellStart"/>
            <w:r w:rsidRPr="00054F62">
              <w:t>ApNA</w:t>
            </w:r>
            <w:proofErr w:type="spellEnd"/>
          </w:p>
        </w:tc>
        <w:tc>
          <w:tcPr>
            <w:tcW w:w="0" w:type="auto"/>
            <w:noWrap/>
            <w:vAlign w:val="center"/>
            <w:hideMark/>
          </w:tcPr>
          <w:p w:rsidR="00F25BC6" w:rsidRPr="00054F62" w:rsidRDefault="00F25BC6" w:rsidP="00BE21BE">
            <w:pPr>
              <w:jc w:val="center"/>
            </w:pPr>
            <w:r w:rsidRPr="00054F62">
              <w:t>₋</w:t>
            </w:r>
          </w:p>
        </w:tc>
      </w:tr>
    </w:tbl>
    <w:p w:rsidR="00F25BC6" w:rsidRPr="00054F62" w:rsidRDefault="00F25BC6" w:rsidP="00F25BC6"/>
    <w:p w:rsidR="00F25BC6" w:rsidRDefault="00F25BC6" w:rsidP="00F25BC6">
      <w:r>
        <w:br w:type="page"/>
      </w:r>
    </w:p>
    <w:p w:rsidR="00F25BC6" w:rsidRDefault="00F25BC6" w:rsidP="00F25BC6">
      <w:pPr>
        <w:jc w:val="center"/>
        <w:rPr>
          <w:b/>
        </w:rPr>
      </w:pPr>
      <w:r w:rsidRPr="005738A5">
        <w:rPr>
          <w:b/>
        </w:rPr>
        <w:lastRenderedPageBreak/>
        <w:t>Supplemental Figures</w:t>
      </w:r>
    </w:p>
    <w:p w:rsidR="00F25BC6" w:rsidRDefault="00F25BC6" w:rsidP="00F25BC6"/>
    <w:p w:rsidR="00F25BC6" w:rsidRDefault="00F25BC6" w:rsidP="00F25BC6">
      <w:r>
        <w:rPr>
          <w:noProof/>
          <w:lang w:eastAsia="en-NZ"/>
        </w:rPr>
        <w:drawing>
          <wp:inline distT="0" distB="0" distL="0" distR="0" wp14:anchorId="11E04B03" wp14:editId="64AA6FE7">
            <wp:extent cx="5732780" cy="4230370"/>
            <wp:effectExtent l="0" t="0" r="1270" b="0"/>
            <wp:docPr id="5" name="Picture 5" descr="FIGURE_mru_cloning_expression_mass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IGURE_mru_cloning_expression_mass_spe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2780" cy="4230370"/>
                    </a:xfrm>
                    <a:prstGeom prst="rect">
                      <a:avLst/>
                    </a:prstGeom>
                    <a:noFill/>
                    <a:ln>
                      <a:noFill/>
                    </a:ln>
                  </pic:spPr>
                </pic:pic>
              </a:graphicData>
            </a:graphic>
          </wp:inline>
        </w:drawing>
      </w:r>
    </w:p>
    <w:p w:rsidR="00F25BC6" w:rsidRPr="00887101" w:rsidRDefault="00F25BC6" w:rsidP="00F25BC6">
      <w:pPr>
        <w:pStyle w:val="Caption"/>
        <w:jc w:val="both"/>
        <w:rPr>
          <w:rFonts w:asciiTheme="minorHAnsi" w:hAnsiTheme="minorHAnsi"/>
          <w:color w:val="auto"/>
          <w:sz w:val="22"/>
          <w:szCs w:val="22"/>
        </w:rPr>
      </w:pPr>
      <w:bookmarkStart w:id="2" w:name="_Ref370296002"/>
    </w:p>
    <w:p w:rsidR="00F25BC6" w:rsidRPr="00104A51" w:rsidRDefault="00F25BC6" w:rsidP="00F25BC6">
      <w:pPr>
        <w:pStyle w:val="Caption"/>
        <w:jc w:val="both"/>
        <w:rPr>
          <w:rFonts w:asciiTheme="minorHAnsi" w:hAnsiTheme="minorHAnsi"/>
          <w:b w:val="0"/>
          <w:color w:val="auto"/>
          <w:sz w:val="22"/>
          <w:szCs w:val="22"/>
        </w:rPr>
      </w:pPr>
      <w:bookmarkStart w:id="3" w:name="_Ref383439630"/>
      <w:bookmarkEnd w:id="2"/>
      <w:r w:rsidRPr="006C5E02">
        <w:rPr>
          <w:rFonts w:asciiTheme="minorHAnsi" w:hAnsiTheme="minorHAnsi"/>
          <w:color w:val="auto"/>
          <w:sz w:val="22"/>
          <w:szCs w:val="22"/>
        </w:rPr>
        <w:t xml:space="preserve">Supplemental Figure </w:t>
      </w:r>
      <w:r w:rsidRPr="006C5E02">
        <w:rPr>
          <w:rFonts w:asciiTheme="minorHAnsi" w:hAnsiTheme="minorHAnsi"/>
          <w:color w:val="auto"/>
          <w:sz w:val="22"/>
          <w:szCs w:val="22"/>
        </w:rPr>
        <w:fldChar w:fldCharType="begin"/>
      </w:r>
      <w:r w:rsidRPr="006C5E02">
        <w:rPr>
          <w:rFonts w:asciiTheme="minorHAnsi" w:hAnsiTheme="minorHAnsi"/>
          <w:color w:val="auto"/>
          <w:sz w:val="22"/>
          <w:szCs w:val="22"/>
        </w:rPr>
        <w:instrText xml:space="preserve"> SEQ Supplemental_Figure \* ARABIC </w:instrText>
      </w:r>
      <w:r w:rsidRPr="006C5E02">
        <w:rPr>
          <w:rFonts w:asciiTheme="minorHAnsi" w:hAnsiTheme="minorHAnsi"/>
          <w:color w:val="auto"/>
          <w:sz w:val="22"/>
          <w:szCs w:val="22"/>
        </w:rPr>
        <w:fldChar w:fldCharType="separate"/>
      </w:r>
      <w:r>
        <w:rPr>
          <w:rFonts w:asciiTheme="minorHAnsi" w:hAnsiTheme="minorHAnsi"/>
          <w:noProof/>
          <w:color w:val="auto"/>
          <w:sz w:val="22"/>
          <w:szCs w:val="22"/>
        </w:rPr>
        <w:t>1</w:t>
      </w:r>
      <w:r w:rsidRPr="006C5E02">
        <w:rPr>
          <w:rFonts w:asciiTheme="minorHAnsi" w:hAnsiTheme="minorHAnsi"/>
          <w:color w:val="auto"/>
          <w:sz w:val="22"/>
          <w:szCs w:val="22"/>
        </w:rPr>
        <w:fldChar w:fldCharType="end"/>
      </w:r>
      <w:bookmarkEnd w:id="3"/>
      <w:r w:rsidRPr="006C5E02">
        <w:rPr>
          <w:rFonts w:asciiTheme="minorHAnsi" w:hAnsiTheme="minorHAnsi"/>
          <w:color w:val="auto"/>
          <w:sz w:val="22"/>
          <w:szCs w:val="22"/>
        </w:rPr>
        <w:t xml:space="preserve">: Identification, cloning, and validation of </w:t>
      </w:r>
      <w:proofErr w:type="spellStart"/>
      <w:r w:rsidRPr="006C5E02">
        <w:rPr>
          <w:rFonts w:asciiTheme="minorHAnsi" w:hAnsiTheme="minorHAnsi"/>
          <w:color w:val="auto"/>
          <w:sz w:val="22"/>
          <w:szCs w:val="22"/>
        </w:rPr>
        <w:t>PhaC-PeiR</w:t>
      </w:r>
      <w:proofErr w:type="spellEnd"/>
      <w:r w:rsidRPr="006C5E02">
        <w:rPr>
          <w:rFonts w:asciiTheme="minorHAnsi" w:hAnsiTheme="minorHAnsi"/>
          <w:color w:val="auto"/>
          <w:sz w:val="22"/>
          <w:szCs w:val="22"/>
        </w:rPr>
        <w:t xml:space="preserve"> </w:t>
      </w:r>
      <w:r>
        <w:rPr>
          <w:rFonts w:asciiTheme="minorHAnsi" w:hAnsiTheme="minorHAnsi"/>
          <w:color w:val="auto"/>
          <w:sz w:val="22"/>
          <w:szCs w:val="22"/>
        </w:rPr>
        <w:t>BNPs</w:t>
      </w:r>
      <w:r w:rsidRPr="006C5E02">
        <w:rPr>
          <w:rFonts w:asciiTheme="minorHAnsi" w:hAnsiTheme="minorHAnsi"/>
          <w:color w:val="auto"/>
          <w:sz w:val="22"/>
          <w:szCs w:val="22"/>
        </w:rPr>
        <w:t xml:space="preserve">. </w:t>
      </w:r>
      <w:r w:rsidRPr="00104A51">
        <w:rPr>
          <w:rFonts w:asciiTheme="minorHAnsi" w:hAnsiTheme="minorHAnsi"/>
          <w:b w:val="0"/>
          <w:color w:val="auto"/>
          <w:sz w:val="22"/>
          <w:szCs w:val="22"/>
        </w:rPr>
        <w:t xml:space="preserve">(A) Schematic representation of the M1 integrated provirus genome of </w:t>
      </w:r>
      <w:r>
        <w:rPr>
          <w:rFonts w:asciiTheme="minorHAnsi" w:hAnsiTheme="minorHAnsi"/>
          <w:b w:val="0"/>
          <w:color w:val="auto"/>
          <w:sz w:val="22"/>
          <w:szCs w:val="22"/>
        </w:rPr>
        <w:sym w:font="Symbol" w:char="F06A"/>
      </w:r>
      <w:proofErr w:type="spellStart"/>
      <w:r w:rsidRPr="00104A51">
        <w:rPr>
          <w:rFonts w:asciiTheme="minorHAnsi" w:hAnsiTheme="minorHAnsi"/>
          <w:b w:val="0"/>
          <w:color w:val="auto"/>
          <w:sz w:val="22"/>
          <w:szCs w:val="22"/>
        </w:rPr>
        <w:t>mru</w:t>
      </w:r>
      <w:proofErr w:type="spellEnd"/>
      <w:r w:rsidRPr="00104A51">
        <w:rPr>
          <w:rFonts w:asciiTheme="minorHAnsi" w:hAnsiTheme="minorHAnsi"/>
          <w:b w:val="0"/>
          <w:color w:val="auto"/>
          <w:sz w:val="22"/>
          <w:szCs w:val="22"/>
        </w:rPr>
        <w:t>.</w:t>
      </w:r>
      <w:r w:rsidRPr="00104A51">
        <w:rPr>
          <w:rFonts w:asciiTheme="minorHAnsi" w:hAnsiTheme="minorHAnsi"/>
          <w:b w:val="0"/>
          <w:bCs w:val="0"/>
          <w:color w:val="auto"/>
          <w:sz w:val="22"/>
          <w:szCs w:val="22"/>
          <w:lang w:val="en-NZ" w:eastAsia="en-US"/>
        </w:rPr>
        <w:t xml:space="preserve"> Coding regions are shown as arrows, with predicted functional modules colo</w:t>
      </w:r>
      <w:r>
        <w:rPr>
          <w:rFonts w:asciiTheme="minorHAnsi" w:hAnsiTheme="minorHAnsi"/>
          <w:b w:val="0"/>
          <w:bCs w:val="0"/>
          <w:color w:val="auto"/>
          <w:sz w:val="22"/>
          <w:szCs w:val="22"/>
          <w:lang w:val="en-NZ" w:eastAsia="en-US"/>
        </w:rPr>
        <w:t>u</w:t>
      </w:r>
      <w:r w:rsidRPr="00104A51">
        <w:rPr>
          <w:rFonts w:asciiTheme="minorHAnsi" w:hAnsiTheme="minorHAnsi"/>
          <w:b w:val="0"/>
          <w:bCs w:val="0"/>
          <w:color w:val="auto"/>
          <w:sz w:val="22"/>
          <w:szCs w:val="22"/>
          <w:lang w:val="en-NZ" w:eastAsia="en-US"/>
        </w:rPr>
        <w:t>r coded. Attachment sites are shown as inverted ‘T’ (</w:t>
      </w:r>
      <w:proofErr w:type="spellStart"/>
      <w:r w:rsidRPr="00104A51">
        <w:rPr>
          <w:rFonts w:asciiTheme="minorHAnsi" w:hAnsiTheme="minorHAnsi"/>
          <w:b w:val="0"/>
          <w:bCs w:val="0"/>
          <w:i/>
          <w:color w:val="auto"/>
          <w:sz w:val="22"/>
          <w:szCs w:val="22"/>
          <w:lang w:val="en-NZ" w:eastAsia="en-US"/>
        </w:rPr>
        <w:t>attL</w:t>
      </w:r>
      <w:proofErr w:type="spellEnd"/>
      <w:r w:rsidRPr="00104A51">
        <w:rPr>
          <w:rFonts w:asciiTheme="minorHAnsi" w:hAnsiTheme="minorHAnsi"/>
          <w:b w:val="0"/>
          <w:bCs w:val="0"/>
          <w:color w:val="auto"/>
          <w:sz w:val="22"/>
          <w:szCs w:val="22"/>
          <w:lang w:val="en-NZ" w:eastAsia="en-US"/>
        </w:rPr>
        <w:t xml:space="preserve"> and </w:t>
      </w:r>
      <w:proofErr w:type="spellStart"/>
      <w:r w:rsidRPr="00104A51">
        <w:rPr>
          <w:rFonts w:asciiTheme="minorHAnsi" w:hAnsiTheme="minorHAnsi"/>
          <w:b w:val="0"/>
          <w:bCs w:val="0"/>
          <w:i/>
          <w:color w:val="auto"/>
          <w:sz w:val="22"/>
          <w:szCs w:val="22"/>
          <w:lang w:val="en-NZ" w:eastAsia="en-US"/>
        </w:rPr>
        <w:t>attR</w:t>
      </w:r>
      <w:proofErr w:type="spellEnd"/>
      <w:r w:rsidRPr="00104A51">
        <w:rPr>
          <w:rFonts w:asciiTheme="minorHAnsi" w:hAnsiTheme="minorHAnsi"/>
          <w:b w:val="0"/>
          <w:bCs w:val="0"/>
          <w:color w:val="auto"/>
          <w:sz w:val="22"/>
          <w:szCs w:val="22"/>
          <w:lang w:val="en-NZ" w:eastAsia="en-US"/>
        </w:rPr>
        <w:t xml:space="preserve">). Individual open reading frames are drawn to scale. (B) </w:t>
      </w:r>
      <w:r w:rsidRPr="00104A51">
        <w:rPr>
          <w:rFonts w:asciiTheme="minorHAnsi" w:hAnsiTheme="minorHAnsi"/>
          <w:b w:val="0"/>
          <w:color w:val="auto"/>
          <w:sz w:val="22"/>
          <w:szCs w:val="22"/>
          <w:lang w:val="en-NZ"/>
        </w:rPr>
        <w:t xml:space="preserve">Cloning scheme for C-terminal in-frame fusion of </w:t>
      </w:r>
      <w:proofErr w:type="spellStart"/>
      <w:r w:rsidRPr="00104A51">
        <w:rPr>
          <w:rFonts w:asciiTheme="minorHAnsi" w:hAnsiTheme="minorHAnsi"/>
          <w:b w:val="0"/>
          <w:color w:val="auto"/>
          <w:sz w:val="22"/>
          <w:szCs w:val="22"/>
          <w:lang w:val="en-NZ"/>
        </w:rPr>
        <w:t>PeiR</w:t>
      </w:r>
      <w:proofErr w:type="spellEnd"/>
      <w:r w:rsidRPr="00104A51">
        <w:rPr>
          <w:rFonts w:asciiTheme="minorHAnsi" w:hAnsiTheme="minorHAnsi"/>
          <w:b w:val="0"/>
          <w:color w:val="auto"/>
          <w:sz w:val="22"/>
          <w:szCs w:val="22"/>
          <w:lang w:val="en-NZ"/>
        </w:rPr>
        <w:t xml:space="preserve"> to </w:t>
      </w:r>
      <w:proofErr w:type="spellStart"/>
      <w:r w:rsidRPr="00104A51">
        <w:rPr>
          <w:rFonts w:asciiTheme="minorHAnsi" w:hAnsiTheme="minorHAnsi"/>
          <w:b w:val="0"/>
          <w:color w:val="auto"/>
          <w:sz w:val="22"/>
          <w:szCs w:val="22"/>
          <w:lang w:val="en-NZ"/>
        </w:rPr>
        <w:t>PhaC</w:t>
      </w:r>
      <w:proofErr w:type="spellEnd"/>
      <w:r w:rsidRPr="00104A51">
        <w:rPr>
          <w:rFonts w:asciiTheme="minorHAnsi" w:hAnsiTheme="minorHAnsi"/>
          <w:b w:val="0"/>
          <w:color w:val="auto"/>
          <w:sz w:val="22"/>
          <w:szCs w:val="22"/>
          <w:lang w:val="en-NZ"/>
        </w:rPr>
        <w:t xml:space="preserve"> using site-directed cloning.</w:t>
      </w:r>
      <w:r w:rsidRPr="00104A51">
        <w:rPr>
          <w:rFonts w:asciiTheme="minorHAnsi" w:hAnsiTheme="minorHAnsi"/>
          <w:b w:val="0"/>
          <w:bCs w:val="0"/>
          <w:color w:val="auto"/>
          <w:sz w:val="22"/>
          <w:szCs w:val="22"/>
          <w:lang w:val="en-NZ" w:eastAsia="en-US"/>
        </w:rPr>
        <w:t xml:space="preserve"> Gene fusion partner </w:t>
      </w:r>
      <w:proofErr w:type="spellStart"/>
      <w:r w:rsidRPr="00104A51">
        <w:rPr>
          <w:rFonts w:asciiTheme="minorHAnsi" w:hAnsiTheme="minorHAnsi"/>
          <w:b w:val="0"/>
          <w:bCs w:val="0"/>
          <w:i/>
          <w:color w:val="auto"/>
          <w:sz w:val="22"/>
          <w:szCs w:val="22"/>
          <w:lang w:val="en-NZ" w:eastAsia="en-US"/>
        </w:rPr>
        <w:t>peiR</w:t>
      </w:r>
      <w:proofErr w:type="spellEnd"/>
      <w:r w:rsidRPr="00104A51">
        <w:rPr>
          <w:rFonts w:asciiTheme="minorHAnsi" w:hAnsiTheme="minorHAnsi"/>
          <w:b w:val="0"/>
          <w:bCs w:val="0"/>
          <w:color w:val="auto"/>
          <w:sz w:val="22"/>
          <w:szCs w:val="22"/>
          <w:lang w:val="en-NZ" w:eastAsia="en-US"/>
        </w:rPr>
        <w:t xml:space="preserve"> is shown in blue, the plasmid bound PHA synthase, </w:t>
      </w:r>
      <w:proofErr w:type="spellStart"/>
      <w:r w:rsidRPr="00104A51">
        <w:rPr>
          <w:rFonts w:asciiTheme="minorHAnsi" w:hAnsiTheme="minorHAnsi"/>
          <w:b w:val="0"/>
          <w:bCs w:val="0"/>
          <w:i/>
          <w:color w:val="auto"/>
          <w:sz w:val="22"/>
          <w:szCs w:val="22"/>
          <w:lang w:val="en-NZ" w:eastAsia="en-US"/>
        </w:rPr>
        <w:t>phaC</w:t>
      </w:r>
      <w:proofErr w:type="spellEnd"/>
      <w:r w:rsidRPr="00104A51">
        <w:rPr>
          <w:rFonts w:asciiTheme="minorHAnsi" w:hAnsiTheme="minorHAnsi"/>
          <w:b w:val="0"/>
          <w:bCs w:val="0"/>
          <w:color w:val="auto"/>
          <w:sz w:val="22"/>
          <w:szCs w:val="22"/>
          <w:lang w:val="en-NZ" w:eastAsia="en-US"/>
        </w:rPr>
        <w:t xml:space="preserve">, is depicted in light blue. The resulting gene fusion plasmid was sequence verified. (C) </w:t>
      </w:r>
      <w:r w:rsidRPr="00104A51">
        <w:rPr>
          <w:rFonts w:asciiTheme="minorHAnsi" w:hAnsiTheme="minorHAnsi"/>
          <w:b w:val="0"/>
          <w:color w:val="auto"/>
          <w:sz w:val="22"/>
          <w:szCs w:val="22"/>
        </w:rPr>
        <w:t xml:space="preserve">Mass spectrometry of </w:t>
      </w:r>
      <w:proofErr w:type="spellStart"/>
      <w:r w:rsidRPr="00104A51">
        <w:rPr>
          <w:rFonts w:asciiTheme="minorHAnsi" w:hAnsiTheme="minorHAnsi"/>
          <w:b w:val="0"/>
          <w:color w:val="auto"/>
          <w:sz w:val="22"/>
          <w:szCs w:val="22"/>
        </w:rPr>
        <w:t>PhaC-PeiR</w:t>
      </w:r>
      <w:proofErr w:type="spellEnd"/>
      <w:r w:rsidRPr="00104A51">
        <w:rPr>
          <w:rFonts w:asciiTheme="minorHAnsi" w:hAnsiTheme="minorHAnsi"/>
          <w:b w:val="0"/>
          <w:color w:val="auto"/>
          <w:sz w:val="22"/>
          <w:szCs w:val="22"/>
        </w:rPr>
        <w:t xml:space="preserve"> </w:t>
      </w:r>
      <w:r>
        <w:rPr>
          <w:rFonts w:asciiTheme="minorHAnsi" w:hAnsiTheme="minorHAnsi"/>
          <w:b w:val="0"/>
          <w:color w:val="auto"/>
          <w:sz w:val="22"/>
          <w:szCs w:val="22"/>
        </w:rPr>
        <w:t>BNPs</w:t>
      </w:r>
      <w:r w:rsidRPr="00104A51">
        <w:rPr>
          <w:rFonts w:asciiTheme="minorHAnsi" w:hAnsiTheme="minorHAnsi"/>
          <w:b w:val="0"/>
          <w:color w:val="auto"/>
          <w:sz w:val="22"/>
          <w:szCs w:val="22"/>
        </w:rPr>
        <w:t>. Identified peptide fragments (in red</w:t>
      </w:r>
      <w:r>
        <w:rPr>
          <w:rFonts w:asciiTheme="minorHAnsi" w:hAnsiTheme="minorHAnsi"/>
          <w:b w:val="0"/>
          <w:color w:val="auto"/>
          <w:sz w:val="22"/>
          <w:szCs w:val="22"/>
        </w:rPr>
        <w:t xml:space="preserve"> with respective fragments in grey/red bars</w:t>
      </w:r>
      <w:r w:rsidRPr="00104A51">
        <w:rPr>
          <w:rFonts w:asciiTheme="minorHAnsi" w:hAnsiTheme="minorHAnsi"/>
          <w:b w:val="0"/>
          <w:color w:val="auto"/>
          <w:sz w:val="22"/>
          <w:szCs w:val="22"/>
        </w:rPr>
        <w:t xml:space="preserve">) were aligned against the deduced amino acid sequences of </w:t>
      </w:r>
      <w:proofErr w:type="spellStart"/>
      <w:r w:rsidRPr="00104A51">
        <w:rPr>
          <w:rFonts w:asciiTheme="minorHAnsi" w:hAnsiTheme="minorHAnsi"/>
          <w:b w:val="0"/>
          <w:color w:val="auto"/>
          <w:sz w:val="22"/>
          <w:szCs w:val="22"/>
        </w:rPr>
        <w:t>PeiR</w:t>
      </w:r>
      <w:proofErr w:type="spellEnd"/>
      <w:r w:rsidRPr="00104A51">
        <w:rPr>
          <w:rFonts w:asciiTheme="minorHAnsi" w:hAnsiTheme="minorHAnsi"/>
          <w:b w:val="0"/>
          <w:color w:val="auto"/>
          <w:sz w:val="22"/>
          <w:szCs w:val="22"/>
        </w:rPr>
        <w:t xml:space="preserve"> and </w:t>
      </w:r>
      <w:proofErr w:type="spellStart"/>
      <w:r w:rsidRPr="00104A51">
        <w:rPr>
          <w:rFonts w:asciiTheme="minorHAnsi" w:hAnsiTheme="minorHAnsi"/>
          <w:b w:val="0"/>
          <w:color w:val="auto"/>
          <w:sz w:val="22"/>
          <w:szCs w:val="22"/>
        </w:rPr>
        <w:t>PhaC</w:t>
      </w:r>
      <w:proofErr w:type="spellEnd"/>
      <w:r>
        <w:rPr>
          <w:rFonts w:asciiTheme="minorHAnsi" w:hAnsiTheme="minorHAnsi"/>
          <w:b w:val="0"/>
          <w:color w:val="auto"/>
          <w:sz w:val="22"/>
          <w:szCs w:val="22"/>
        </w:rPr>
        <w:t>.</w:t>
      </w:r>
    </w:p>
    <w:p w:rsidR="00F25BC6" w:rsidRDefault="00F25BC6" w:rsidP="00F25BC6">
      <w:pPr>
        <w:rPr>
          <w:b/>
        </w:rPr>
      </w:pPr>
      <w:r>
        <w:rPr>
          <w:b/>
        </w:rPr>
        <w:br w:type="page"/>
      </w:r>
    </w:p>
    <w:p w:rsidR="00F25BC6" w:rsidRPr="005738A5" w:rsidRDefault="00F25BC6" w:rsidP="00F25BC6">
      <w:pPr>
        <w:rPr>
          <w:b/>
        </w:rPr>
      </w:pPr>
    </w:p>
    <w:p w:rsidR="00F25BC6" w:rsidRDefault="00F25BC6" w:rsidP="00F25BC6">
      <w:r>
        <w:rPr>
          <w:noProof/>
          <w:lang w:eastAsia="en-NZ"/>
        </w:rPr>
        <w:drawing>
          <wp:inline distT="0" distB="0" distL="0" distR="0" wp14:anchorId="7993EB7F" wp14:editId="3ABE6DA2">
            <wp:extent cx="5723890" cy="6163310"/>
            <wp:effectExtent l="0" t="0" r="0" b="8890"/>
            <wp:docPr id="2" name="Picture 2" descr="D:\Paper\Nanobeads_PhaC_PeiR_2013\Figure_PMB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per\Nanobeads_PhaC_PeiR_2013\Figure_PMBR-tre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3890" cy="6163310"/>
                    </a:xfrm>
                    <a:prstGeom prst="rect">
                      <a:avLst/>
                    </a:prstGeom>
                    <a:noFill/>
                    <a:ln>
                      <a:noFill/>
                    </a:ln>
                  </pic:spPr>
                </pic:pic>
              </a:graphicData>
            </a:graphic>
          </wp:inline>
        </w:drawing>
      </w:r>
    </w:p>
    <w:p w:rsidR="00F25BC6" w:rsidRPr="00976388" w:rsidRDefault="00F25BC6" w:rsidP="00F25BC6"/>
    <w:p w:rsidR="00F25BC6" w:rsidRPr="00895870" w:rsidRDefault="00F25BC6" w:rsidP="00F25BC6">
      <w:pPr>
        <w:pStyle w:val="Caption"/>
        <w:jc w:val="both"/>
        <w:rPr>
          <w:color w:val="auto"/>
        </w:rPr>
      </w:pPr>
      <w:bookmarkStart w:id="4" w:name="_Ref383426149"/>
      <w:r w:rsidRPr="00895870">
        <w:rPr>
          <w:rFonts w:asciiTheme="minorHAnsi" w:hAnsiTheme="minorHAnsi"/>
          <w:color w:val="auto"/>
          <w:sz w:val="22"/>
          <w:szCs w:val="22"/>
        </w:rPr>
        <w:t xml:space="preserve">Supplemental Figure </w:t>
      </w:r>
      <w:r w:rsidRPr="00895870">
        <w:rPr>
          <w:rFonts w:asciiTheme="minorHAnsi" w:hAnsiTheme="minorHAnsi"/>
          <w:color w:val="auto"/>
          <w:sz w:val="22"/>
          <w:szCs w:val="22"/>
        </w:rPr>
        <w:fldChar w:fldCharType="begin"/>
      </w:r>
      <w:r w:rsidRPr="00895870">
        <w:rPr>
          <w:rFonts w:asciiTheme="minorHAnsi" w:hAnsiTheme="minorHAnsi"/>
          <w:color w:val="auto"/>
          <w:sz w:val="22"/>
          <w:szCs w:val="22"/>
        </w:rPr>
        <w:instrText xml:space="preserve"> SEQ Supplemental_Figure \* ARABIC </w:instrText>
      </w:r>
      <w:r w:rsidRPr="00895870">
        <w:rPr>
          <w:rFonts w:asciiTheme="minorHAnsi" w:hAnsiTheme="minorHAnsi"/>
          <w:color w:val="auto"/>
          <w:sz w:val="22"/>
          <w:szCs w:val="22"/>
        </w:rPr>
        <w:fldChar w:fldCharType="separate"/>
      </w:r>
      <w:r>
        <w:rPr>
          <w:rFonts w:asciiTheme="minorHAnsi" w:hAnsiTheme="minorHAnsi"/>
          <w:noProof/>
          <w:color w:val="auto"/>
          <w:sz w:val="22"/>
          <w:szCs w:val="22"/>
        </w:rPr>
        <w:t>2</w:t>
      </w:r>
      <w:r w:rsidRPr="00895870">
        <w:rPr>
          <w:rFonts w:asciiTheme="minorHAnsi" w:hAnsiTheme="minorHAnsi"/>
          <w:color w:val="auto"/>
          <w:sz w:val="22"/>
          <w:szCs w:val="22"/>
        </w:rPr>
        <w:fldChar w:fldCharType="end"/>
      </w:r>
      <w:bookmarkEnd w:id="4"/>
      <w:r w:rsidRPr="00895870">
        <w:rPr>
          <w:rFonts w:asciiTheme="minorHAnsi" w:hAnsiTheme="minorHAnsi"/>
          <w:color w:val="auto"/>
          <w:sz w:val="22"/>
          <w:szCs w:val="22"/>
        </w:rPr>
        <w:t xml:space="preserve">: </w:t>
      </w:r>
      <w:r w:rsidRPr="00976388">
        <w:rPr>
          <w:rFonts w:asciiTheme="minorHAnsi" w:hAnsiTheme="minorHAnsi"/>
          <w:color w:val="auto"/>
          <w:sz w:val="22"/>
          <w:szCs w:val="22"/>
        </w:rPr>
        <w:t xml:space="preserve">Phylogenetic tree for </w:t>
      </w:r>
      <w:proofErr w:type="spellStart"/>
      <w:r w:rsidRPr="00976388">
        <w:rPr>
          <w:rFonts w:asciiTheme="minorHAnsi" w:hAnsiTheme="minorHAnsi"/>
          <w:color w:val="auto"/>
          <w:sz w:val="22"/>
          <w:szCs w:val="22"/>
        </w:rPr>
        <w:t>PeiR</w:t>
      </w:r>
      <w:proofErr w:type="spellEnd"/>
      <w:r w:rsidRPr="00976388">
        <w:rPr>
          <w:rFonts w:asciiTheme="minorHAnsi" w:hAnsiTheme="minorHAnsi"/>
          <w:color w:val="auto"/>
          <w:sz w:val="22"/>
          <w:szCs w:val="22"/>
        </w:rPr>
        <w:t xml:space="preserve"> PMBR1 and PMBR2 domains. </w:t>
      </w:r>
      <w:r w:rsidRPr="001A6AA8">
        <w:rPr>
          <w:rFonts w:asciiTheme="minorHAnsi" w:hAnsiTheme="minorHAnsi"/>
          <w:b w:val="0"/>
          <w:color w:val="auto"/>
          <w:sz w:val="22"/>
          <w:szCs w:val="22"/>
        </w:rPr>
        <w:t>S</w:t>
      </w:r>
      <w:r>
        <w:rPr>
          <w:rFonts w:asciiTheme="minorHAnsi" w:hAnsiTheme="minorHAnsi"/>
          <w:b w:val="0"/>
          <w:color w:val="auto"/>
          <w:sz w:val="22"/>
          <w:szCs w:val="22"/>
        </w:rPr>
        <w:t>equences</w:t>
      </w:r>
      <w:r w:rsidRPr="00976388">
        <w:rPr>
          <w:rFonts w:asciiTheme="minorHAnsi" w:hAnsiTheme="minorHAnsi"/>
          <w:b w:val="0"/>
          <w:color w:val="auto"/>
          <w:sz w:val="22"/>
          <w:szCs w:val="22"/>
        </w:rPr>
        <w:t xml:space="preserve"> </w:t>
      </w:r>
      <w:r>
        <w:rPr>
          <w:rFonts w:asciiTheme="minorHAnsi" w:hAnsiTheme="minorHAnsi"/>
          <w:b w:val="0"/>
          <w:color w:val="auto"/>
          <w:sz w:val="22"/>
          <w:szCs w:val="22"/>
        </w:rPr>
        <w:t xml:space="preserve">used in this tree </w:t>
      </w:r>
      <w:r w:rsidRPr="00976388">
        <w:rPr>
          <w:rFonts w:asciiTheme="minorHAnsi" w:hAnsiTheme="minorHAnsi"/>
          <w:b w:val="0"/>
          <w:color w:val="auto"/>
          <w:sz w:val="22"/>
          <w:szCs w:val="22"/>
        </w:rPr>
        <w:t xml:space="preserve">consist of the </w:t>
      </w:r>
      <w:proofErr w:type="spellStart"/>
      <w:r w:rsidRPr="00976388">
        <w:rPr>
          <w:rFonts w:asciiTheme="minorHAnsi" w:hAnsiTheme="minorHAnsi"/>
          <w:b w:val="0"/>
          <w:color w:val="auto"/>
          <w:sz w:val="22"/>
          <w:szCs w:val="22"/>
        </w:rPr>
        <w:t>Pfam</w:t>
      </w:r>
      <w:proofErr w:type="spellEnd"/>
      <w:r w:rsidRPr="00976388">
        <w:rPr>
          <w:rFonts w:asciiTheme="minorHAnsi" w:hAnsiTheme="minorHAnsi"/>
          <w:b w:val="0"/>
          <w:color w:val="auto"/>
          <w:sz w:val="22"/>
          <w:szCs w:val="22"/>
        </w:rPr>
        <w:t xml:space="preserve"> seed sequences</w:t>
      </w:r>
      <w:r>
        <w:rPr>
          <w:rFonts w:asciiTheme="minorHAnsi" w:hAnsiTheme="minorHAnsi"/>
          <w:b w:val="0"/>
          <w:color w:val="auto"/>
          <w:sz w:val="22"/>
          <w:szCs w:val="22"/>
        </w:rPr>
        <w:t xml:space="preserve"> for the PMBR family</w:t>
      </w:r>
      <w:r w:rsidRPr="00976388">
        <w:rPr>
          <w:rFonts w:asciiTheme="minorHAnsi" w:hAnsiTheme="minorHAnsi"/>
          <w:b w:val="0"/>
          <w:color w:val="auto"/>
          <w:sz w:val="22"/>
          <w:szCs w:val="22"/>
        </w:rPr>
        <w:t xml:space="preserve">. </w:t>
      </w:r>
      <w:proofErr w:type="spellStart"/>
      <w:r w:rsidRPr="00976388">
        <w:rPr>
          <w:rFonts w:asciiTheme="minorHAnsi" w:hAnsiTheme="minorHAnsi"/>
          <w:b w:val="0"/>
          <w:color w:val="auto"/>
          <w:sz w:val="22"/>
          <w:szCs w:val="22"/>
        </w:rPr>
        <w:t>RAxML</w:t>
      </w:r>
      <w:proofErr w:type="spellEnd"/>
      <w:r w:rsidRPr="00976388">
        <w:rPr>
          <w:rFonts w:asciiTheme="minorHAnsi" w:hAnsiTheme="minorHAnsi"/>
          <w:b w:val="0"/>
          <w:color w:val="auto"/>
          <w:sz w:val="22"/>
          <w:szCs w:val="22"/>
        </w:rPr>
        <w:t xml:space="preserve"> </w:t>
      </w:r>
      <w:r>
        <w:rPr>
          <w:rFonts w:asciiTheme="minorHAnsi" w:hAnsiTheme="minorHAnsi"/>
          <w:b w:val="0"/>
          <w:color w:val="auto"/>
          <w:sz w:val="22"/>
          <w:szCs w:val="22"/>
        </w:rPr>
        <w:t xml:space="preserve">was used for </w:t>
      </w:r>
      <w:r w:rsidRPr="00976388">
        <w:rPr>
          <w:rFonts w:asciiTheme="minorHAnsi" w:hAnsiTheme="minorHAnsi"/>
          <w:b w:val="0"/>
          <w:color w:val="auto"/>
          <w:sz w:val="22"/>
          <w:szCs w:val="22"/>
        </w:rPr>
        <w:t xml:space="preserve">rapid bootstrapping and </w:t>
      </w:r>
      <w:r>
        <w:rPr>
          <w:rFonts w:asciiTheme="minorHAnsi" w:hAnsiTheme="minorHAnsi"/>
          <w:b w:val="0"/>
          <w:color w:val="auto"/>
          <w:sz w:val="22"/>
          <w:szCs w:val="22"/>
        </w:rPr>
        <w:t xml:space="preserve">a </w:t>
      </w:r>
      <w:r w:rsidRPr="00976388">
        <w:rPr>
          <w:rFonts w:asciiTheme="minorHAnsi" w:hAnsiTheme="minorHAnsi"/>
          <w:b w:val="0"/>
          <w:color w:val="auto"/>
          <w:sz w:val="22"/>
          <w:szCs w:val="22"/>
        </w:rPr>
        <w:t>subsequent M</w:t>
      </w:r>
      <w:r>
        <w:rPr>
          <w:rFonts w:asciiTheme="minorHAnsi" w:hAnsiTheme="minorHAnsi"/>
          <w:b w:val="0"/>
          <w:color w:val="auto"/>
          <w:sz w:val="22"/>
          <w:szCs w:val="22"/>
        </w:rPr>
        <w:t xml:space="preserve">aximum </w:t>
      </w:r>
      <w:r w:rsidRPr="00976388">
        <w:rPr>
          <w:rFonts w:asciiTheme="minorHAnsi" w:hAnsiTheme="minorHAnsi"/>
          <w:b w:val="0"/>
          <w:color w:val="auto"/>
          <w:sz w:val="22"/>
          <w:szCs w:val="22"/>
        </w:rPr>
        <w:t>L</w:t>
      </w:r>
      <w:r>
        <w:rPr>
          <w:rFonts w:asciiTheme="minorHAnsi" w:hAnsiTheme="minorHAnsi"/>
          <w:b w:val="0"/>
          <w:color w:val="auto"/>
          <w:sz w:val="22"/>
          <w:szCs w:val="22"/>
        </w:rPr>
        <w:t>ikelihood</w:t>
      </w:r>
      <w:r w:rsidRPr="00976388">
        <w:rPr>
          <w:rFonts w:asciiTheme="minorHAnsi" w:hAnsiTheme="minorHAnsi"/>
          <w:b w:val="0"/>
          <w:color w:val="auto"/>
          <w:sz w:val="22"/>
          <w:szCs w:val="22"/>
        </w:rPr>
        <w:t xml:space="preserve"> search </w:t>
      </w:r>
      <w:r>
        <w:rPr>
          <w:rFonts w:asciiTheme="minorHAnsi" w:hAnsiTheme="minorHAnsi"/>
          <w:b w:val="0"/>
          <w:color w:val="auto"/>
          <w:sz w:val="22"/>
          <w:szCs w:val="22"/>
        </w:rPr>
        <w:t>using 1 distinct model</w:t>
      </w:r>
      <w:r w:rsidRPr="00976388">
        <w:rPr>
          <w:rFonts w:asciiTheme="minorHAnsi" w:hAnsiTheme="minorHAnsi"/>
          <w:b w:val="0"/>
          <w:color w:val="auto"/>
          <w:sz w:val="22"/>
          <w:szCs w:val="22"/>
        </w:rPr>
        <w:t>/dat</w:t>
      </w:r>
      <w:r>
        <w:rPr>
          <w:rFonts w:asciiTheme="minorHAnsi" w:hAnsiTheme="minorHAnsi"/>
          <w:b w:val="0"/>
          <w:color w:val="auto"/>
          <w:sz w:val="22"/>
          <w:szCs w:val="22"/>
        </w:rPr>
        <w:t>a partition</w:t>
      </w:r>
      <w:r w:rsidRPr="00976388">
        <w:rPr>
          <w:rFonts w:asciiTheme="minorHAnsi" w:hAnsiTheme="minorHAnsi"/>
          <w:b w:val="0"/>
          <w:color w:val="auto"/>
          <w:sz w:val="22"/>
          <w:szCs w:val="22"/>
        </w:rPr>
        <w:t xml:space="preserve"> with joint branch length optimi</w:t>
      </w:r>
      <w:r>
        <w:rPr>
          <w:rFonts w:asciiTheme="minorHAnsi" w:hAnsiTheme="minorHAnsi"/>
          <w:b w:val="0"/>
          <w:color w:val="auto"/>
          <w:sz w:val="22"/>
          <w:szCs w:val="22"/>
        </w:rPr>
        <w:t>s</w:t>
      </w:r>
      <w:r w:rsidRPr="00976388">
        <w:rPr>
          <w:rFonts w:asciiTheme="minorHAnsi" w:hAnsiTheme="minorHAnsi"/>
          <w:b w:val="0"/>
          <w:color w:val="auto"/>
          <w:sz w:val="22"/>
          <w:szCs w:val="22"/>
        </w:rPr>
        <w:t xml:space="preserve">ation. 100 rapid bootstrap inferences </w:t>
      </w:r>
      <w:r>
        <w:rPr>
          <w:rFonts w:asciiTheme="minorHAnsi" w:hAnsiTheme="minorHAnsi"/>
          <w:b w:val="0"/>
          <w:color w:val="auto"/>
          <w:sz w:val="22"/>
          <w:szCs w:val="22"/>
        </w:rPr>
        <w:t xml:space="preserve">were executed </w:t>
      </w:r>
      <w:r w:rsidRPr="00976388">
        <w:rPr>
          <w:rFonts w:asciiTheme="minorHAnsi" w:hAnsiTheme="minorHAnsi"/>
          <w:b w:val="0"/>
          <w:color w:val="auto"/>
          <w:sz w:val="22"/>
          <w:szCs w:val="22"/>
        </w:rPr>
        <w:t>and thereafter a thorough ML search</w:t>
      </w:r>
      <w:r>
        <w:rPr>
          <w:rFonts w:asciiTheme="minorHAnsi" w:hAnsiTheme="minorHAnsi"/>
          <w:b w:val="0"/>
          <w:color w:val="auto"/>
          <w:sz w:val="22"/>
          <w:szCs w:val="22"/>
        </w:rPr>
        <w:t xml:space="preserve"> calculated</w:t>
      </w:r>
      <w:r w:rsidRPr="00976388">
        <w:rPr>
          <w:rFonts w:asciiTheme="minorHAnsi" w:hAnsiTheme="minorHAnsi"/>
          <w:b w:val="0"/>
          <w:color w:val="auto"/>
          <w:sz w:val="22"/>
          <w:szCs w:val="22"/>
        </w:rPr>
        <w:t xml:space="preserve">. All free model parameters </w:t>
      </w:r>
      <w:r>
        <w:rPr>
          <w:rFonts w:asciiTheme="minorHAnsi" w:hAnsiTheme="minorHAnsi"/>
          <w:b w:val="0"/>
          <w:color w:val="auto"/>
          <w:sz w:val="22"/>
          <w:szCs w:val="22"/>
        </w:rPr>
        <w:t xml:space="preserve">have been </w:t>
      </w:r>
      <w:r w:rsidRPr="00976388">
        <w:rPr>
          <w:rFonts w:asciiTheme="minorHAnsi" w:hAnsiTheme="minorHAnsi"/>
          <w:b w:val="0"/>
          <w:color w:val="auto"/>
          <w:sz w:val="22"/>
          <w:szCs w:val="22"/>
        </w:rPr>
        <w:t xml:space="preserve">estimated by </w:t>
      </w:r>
      <w:proofErr w:type="spellStart"/>
      <w:r w:rsidRPr="00976388">
        <w:rPr>
          <w:rFonts w:asciiTheme="minorHAnsi" w:hAnsiTheme="minorHAnsi"/>
          <w:b w:val="0"/>
          <w:color w:val="auto"/>
          <w:sz w:val="22"/>
          <w:szCs w:val="22"/>
        </w:rPr>
        <w:t>RAxML</w:t>
      </w:r>
      <w:proofErr w:type="spellEnd"/>
      <w:r w:rsidRPr="00976388">
        <w:rPr>
          <w:rFonts w:asciiTheme="minorHAnsi" w:hAnsiTheme="minorHAnsi"/>
          <w:b w:val="0"/>
          <w:color w:val="auto"/>
          <w:sz w:val="22"/>
          <w:szCs w:val="22"/>
        </w:rPr>
        <w:t xml:space="preserve">. ML </w:t>
      </w:r>
      <w:r>
        <w:rPr>
          <w:rFonts w:asciiTheme="minorHAnsi" w:hAnsiTheme="minorHAnsi"/>
          <w:b w:val="0"/>
          <w:color w:val="auto"/>
          <w:sz w:val="22"/>
          <w:szCs w:val="22"/>
        </w:rPr>
        <w:t xml:space="preserve">was </w:t>
      </w:r>
      <w:r w:rsidRPr="00976388">
        <w:rPr>
          <w:rFonts w:asciiTheme="minorHAnsi" w:hAnsiTheme="minorHAnsi"/>
          <w:b w:val="0"/>
          <w:color w:val="auto"/>
          <w:sz w:val="22"/>
          <w:szCs w:val="22"/>
        </w:rPr>
        <w:t>estimate</w:t>
      </w:r>
      <w:r>
        <w:rPr>
          <w:rFonts w:asciiTheme="minorHAnsi" w:hAnsiTheme="minorHAnsi"/>
          <w:b w:val="0"/>
          <w:color w:val="auto"/>
          <w:sz w:val="22"/>
          <w:szCs w:val="22"/>
        </w:rPr>
        <w:t>d</w:t>
      </w:r>
      <w:r w:rsidRPr="00976388">
        <w:rPr>
          <w:rFonts w:asciiTheme="minorHAnsi" w:hAnsiTheme="minorHAnsi"/>
          <w:b w:val="0"/>
          <w:color w:val="auto"/>
          <w:sz w:val="22"/>
          <w:szCs w:val="22"/>
        </w:rPr>
        <w:t xml:space="preserve"> </w:t>
      </w:r>
      <w:r>
        <w:rPr>
          <w:rFonts w:asciiTheme="minorHAnsi" w:hAnsiTheme="minorHAnsi"/>
          <w:b w:val="0"/>
          <w:color w:val="auto"/>
          <w:sz w:val="22"/>
          <w:szCs w:val="22"/>
        </w:rPr>
        <w:t>at</w:t>
      </w:r>
      <w:r w:rsidRPr="00976388">
        <w:rPr>
          <w:rFonts w:asciiTheme="minorHAnsi" w:hAnsiTheme="minorHAnsi"/>
          <w:b w:val="0"/>
          <w:color w:val="auto"/>
          <w:sz w:val="22"/>
          <w:szCs w:val="22"/>
        </w:rPr>
        <w:t xml:space="preserve"> 25 per site rate categories. </w:t>
      </w:r>
      <w:r>
        <w:rPr>
          <w:rFonts w:asciiTheme="minorHAnsi" w:hAnsiTheme="minorHAnsi"/>
          <w:b w:val="0"/>
          <w:color w:val="auto"/>
          <w:sz w:val="22"/>
          <w:szCs w:val="22"/>
        </w:rPr>
        <w:t>The l</w:t>
      </w:r>
      <w:r w:rsidRPr="00976388">
        <w:rPr>
          <w:rFonts w:asciiTheme="minorHAnsi" w:hAnsiTheme="minorHAnsi"/>
          <w:b w:val="0"/>
          <w:color w:val="auto"/>
          <w:sz w:val="22"/>
          <w:szCs w:val="22"/>
        </w:rPr>
        <w:t xml:space="preserve">ikelihood of final tree </w:t>
      </w:r>
      <w:r>
        <w:rPr>
          <w:rFonts w:asciiTheme="minorHAnsi" w:hAnsiTheme="minorHAnsi"/>
          <w:b w:val="0"/>
          <w:color w:val="auto"/>
          <w:sz w:val="22"/>
          <w:szCs w:val="22"/>
        </w:rPr>
        <w:t>was evaluated and optimis</w:t>
      </w:r>
      <w:r w:rsidRPr="00976388">
        <w:rPr>
          <w:rFonts w:asciiTheme="minorHAnsi" w:hAnsiTheme="minorHAnsi"/>
          <w:b w:val="0"/>
          <w:color w:val="auto"/>
          <w:sz w:val="22"/>
          <w:szCs w:val="22"/>
        </w:rPr>
        <w:t xml:space="preserve">ed under GAMMA. GAMMA </w:t>
      </w:r>
      <w:r>
        <w:rPr>
          <w:rFonts w:asciiTheme="minorHAnsi" w:hAnsiTheme="minorHAnsi"/>
          <w:b w:val="0"/>
          <w:color w:val="auto"/>
          <w:sz w:val="22"/>
          <w:szCs w:val="22"/>
        </w:rPr>
        <w:t>m</w:t>
      </w:r>
      <w:r w:rsidRPr="00976388">
        <w:rPr>
          <w:rFonts w:asciiTheme="minorHAnsi" w:hAnsiTheme="minorHAnsi"/>
          <w:b w:val="0"/>
          <w:color w:val="auto"/>
          <w:sz w:val="22"/>
          <w:szCs w:val="22"/>
        </w:rPr>
        <w:t xml:space="preserve">odel parameters </w:t>
      </w:r>
      <w:r>
        <w:rPr>
          <w:rFonts w:asciiTheme="minorHAnsi" w:hAnsiTheme="minorHAnsi"/>
          <w:b w:val="0"/>
          <w:color w:val="auto"/>
          <w:sz w:val="22"/>
          <w:szCs w:val="22"/>
        </w:rPr>
        <w:t xml:space="preserve">have been </w:t>
      </w:r>
      <w:r w:rsidRPr="00976388">
        <w:rPr>
          <w:rFonts w:asciiTheme="minorHAnsi" w:hAnsiTheme="minorHAnsi"/>
          <w:b w:val="0"/>
          <w:color w:val="auto"/>
          <w:sz w:val="22"/>
          <w:szCs w:val="22"/>
        </w:rPr>
        <w:t>estimated up to an accuracy of 0.1</w:t>
      </w:r>
      <w:r>
        <w:rPr>
          <w:rFonts w:asciiTheme="minorHAnsi" w:hAnsiTheme="minorHAnsi"/>
          <w:b w:val="0"/>
          <w:color w:val="auto"/>
          <w:sz w:val="22"/>
          <w:szCs w:val="22"/>
        </w:rPr>
        <w:t xml:space="preserve"> </w:t>
      </w:r>
      <w:r w:rsidRPr="00976388">
        <w:rPr>
          <w:rFonts w:asciiTheme="minorHAnsi" w:hAnsiTheme="minorHAnsi"/>
          <w:b w:val="0"/>
          <w:color w:val="auto"/>
          <w:sz w:val="22"/>
          <w:szCs w:val="22"/>
        </w:rPr>
        <w:t xml:space="preserve">Log Likelihood units. </w:t>
      </w:r>
      <w:proofErr w:type="spellStart"/>
      <w:r w:rsidRPr="00976388">
        <w:rPr>
          <w:rFonts w:asciiTheme="minorHAnsi" w:hAnsiTheme="minorHAnsi"/>
          <w:b w:val="0"/>
          <w:color w:val="auto"/>
          <w:sz w:val="22"/>
          <w:szCs w:val="22"/>
        </w:rPr>
        <w:t>RAxML</w:t>
      </w:r>
      <w:proofErr w:type="spellEnd"/>
      <w:r w:rsidRPr="00976388">
        <w:rPr>
          <w:rFonts w:asciiTheme="minorHAnsi" w:hAnsiTheme="minorHAnsi"/>
          <w:b w:val="0"/>
          <w:color w:val="auto"/>
          <w:sz w:val="22"/>
          <w:szCs w:val="22"/>
        </w:rPr>
        <w:t xml:space="preserve"> was called as follows: </w:t>
      </w:r>
      <w:proofErr w:type="spellStart"/>
      <w:r w:rsidRPr="00976388">
        <w:rPr>
          <w:rFonts w:asciiTheme="minorHAnsi" w:hAnsiTheme="minorHAnsi"/>
          <w:b w:val="0"/>
          <w:color w:val="auto"/>
          <w:sz w:val="22"/>
          <w:szCs w:val="22"/>
        </w:rPr>
        <w:t>raxmlHPC</w:t>
      </w:r>
      <w:proofErr w:type="spellEnd"/>
      <w:r w:rsidRPr="00976388">
        <w:rPr>
          <w:rFonts w:asciiTheme="minorHAnsi" w:hAnsiTheme="minorHAnsi"/>
          <w:b w:val="0"/>
          <w:color w:val="auto"/>
          <w:sz w:val="22"/>
          <w:szCs w:val="22"/>
        </w:rPr>
        <w:t xml:space="preserve"> -f a -x 12345 -p 12345 -# 100 -m PROTCATBLOSUM62 -s </w:t>
      </w:r>
      <w:proofErr w:type="spellStart"/>
      <w:r w:rsidRPr="00976388">
        <w:rPr>
          <w:rFonts w:asciiTheme="minorHAnsi" w:hAnsiTheme="minorHAnsi"/>
          <w:b w:val="0"/>
          <w:color w:val="auto"/>
          <w:sz w:val="22"/>
          <w:szCs w:val="22"/>
        </w:rPr>
        <w:t>PMBR_length</w:t>
      </w:r>
      <w:proofErr w:type="spellEnd"/>
      <w:r w:rsidRPr="00976388">
        <w:rPr>
          <w:rFonts w:asciiTheme="minorHAnsi" w:hAnsiTheme="minorHAnsi"/>
          <w:b w:val="0"/>
          <w:color w:val="auto"/>
          <w:sz w:val="22"/>
          <w:szCs w:val="22"/>
        </w:rPr>
        <w:t xml:space="preserve"> </w:t>
      </w:r>
      <w:proofErr w:type="spellStart"/>
      <w:r w:rsidRPr="00976388">
        <w:rPr>
          <w:rFonts w:asciiTheme="minorHAnsi" w:hAnsiTheme="minorHAnsi"/>
          <w:b w:val="0"/>
          <w:color w:val="auto"/>
          <w:sz w:val="22"/>
          <w:szCs w:val="22"/>
        </w:rPr>
        <w:t>adjusted.phy</w:t>
      </w:r>
      <w:proofErr w:type="spellEnd"/>
      <w:r w:rsidRPr="00976388">
        <w:rPr>
          <w:rFonts w:asciiTheme="minorHAnsi" w:hAnsiTheme="minorHAnsi"/>
          <w:b w:val="0"/>
          <w:color w:val="auto"/>
          <w:sz w:val="22"/>
          <w:szCs w:val="22"/>
        </w:rPr>
        <w:t xml:space="preserve"> -n PMBR</w:t>
      </w:r>
      <w:r>
        <w:rPr>
          <w:rFonts w:asciiTheme="minorHAnsi" w:hAnsiTheme="minorHAnsi"/>
          <w:b w:val="0"/>
          <w:color w:val="auto"/>
          <w:sz w:val="22"/>
          <w:szCs w:val="22"/>
        </w:rPr>
        <w:t xml:space="preserve"> with the following parameters: </w:t>
      </w:r>
      <w:r w:rsidRPr="00976388">
        <w:rPr>
          <w:rFonts w:asciiTheme="minorHAnsi" w:hAnsiTheme="minorHAnsi"/>
          <w:b w:val="0"/>
          <w:color w:val="auto"/>
          <w:sz w:val="22"/>
          <w:szCs w:val="22"/>
        </w:rPr>
        <w:t>Partition: 0. Alignment Patterns: 36. Substitution Matrix: BLOSUM62. Using fixed base frequencies.</w:t>
      </w:r>
      <w:r>
        <w:br w:type="page"/>
      </w:r>
    </w:p>
    <w:p w:rsidR="00F25BC6" w:rsidRPr="00976388" w:rsidRDefault="00F25BC6" w:rsidP="00F25BC6"/>
    <w:p w:rsidR="00F25BC6" w:rsidRDefault="00F25BC6" w:rsidP="00F25BC6">
      <w:r>
        <w:rPr>
          <w:noProof/>
          <w:lang w:eastAsia="en-NZ"/>
        </w:rPr>
        <w:drawing>
          <wp:inline distT="0" distB="0" distL="0" distR="0" wp14:anchorId="3680BB7D" wp14:editId="03A589DF">
            <wp:extent cx="5725160" cy="3832225"/>
            <wp:effectExtent l="0" t="0" r="8890" b="0"/>
            <wp:docPr id="8" name="Picture 8" descr="D:\Paper\Nanobeads_PhaC_PeiR_2013\Figure_PMBR_PeiR_PeiP_Pe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per\Nanobeads_PhaC_PeiR_2013\Figure_PMBR_PeiR_PeiP_Pei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160" cy="3832225"/>
                    </a:xfrm>
                    <a:prstGeom prst="rect">
                      <a:avLst/>
                    </a:prstGeom>
                    <a:noFill/>
                    <a:ln>
                      <a:noFill/>
                    </a:ln>
                  </pic:spPr>
                </pic:pic>
              </a:graphicData>
            </a:graphic>
          </wp:inline>
        </w:drawing>
      </w:r>
    </w:p>
    <w:p w:rsidR="00F25BC6" w:rsidRDefault="00F25BC6" w:rsidP="00F25BC6"/>
    <w:p w:rsidR="00F25BC6" w:rsidRPr="00807814" w:rsidRDefault="00F25BC6" w:rsidP="00F25BC6">
      <w:pPr>
        <w:pStyle w:val="Caption"/>
        <w:jc w:val="both"/>
        <w:rPr>
          <w:rFonts w:asciiTheme="minorHAnsi" w:hAnsiTheme="minorHAnsi"/>
          <w:b w:val="0"/>
          <w:color w:val="auto"/>
          <w:sz w:val="22"/>
          <w:szCs w:val="22"/>
        </w:rPr>
      </w:pPr>
      <w:bookmarkStart w:id="5" w:name="_Ref383426201"/>
      <w:r w:rsidRPr="00895870">
        <w:rPr>
          <w:rFonts w:asciiTheme="minorHAnsi" w:hAnsiTheme="minorHAnsi"/>
          <w:color w:val="auto"/>
          <w:sz w:val="22"/>
          <w:szCs w:val="22"/>
        </w:rPr>
        <w:t xml:space="preserve">Supplemental Figure </w:t>
      </w:r>
      <w:r w:rsidRPr="00895870">
        <w:rPr>
          <w:rFonts w:asciiTheme="minorHAnsi" w:hAnsiTheme="minorHAnsi"/>
          <w:color w:val="auto"/>
          <w:sz w:val="22"/>
          <w:szCs w:val="22"/>
        </w:rPr>
        <w:fldChar w:fldCharType="begin"/>
      </w:r>
      <w:r w:rsidRPr="00895870">
        <w:rPr>
          <w:rFonts w:asciiTheme="minorHAnsi" w:hAnsiTheme="minorHAnsi"/>
          <w:color w:val="auto"/>
          <w:sz w:val="22"/>
          <w:szCs w:val="22"/>
        </w:rPr>
        <w:instrText xml:space="preserve"> SEQ Supplemental_Figure \* ARABIC </w:instrText>
      </w:r>
      <w:r w:rsidRPr="00895870">
        <w:rPr>
          <w:rFonts w:asciiTheme="minorHAnsi" w:hAnsiTheme="minorHAnsi"/>
          <w:color w:val="auto"/>
          <w:sz w:val="22"/>
          <w:szCs w:val="22"/>
        </w:rPr>
        <w:fldChar w:fldCharType="separate"/>
      </w:r>
      <w:r>
        <w:rPr>
          <w:rFonts w:asciiTheme="minorHAnsi" w:hAnsiTheme="minorHAnsi"/>
          <w:noProof/>
          <w:color w:val="auto"/>
          <w:sz w:val="22"/>
          <w:szCs w:val="22"/>
        </w:rPr>
        <w:t>3</w:t>
      </w:r>
      <w:r w:rsidRPr="00895870">
        <w:rPr>
          <w:rFonts w:asciiTheme="minorHAnsi" w:hAnsiTheme="minorHAnsi"/>
          <w:color w:val="auto"/>
          <w:sz w:val="22"/>
          <w:szCs w:val="22"/>
        </w:rPr>
        <w:fldChar w:fldCharType="end"/>
      </w:r>
      <w:bookmarkEnd w:id="5"/>
      <w:r w:rsidRPr="00597BE6">
        <w:rPr>
          <w:rFonts w:asciiTheme="minorHAnsi" w:hAnsiTheme="minorHAnsi"/>
          <w:color w:val="auto"/>
          <w:sz w:val="22"/>
          <w:szCs w:val="22"/>
        </w:rPr>
        <w:t xml:space="preserve">: Phylogenetic tree investigating the relationships between PMBR domains of </w:t>
      </w:r>
      <w:proofErr w:type="spellStart"/>
      <w:r w:rsidRPr="00597BE6">
        <w:rPr>
          <w:rFonts w:asciiTheme="minorHAnsi" w:hAnsiTheme="minorHAnsi"/>
          <w:color w:val="auto"/>
          <w:sz w:val="22"/>
          <w:szCs w:val="22"/>
        </w:rPr>
        <w:t>PeiR</w:t>
      </w:r>
      <w:proofErr w:type="spellEnd"/>
      <w:r w:rsidRPr="00597BE6">
        <w:rPr>
          <w:rFonts w:asciiTheme="minorHAnsi" w:hAnsiTheme="minorHAnsi"/>
          <w:color w:val="auto"/>
          <w:sz w:val="22"/>
          <w:szCs w:val="22"/>
        </w:rPr>
        <w:t xml:space="preserve">, </w:t>
      </w:r>
      <w:proofErr w:type="spellStart"/>
      <w:r w:rsidRPr="00597BE6">
        <w:rPr>
          <w:rFonts w:asciiTheme="minorHAnsi" w:hAnsiTheme="minorHAnsi"/>
          <w:color w:val="auto"/>
          <w:sz w:val="22"/>
          <w:szCs w:val="22"/>
        </w:rPr>
        <w:t>PeiP</w:t>
      </w:r>
      <w:proofErr w:type="spellEnd"/>
      <w:r w:rsidRPr="00597BE6">
        <w:rPr>
          <w:rFonts w:asciiTheme="minorHAnsi" w:hAnsiTheme="minorHAnsi"/>
          <w:color w:val="auto"/>
          <w:sz w:val="22"/>
          <w:szCs w:val="22"/>
        </w:rPr>
        <w:t xml:space="preserve"> and </w:t>
      </w:r>
      <w:proofErr w:type="spellStart"/>
      <w:r w:rsidRPr="00597BE6">
        <w:rPr>
          <w:rFonts w:asciiTheme="minorHAnsi" w:hAnsiTheme="minorHAnsi"/>
          <w:color w:val="auto"/>
          <w:sz w:val="22"/>
          <w:szCs w:val="22"/>
        </w:rPr>
        <w:t>PeiW</w:t>
      </w:r>
      <w:proofErr w:type="spellEnd"/>
      <w:r w:rsidRPr="00597BE6">
        <w:rPr>
          <w:rFonts w:asciiTheme="minorHAnsi" w:hAnsiTheme="minorHAnsi"/>
          <w:color w:val="auto"/>
          <w:sz w:val="22"/>
          <w:szCs w:val="22"/>
        </w:rPr>
        <w:t xml:space="preserve">. </w:t>
      </w:r>
      <w:r w:rsidRPr="00807814">
        <w:rPr>
          <w:rFonts w:asciiTheme="minorHAnsi" w:hAnsiTheme="minorHAnsi"/>
          <w:b w:val="0"/>
          <w:color w:val="auto"/>
          <w:sz w:val="22"/>
          <w:szCs w:val="22"/>
        </w:rPr>
        <w:t xml:space="preserve">The evolutionary history was inferred by using the Maximum Likelihood method based on the JTT matrix-based model </w:t>
      </w:r>
      <w:r w:rsidRPr="00807814">
        <w:rPr>
          <w:rFonts w:asciiTheme="minorHAnsi" w:hAnsiTheme="minorHAnsi"/>
          <w:b w:val="0"/>
          <w:color w:val="auto"/>
          <w:sz w:val="22"/>
          <w:szCs w:val="22"/>
        </w:rPr>
        <w:fldChar w:fldCharType="begin"/>
      </w:r>
      <w:r>
        <w:rPr>
          <w:rFonts w:asciiTheme="minorHAnsi" w:hAnsiTheme="minorHAnsi"/>
          <w:b w:val="0"/>
          <w:color w:val="auto"/>
          <w:sz w:val="22"/>
          <w:szCs w:val="22"/>
        </w:rPr>
        <w:instrText xml:space="preserve"> ADDIN EN.CITE &lt;EndNote&gt;&lt;Cite&gt;&lt;Author&gt;Jones&lt;/Author&gt;&lt;Year&gt;1992&lt;/Year&gt;&lt;RecNum&gt;1386&lt;/RecNum&gt;&lt;DisplayText&gt;(Jones et al., 1992)&lt;/DisplayText&gt;&lt;record&gt;&lt;rec-number&gt;1386&lt;/rec-number&gt;&lt;foreign-keys&gt;&lt;key app="EN" db-id="st25zarab5559pef0zlpfwx9s9dvaffrpzr2"&gt;1386&lt;/key&gt;&lt;/foreign-keys&gt;&lt;ref-type name="Journal Article"&gt;17&lt;/ref-type&gt;&lt;contributors&gt;&lt;authors&gt;&lt;author&gt;Jones, D. T.&lt;/author&gt;&lt;author&gt;Taylor, W. R.&lt;/author&gt;&lt;author&gt;Thornton, J. M.&lt;/author&gt;&lt;/authors&gt;&lt;/contributors&gt;&lt;auth-address&gt;Department of Biochemistry and Molecular Biology, University College, London, UK.&lt;/auth-address&gt;&lt;titles&gt;&lt;title&gt;The rapid generation of mutation data matrices from protein sequences&lt;/title&gt;&lt;secondary-title&gt;Comput Appl Biosci&lt;/secondary-title&gt;&lt;alt-title&gt;Computer applications in the biosciences : CABIOS&lt;/alt-title&gt;&lt;/titles&gt;&lt;periodical&gt;&lt;full-title&gt;Comput Appl Biosci&lt;/full-title&gt;&lt;/periodical&gt;&lt;pages&gt;275-82&lt;/pages&gt;&lt;volume&gt;8&lt;/volume&gt;&lt;number&gt;3&lt;/number&gt;&lt;edition&gt;1992/06/01&lt;/edition&gt;&lt;keywords&gt;&lt;keyword&gt;*Algorithms&lt;/keyword&gt;&lt;keyword&gt;Amino Acid Sequence&lt;/keyword&gt;&lt;keyword&gt;*Mutation&lt;/keyword&gt;&lt;keyword&gt;Phylogeny&lt;/keyword&gt;&lt;keyword&gt;Proteins/*genetics&lt;/keyword&gt;&lt;keyword&gt;Sequence Alignment/*methods/statistics &amp;amp; numerical data&lt;/keyword&gt;&lt;keyword&gt;Software&lt;/keyword&gt;&lt;/keywords&gt;&lt;dates&gt;&lt;year&gt;1992&lt;/year&gt;&lt;pub-dates&gt;&lt;date&gt;Jun&lt;/date&gt;&lt;/pub-dates&gt;&lt;/dates&gt;&lt;isbn&gt;0266-7061 (Print)&amp;#xD;0266-7061 (Linking)&lt;/isbn&gt;&lt;accession-num&gt;1633570&lt;/accession-num&gt;&lt;work-type&gt;Research Support, Non-U.S. Gov&amp;apos;t&lt;/work-type&gt;&lt;urls&gt;&lt;related-urls&gt;&lt;url&gt;http://www.ncbi.nlm.nih.gov/pubmed/1633570&lt;/url&gt;&lt;/related-urls&gt;&lt;/urls&gt;&lt;language&gt;eng&lt;/language&gt;&lt;/record&gt;&lt;/Cite&gt;&lt;/EndNote&gt;</w:instrText>
      </w:r>
      <w:r w:rsidRPr="00807814">
        <w:rPr>
          <w:rFonts w:asciiTheme="minorHAnsi" w:hAnsiTheme="minorHAnsi"/>
          <w:b w:val="0"/>
          <w:color w:val="auto"/>
          <w:sz w:val="22"/>
          <w:szCs w:val="22"/>
        </w:rPr>
        <w:fldChar w:fldCharType="separate"/>
      </w:r>
      <w:r>
        <w:rPr>
          <w:rFonts w:asciiTheme="minorHAnsi" w:hAnsiTheme="minorHAnsi"/>
          <w:b w:val="0"/>
          <w:noProof/>
          <w:color w:val="auto"/>
          <w:sz w:val="22"/>
          <w:szCs w:val="22"/>
        </w:rPr>
        <w:t>(</w:t>
      </w:r>
      <w:hyperlink w:anchor="_ENREF_24" w:tooltip="Jones, 1992 #1386" w:history="1">
        <w:r>
          <w:rPr>
            <w:rFonts w:asciiTheme="minorHAnsi" w:hAnsiTheme="minorHAnsi"/>
            <w:b w:val="0"/>
            <w:noProof/>
            <w:color w:val="auto"/>
            <w:sz w:val="22"/>
            <w:szCs w:val="22"/>
          </w:rPr>
          <w:t>Jones et al., 1992</w:t>
        </w:r>
      </w:hyperlink>
      <w:r>
        <w:rPr>
          <w:rFonts w:asciiTheme="minorHAnsi" w:hAnsiTheme="minorHAnsi"/>
          <w:b w:val="0"/>
          <w:noProof/>
          <w:color w:val="auto"/>
          <w:sz w:val="22"/>
          <w:szCs w:val="22"/>
        </w:rPr>
        <w:t>)</w:t>
      </w:r>
      <w:r w:rsidRPr="00807814">
        <w:rPr>
          <w:rFonts w:asciiTheme="minorHAnsi" w:hAnsiTheme="minorHAnsi"/>
          <w:b w:val="0"/>
          <w:color w:val="auto"/>
          <w:sz w:val="22"/>
          <w:szCs w:val="22"/>
        </w:rPr>
        <w:fldChar w:fldCharType="end"/>
      </w:r>
      <w:r w:rsidRPr="00807814">
        <w:rPr>
          <w:rFonts w:asciiTheme="minorHAnsi" w:hAnsiTheme="minorHAnsi"/>
          <w:b w:val="0"/>
          <w:color w:val="auto"/>
          <w:sz w:val="22"/>
          <w:szCs w:val="22"/>
        </w:rPr>
        <w:t xml:space="preserve">. The tree with the highest log likelihood (-564.9445) is shown. Initial tree(s) for the heuristic search were obtained automatically by applying </w:t>
      </w:r>
      <w:proofErr w:type="spellStart"/>
      <w:r w:rsidRPr="00807814">
        <w:rPr>
          <w:rFonts w:asciiTheme="minorHAnsi" w:hAnsiTheme="minorHAnsi"/>
          <w:b w:val="0"/>
          <w:color w:val="auto"/>
          <w:sz w:val="22"/>
          <w:szCs w:val="22"/>
        </w:rPr>
        <w:t>Neighbor</w:t>
      </w:r>
      <w:proofErr w:type="spellEnd"/>
      <w:r w:rsidRPr="00807814">
        <w:rPr>
          <w:rFonts w:asciiTheme="minorHAnsi" w:hAnsiTheme="minorHAnsi"/>
          <w:b w:val="0"/>
          <w:color w:val="auto"/>
          <w:sz w:val="22"/>
          <w:szCs w:val="22"/>
        </w:rPr>
        <w:t xml:space="preserve">-Join and </w:t>
      </w:r>
      <w:proofErr w:type="spellStart"/>
      <w:r w:rsidRPr="00807814">
        <w:rPr>
          <w:rFonts w:asciiTheme="minorHAnsi" w:hAnsiTheme="minorHAnsi"/>
          <w:b w:val="0"/>
          <w:color w:val="auto"/>
          <w:sz w:val="22"/>
          <w:szCs w:val="22"/>
        </w:rPr>
        <w:t>BioNJ</w:t>
      </w:r>
      <w:proofErr w:type="spellEnd"/>
      <w:r w:rsidRPr="00807814">
        <w:rPr>
          <w:rFonts w:asciiTheme="minorHAnsi" w:hAnsiTheme="minorHAnsi"/>
          <w:b w:val="0"/>
          <w:color w:val="auto"/>
          <w:sz w:val="22"/>
          <w:szCs w:val="22"/>
        </w:rPr>
        <w:t xml:space="preserve"> algorithms to a matrix of pairwise distances estimated using a JTT model, and then selecting the topology with superior log likelihood value. The tree is drawn to scale, with branch lengths measured in the number of substitutions per site. All positions containing gaps and missing data were eliminated. There </w:t>
      </w:r>
      <w:proofErr w:type="gramStart"/>
      <w:r w:rsidRPr="00807814">
        <w:rPr>
          <w:rFonts w:asciiTheme="minorHAnsi" w:hAnsiTheme="minorHAnsi"/>
          <w:b w:val="0"/>
          <w:color w:val="auto"/>
          <w:sz w:val="22"/>
          <w:szCs w:val="22"/>
        </w:rPr>
        <w:t>were</w:t>
      </w:r>
      <w:proofErr w:type="gramEnd"/>
      <w:r w:rsidRPr="00807814">
        <w:rPr>
          <w:rFonts w:asciiTheme="minorHAnsi" w:hAnsiTheme="minorHAnsi"/>
          <w:b w:val="0"/>
          <w:color w:val="auto"/>
          <w:sz w:val="22"/>
          <w:szCs w:val="22"/>
        </w:rPr>
        <w:t xml:space="preserve"> a total of 30 positions in the final dataset. Evolutionary analyses were conducted in MEGA5</w:t>
      </w:r>
      <w:r>
        <w:rPr>
          <w:rFonts w:asciiTheme="minorHAnsi" w:hAnsiTheme="minorHAnsi"/>
          <w:b w:val="0"/>
          <w:color w:val="auto"/>
          <w:sz w:val="22"/>
          <w:szCs w:val="22"/>
        </w:rPr>
        <w:t xml:space="preserve"> (</w:t>
      </w:r>
      <w:hyperlink r:id="rId7" w:history="1">
        <w:r w:rsidRPr="001B38BB">
          <w:rPr>
            <w:rStyle w:val="Hyperlink"/>
            <w:rFonts w:asciiTheme="minorHAnsi" w:hAnsiTheme="minorHAnsi"/>
            <w:b w:val="0"/>
            <w:sz w:val="22"/>
            <w:szCs w:val="22"/>
          </w:rPr>
          <w:t>http://www.megasoftware.net/</w:t>
        </w:r>
      </w:hyperlink>
      <w:r>
        <w:rPr>
          <w:rFonts w:asciiTheme="minorHAnsi" w:hAnsiTheme="minorHAnsi"/>
          <w:b w:val="0"/>
          <w:color w:val="auto"/>
          <w:sz w:val="22"/>
          <w:szCs w:val="22"/>
        </w:rPr>
        <w:t>)</w:t>
      </w:r>
      <w:r w:rsidRPr="00807814">
        <w:rPr>
          <w:rFonts w:asciiTheme="minorHAnsi" w:hAnsiTheme="minorHAnsi"/>
          <w:b w:val="0"/>
          <w:color w:val="auto"/>
          <w:sz w:val="22"/>
          <w:szCs w:val="22"/>
        </w:rPr>
        <w:t>.</w:t>
      </w:r>
    </w:p>
    <w:p w:rsidR="00F25BC6" w:rsidRDefault="00F25BC6" w:rsidP="00F25BC6">
      <w:r>
        <w:br w:type="page"/>
      </w:r>
    </w:p>
    <w:p w:rsidR="00F25BC6" w:rsidRDefault="00F25BC6" w:rsidP="00F25BC6"/>
    <w:p w:rsidR="00F25BC6" w:rsidRDefault="00F25BC6" w:rsidP="00F25BC6">
      <w:r>
        <w:rPr>
          <w:noProof/>
          <w:lang w:eastAsia="en-NZ"/>
        </w:rPr>
        <w:drawing>
          <wp:inline distT="0" distB="0" distL="0" distR="0" wp14:anchorId="00A6F33A" wp14:editId="1FCDA8ED">
            <wp:extent cx="5735955" cy="5842635"/>
            <wp:effectExtent l="0" t="0" r="0" b="5715"/>
            <wp:docPr id="3" name="Picture 3" descr="D:\Paper\Nanobeads_PhaC_PeiR_2013\Figure_C39_peptidase-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per\Nanobeads_PhaC_PeiR_2013\Figure_C39_peptidase-tr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955" cy="5842635"/>
                    </a:xfrm>
                    <a:prstGeom prst="rect">
                      <a:avLst/>
                    </a:prstGeom>
                    <a:noFill/>
                    <a:ln>
                      <a:noFill/>
                    </a:ln>
                  </pic:spPr>
                </pic:pic>
              </a:graphicData>
            </a:graphic>
          </wp:inline>
        </w:drawing>
      </w:r>
    </w:p>
    <w:p w:rsidR="00F25BC6" w:rsidRPr="00976388" w:rsidRDefault="00F25BC6" w:rsidP="00F25BC6"/>
    <w:p w:rsidR="00F25BC6" w:rsidRDefault="00F25BC6" w:rsidP="00F25BC6">
      <w:pPr>
        <w:pStyle w:val="Caption"/>
        <w:jc w:val="both"/>
        <w:rPr>
          <w:rFonts w:asciiTheme="minorHAnsi" w:hAnsiTheme="minorHAnsi"/>
          <w:b w:val="0"/>
          <w:color w:val="auto"/>
          <w:sz w:val="22"/>
          <w:szCs w:val="22"/>
        </w:rPr>
      </w:pPr>
      <w:bookmarkStart w:id="6" w:name="_Ref383426398"/>
      <w:r w:rsidRPr="00895870">
        <w:rPr>
          <w:rFonts w:asciiTheme="minorHAnsi" w:hAnsiTheme="minorHAnsi"/>
          <w:color w:val="auto"/>
          <w:sz w:val="22"/>
          <w:szCs w:val="22"/>
        </w:rPr>
        <w:t xml:space="preserve">Supplemental Figure </w:t>
      </w:r>
      <w:r w:rsidRPr="00895870">
        <w:rPr>
          <w:rFonts w:asciiTheme="minorHAnsi" w:hAnsiTheme="minorHAnsi"/>
          <w:color w:val="auto"/>
          <w:sz w:val="22"/>
          <w:szCs w:val="22"/>
        </w:rPr>
        <w:fldChar w:fldCharType="begin"/>
      </w:r>
      <w:r w:rsidRPr="00895870">
        <w:rPr>
          <w:rFonts w:asciiTheme="minorHAnsi" w:hAnsiTheme="minorHAnsi"/>
          <w:color w:val="auto"/>
          <w:sz w:val="22"/>
          <w:szCs w:val="22"/>
        </w:rPr>
        <w:instrText xml:space="preserve"> SEQ Supplemental_Figure \* ARABIC </w:instrText>
      </w:r>
      <w:r w:rsidRPr="00895870">
        <w:rPr>
          <w:rFonts w:asciiTheme="minorHAnsi" w:hAnsiTheme="minorHAnsi"/>
          <w:color w:val="auto"/>
          <w:sz w:val="22"/>
          <w:szCs w:val="22"/>
        </w:rPr>
        <w:fldChar w:fldCharType="separate"/>
      </w:r>
      <w:r>
        <w:rPr>
          <w:rFonts w:asciiTheme="minorHAnsi" w:hAnsiTheme="minorHAnsi"/>
          <w:noProof/>
          <w:color w:val="auto"/>
          <w:sz w:val="22"/>
          <w:szCs w:val="22"/>
        </w:rPr>
        <w:t>4</w:t>
      </w:r>
      <w:r w:rsidRPr="00895870">
        <w:rPr>
          <w:rFonts w:asciiTheme="minorHAnsi" w:hAnsiTheme="minorHAnsi"/>
          <w:color w:val="auto"/>
          <w:sz w:val="22"/>
          <w:szCs w:val="22"/>
        </w:rPr>
        <w:fldChar w:fldCharType="end"/>
      </w:r>
      <w:bookmarkEnd w:id="6"/>
      <w:r w:rsidRPr="00976388">
        <w:rPr>
          <w:rFonts w:asciiTheme="minorHAnsi" w:hAnsiTheme="minorHAnsi"/>
          <w:color w:val="auto"/>
          <w:sz w:val="22"/>
          <w:szCs w:val="22"/>
        </w:rPr>
        <w:t xml:space="preserve">: Phylogenetic tree for </w:t>
      </w:r>
      <w:proofErr w:type="spellStart"/>
      <w:r w:rsidRPr="00976388">
        <w:rPr>
          <w:rFonts w:asciiTheme="minorHAnsi" w:hAnsiTheme="minorHAnsi"/>
          <w:color w:val="auto"/>
          <w:sz w:val="22"/>
          <w:szCs w:val="22"/>
        </w:rPr>
        <w:t>PeiR</w:t>
      </w:r>
      <w:proofErr w:type="spellEnd"/>
      <w:r w:rsidRPr="00976388">
        <w:rPr>
          <w:rFonts w:asciiTheme="minorHAnsi" w:hAnsiTheme="minorHAnsi"/>
          <w:color w:val="auto"/>
          <w:sz w:val="22"/>
          <w:szCs w:val="22"/>
        </w:rPr>
        <w:t xml:space="preserve"> C39 peptidase domain.</w:t>
      </w:r>
      <w:r w:rsidRPr="001A6AA8">
        <w:rPr>
          <w:rFonts w:asciiTheme="minorHAnsi" w:hAnsiTheme="minorHAnsi"/>
          <w:b w:val="0"/>
          <w:color w:val="auto"/>
          <w:sz w:val="22"/>
          <w:szCs w:val="22"/>
        </w:rPr>
        <w:t xml:space="preserve"> S</w:t>
      </w:r>
      <w:r>
        <w:rPr>
          <w:rFonts w:asciiTheme="minorHAnsi" w:hAnsiTheme="minorHAnsi"/>
          <w:b w:val="0"/>
          <w:color w:val="auto"/>
          <w:sz w:val="22"/>
          <w:szCs w:val="22"/>
        </w:rPr>
        <w:t>equences</w:t>
      </w:r>
      <w:r w:rsidRPr="00976388">
        <w:rPr>
          <w:rFonts w:asciiTheme="minorHAnsi" w:hAnsiTheme="minorHAnsi"/>
          <w:b w:val="0"/>
          <w:color w:val="auto"/>
          <w:sz w:val="22"/>
          <w:szCs w:val="22"/>
        </w:rPr>
        <w:t xml:space="preserve"> </w:t>
      </w:r>
      <w:r>
        <w:rPr>
          <w:rFonts w:asciiTheme="minorHAnsi" w:hAnsiTheme="minorHAnsi"/>
          <w:b w:val="0"/>
          <w:color w:val="auto"/>
          <w:sz w:val="22"/>
          <w:szCs w:val="22"/>
        </w:rPr>
        <w:t xml:space="preserve">used in this tree </w:t>
      </w:r>
      <w:r w:rsidRPr="00976388">
        <w:rPr>
          <w:rFonts w:asciiTheme="minorHAnsi" w:hAnsiTheme="minorHAnsi"/>
          <w:b w:val="0"/>
          <w:color w:val="auto"/>
          <w:sz w:val="22"/>
          <w:szCs w:val="22"/>
        </w:rPr>
        <w:t>consist of the respect</w:t>
      </w:r>
      <w:r>
        <w:rPr>
          <w:rFonts w:asciiTheme="minorHAnsi" w:hAnsiTheme="minorHAnsi"/>
          <w:b w:val="0"/>
          <w:color w:val="auto"/>
          <w:sz w:val="22"/>
          <w:szCs w:val="22"/>
        </w:rPr>
        <w:t>ive</w:t>
      </w:r>
      <w:r w:rsidRPr="00976388">
        <w:rPr>
          <w:rFonts w:asciiTheme="minorHAnsi" w:hAnsiTheme="minorHAnsi"/>
          <w:b w:val="0"/>
          <w:color w:val="auto"/>
          <w:sz w:val="22"/>
          <w:szCs w:val="22"/>
        </w:rPr>
        <w:t xml:space="preserve"> </w:t>
      </w:r>
      <w:proofErr w:type="spellStart"/>
      <w:r w:rsidRPr="00976388">
        <w:rPr>
          <w:rFonts w:asciiTheme="minorHAnsi" w:hAnsiTheme="minorHAnsi"/>
          <w:b w:val="0"/>
          <w:color w:val="auto"/>
          <w:sz w:val="22"/>
          <w:szCs w:val="22"/>
        </w:rPr>
        <w:t>Pfam</w:t>
      </w:r>
      <w:proofErr w:type="spellEnd"/>
      <w:r w:rsidRPr="00976388">
        <w:rPr>
          <w:rFonts w:asciiTheme="minorHAnsi" w:hAnsiTheme="minorHAnsi"/>
          <w:b w:val="0"/>
          <w:color w:val="auto"/>
          <w:sz w:val="22"/>
          <w:szCs w:val="22"/>
        </w:rPr>
        <w:t xml:space="preserve"> seed sequences</w:t>
      </w:r>
      <w:r>
        <w:rPr>
          <w:rFonts w:asciiTheme="minorHAnsi" w:hAnsiTheme="minorHAnsi"/>
          <w:b w:val="0"/>
          <w:color w:val="auto"/>
          <w:sz w:val="22"/>
          <w:szCs w:val="22"/>
        </w:rPr>
        <w:t xml:space="preserve"> for the C39 family</w:t>
      </w:r>
      <w:r w:rsidRPr="00976388">
        <w:rPr>
          <w:rFonts w:asciiTheme="minorHAnsi" w:hAnsiTheme="minorHAnsi"/>
          <w:b w:val="0"/>
          <w:color w:val="auto"/>
          <w:sz w:val="22"/>
          <w:szCs w:val="22"/>
        </w:rPr>
        <w:t xml:space="preserve">. </w:t>
      </w:r>
      <w:proofErr w:type="spellStart"/>
      <w:r w:rsidRPr="00976388">
        <w:rPr>
          <w:rFonts w:asciiTheme="minorHAnsi" w:hAnsiTheme="minorHAnsi"/>
          <w:b w:val="0"/>
          <w:color w:val="auto"/>
          <w:sz w:val="22"/>
          <w:szCs w:val="22"/>
        </w:rPr>
        <w:t>RAxML</w:t>
      </w:r>
      <w:proofErr w:type="spellEnd"/>
      <w:r w:rsidRPr="00976388">
        <w:rPr>
          <w:rFonts w:asciiTheme="minorHAnsi" w:hAnsiTheme="minorHAnsi"/>
          <w:b w:val="0"/>
          <w:color w:val="auto"/>
          <w:sz w:val="22"/>
          <w:szCs w:val="22"/>
        </w:rPr>
        <w:t xml:space="preserve"> </w:t>
      </w:r>
      <w:r>
        <w:rPr>
          <w:rFonts w:asciiTheme="minorHAnsi" w:hAnsiTheme="minorHAnsi"/>
          <w:b w:val="0"/>
          <w:color w:val="auto"/>
          <w:sz w:val="22"/>
          <w:szCs w:val="22"/>
        </w:rPr>
        <w:t xml:space="preserve">was used for </w:t>
      </w:r>
      <w:r w:rsidRPr="00976388">
        <w:rPr>
          <w:rFonts w:asciiTheme="minorHAnsi" w:hAnsiTheme="minorHAnsi"/>
          <w:b w:val="0"/>
          <w:color w:val="auto"/>
          <w:sz w:val="22"/>
          <w:szCs w:val="22"/>
        </w:rPr>
        <w:t>rapid bootstr</w:t>
      </w:r>
      <w:r>
        <w:rPr>
          <w:rFonts w:asciiTheme="minorHAnsi" w:hAnsiTheme="minorHAnsi"/>
          <w:b w:val="0"/>
          <w:color w:val="auto"/>
          <w:sz w:val="22"/>
          <w:szCs w:val="22"/>
        </w:rPr>
        <w:t>apping and subsequent ML search,</w:t>
      </w:r>
      <w:r w:rsidRPr="00976388">
        <w:rPr>
          <w:rFonts w:asciiTheme="minorHAnsi" w:hAnsiTheme="minorHAnsi"/>
          <w:b w:val="0"/>
          <w:color w:val="auto"/>
          <w:sz w:val="22"/>
          <w:szCs w:val="22"/>
        </w:rPr>
        <w:t xml:space="preserve"> </w:t>
      </w:r>
      <w:r>
        <w:rPr>
          <w:rFonts w:asciiTheme="minorHAnsi" w:hAnsiTheme="minorHAnsi"/>
          <w:b w:val="0"/>
          <w:color w:val="auto"/>
          <w:sz w:val="22"/>
          <w:szCs w:val="22"/>
        </w:rPr>
        <w:t>using 1 distinct model</w:t>
      </w:r>
      <w:r w:rsidRPr="00976388">
        <w:rPr>
          <w:rFonts w:asciiTheme="minorHAnsi" w:hAnsiTheme="minorHAnsi"/>
          <w:b w:val="0"/>
          <w:color w:val="auto"/>
          <w:sz w:val="22"/>
          <w:szCs w:val="22"/>
        </w:rPr>
        <w:t>/dat</w:t>
      </w:r>
      <w:r>
        <w:rPr>
          <w:rFonts w:asciiTheme="minorHAnsi" w:hAnsiTheme="minorHAnsi"/>
          <w:b w:val="0"/>
          <w:color w:val="auto"/>
          <w:sz w:val="22"/>
          <w:szCs w:val="22"/>
        </w:rPr>
        <w:t xml:space="preserve">a partition </w:t>
      </w:r>
      <w:r w:rsidRPr="00976388">
        <w:rPr>
          <w:rFonts w:asciiTheme="minorHAnsi" w:hAnsiTheme="minorHAnsi"/>
          <w:b w:val="0"/>
          <w:color w:val="auto"/>
          <w:sz w:val="22"/>
          <w:szCs w:val="22"/>
        </w:rPr>
        <w:t>with joint branch length optimi</w:t>
      </w:r>
      <w:r>
        <w:rPr>
          <w:rFonts w:asciiTheme="minorHAnsi" w:hAnsiTheme="minorHAnsi"/>
          <w:b w:val="0"/>
          <w:color w:val="auto"/>
          <w:sz w:val="22"/>
          <w:szCs w:val="22"/>
        </w:rPr>
        <w:t>s</w:t>
      </w:r>
      <w:r w:rsidRPr="00976388">
        <w:rPr>
          <w:rFonts w:asciiTheme="minorHAnsi" w:hAnsiTheme="minorHAnsi"/>
          <w:b w:val="0"/>
          <w:color w:val="auto"/>
          <w:sz w:val="22"/>
          <w:szCs w:val="22"/>
        </w:rPr>
        <w:t xml:space="preserve">ation. 100 rapid bootstrap inferences </w:t>
      </w:r>
      <w:r>
        <w:rPr>
          <w:rFonts w:asciiTheme="minorHAnsi" w:hAnsiTheme="minorHAnsi"/>
          <w:b w:val="0"/>
          <w:color w:val="auto"/>
          <w:sz w:val="22"/>
          <w:szCs w:val="22"/>
        </w:rPr>
        <w:t xml:space="preserve">were executed </w:t>
      </w:r>
      <w:r w:rsidRPr="00976388">
        <w:rPr>
          <w:rFonts w:asciiTheme="minorHAnsi" w:hAnsiTheme="minorHAnsi"/>
          <w:b w:val="0"/>
          <w:color w:val="auto"/>
          <w:sz w:val="22"/>
          <w:szCs w:val="22"/>
        </w:rPr>
        <w:t>and thereafter a thorough M</w:t>
      </w:r>
      <w:r>
        <w:rPr>
          <w:rFonts w:asciiTheme="minorHAnsi" w:hAnsiTheme="minorHAnsi"/>
          <w:b w:val="0"/>
          <w:color w:val="auto"/>
          <w:sz w:val="22"/>
          <w:szCs w:val="22"/>
        </w:rPr>
        <w:t xml:space="preserve">aximum </w:t>
      </w:r>
      <w:r w:rsidRPr="00976388">
        <w:rPr>
          <w:rFonts w:asciiTheme="minorHAnsi" w:hAnsiTheme="minorHAnsi"/>
          <w:b w:val="0"/>
          <w:color w:val="auto"/>
          <w:sz w:val="22"/>
          <w:szCs w:val="22"/>
        </w:rPr>
        <w:t>L</w:t>
      </w:r>
      <w:r>
        <w:rPr>
          <w:rFonts w:asciiTheme="minorHAnsi" w:hAnsiTheme="minorHAnsi"/>
          <w:b w:val="0"/>
          <w:color w:val="auto"/>
          <w:sz w:val="22"/>
          <w:szCs w:val="22"/>
        </w:rPr>
        <w:t>ikelihood (ML)</w:t>
      </w:r>
      <w:r w:rsidRPr="00976388">
        <w:rPr>
          <w:rFonts w:asciiTheme="minorHAnsi" w:hAnsiTheme="minorHAnsi"/>
          <w:b w:val="0"/>
          <w:color w:val="auto"/>
          <w:sz w:val="22"/>
          <w:szCs w:val="22"/>
        </w:rPr>
        <w:t xml:space="preserve"> search</w:t>
      </w:r>
      <w:r>
        <w:rPr>
          <w:rFonts w:asciiTheme="minorHAnsi" w:hAnsiTheme="minorHAnsi"/>
          <w:b w:val="0"/>
          <w:color w:val="auto"/>
          <w:sz w:val="22"/>
          <w:szCs w:val="22"/>
        </w:rPr>
        <w:t xml:space="preserve"> calculated</w:t>
      </w:r>
      <w:r w:rsidRPr="00976388">
        <w:rPr>
          <w:rFonts w:asciiTheme="minorHAnsi" w:hAnsiTheme="minorHAnsi"/>
          <w:b w:val="0"/>
          <w:color w:val="auto"/>
          <w:sz w:val="22"/>
          <w:szCs w:val="22"/>
        </w:rPr>
        <w:t xml:space="preserve">. All free model parameters </w:t>
      </w:r>
      <w:r>
        <w:rPr>
          <w:rFonts w:asciiTheme="minorHAnsi" w:hAnsiTheme="minorHAnsi"/>
          <w:b w:val="0"/>
          <w:color w:val="auto"/>
          <w:sz w:val="22"/>
          <w:szCs w:val="22"/>
        </w:rPr>
        <w:t xml:space="preserve">have been </w:t>
      </w:r>
      <w:r w:rsidRPr="00976388">
        <w:rPr>
          <w:rFonts w:asciiTheme="minorHAnsi" w:hAnsiTheme="minorHAnsi"/>
          <w:b w:val="0"/>
          <w:color w:val="auto"/>
          <w:sz w:val="22"/>
          <w:szCs w:val="22"/>
        </w:rPr>
        <w:t xml:space="preserve">estimated by </w:t>
      </w:r>
      <w:proofErr w:type="spellStart"/>
      <w:r w:rsidRPr="00976388">
        <w:rPr>
          <w:rFonts w:asciiTheme="minorHAnsi" w:hAnsiTheme="minorHAnsi"/>
          <w:b w:val="0"/>
          <w:color w:val="auto"/>
          <w:sz w:val="22"/>
          <w:szCs w:val="22"/>
        </w:rPr>
        <w:t>RAxML</w:t>
      </w:r>
      <w:proofErr w:type="spellEnd"/>
      <w:r w:rsidRPr="00976388">
        <w:rPr>
          <w:rFonts w:asciiTheme="minorHAnsi" w:hAnsiTheme="minorHAnsi"/>
          <w:b w:val="0"/>
          <w:color w:val="auto"/>
          <w:sz w:val="22"/>
          <w:szCs w:val="22"/>
        </w:rPr>
        <w:t xml:space="preserve">. ML </w:t>
      </w:r>
      <w:r>
        <w:rPr>
          <w:rFonts w:asciiTheme="minorHAnsi" w:hAnsiTheme="minorHAnsi"/>
          <w:b w:val="0"/>
          <w:color w:val="auto"/>
          <w:sz w:val="22"/>
          <w:szCs w:val="22"/>
        </w:rPr>
        <w:t xml:space="preserve">was </w:t>
      </w:r>
      <w:r w:rsidRPr="00976388">
        <w:rPr>
          <w:rFonts w:asciiTheme="minorHAnsi" w:hAnsiTheme="minorHAnsi"/>
          <w:b w:val="0"/>
          <w:color w:val="auto"/>
          <w:sz w:val="22"/>
          <w:szCs w:val="22"/>
        </w:rPr>
        <w:t>estimate</w:t>
      </w:r>
      <w:r>
        <w:rPr>
          <w:rFonts w:asciiTheme="minorHAnsi" w:hAnsiTheme="minorHAnsi"/>
          <w:b w:val="0"/>
          <w:color w:val="auto"/>
          <w:sz w:val="22"/>
          <w:szCs w:val="22"/>
        </w:rPr>
        <w:t>d</w:t>
      </w:r>
      <w:r w:rsidRPr="00976388">
        <w:rPr>
          <w:rFonts w:asciiTheme="minorHAnsi" w:hAnsiTheme="minorHAnsi"/>
          <w:b w:val="0"/>
          <w:color w:val="auto"/>
          <w:sz w:val="22"/>
          <w:szCs w:val="22"/>
        </w:rPr>
        <w:t xml:space="preserve"> </w:t>
      </w:r>
      <w:r>
        <w:rPr>
          <w:rFonts w:asciiTheme="minorHAnsi" w:hAnsiTheme="minorHAnsi"/>
          <w:b w:val="0"/>
          <w:color w:val="auto"/>
          <w:sz w:val="22"/>
          <w:szCs w:val="22"/>
        </w:rPr>
        <w:t>at</w:t>
      </w:r>
      <w:r w:rsidRPr="00976388">
        <w:rPr>
          <w:rFonts w:asciiTheme="minorHAnsi" w:hAnsiTheme="minorHAnsi"/>
          <w:b w:val="0"/>
          <w:color w:val="auto"/>
          <w:sz w:val="22"/>
          <w:szCs w:val="22"/>
        </w:rPr>
        <w:t xml:space="preserve"> 25 per site rate categories. </w:t>
      </w:r>
      <w:r>
        <w:rPr>
          <w:rFonts w:asciiTheme="minorHAnsi" w:hAnsiTheme="minorHAnsi"/>
          <w:b w:val="0"/>
          <w:color w:val="auto"/>
          <w:sz w:val="22"/>
          <w:szCs w:val="22"/>
        </w:rPr>
        <w:t>The l</w:t>
      </w:r>
      <w:r w:rsidRPr="00976388">
        <w:rPr>
          <w:rFonts w:asciiTheme="minorHAnsi" w:hAnsiTheme="minorHAnsi"/>
          <w:b w:val="0"/>
          <w:color w:val="auto"/>
          <w:sz w:val="22"/>
          <w:szCs w:val="22"/>
        </w:rPr>
        <w:t xml:space="preserve">ikelihood of final tree </w:t>
      </w:r>
      <w:r>
        <w:rPr>
          <w:rFonts w:asciiTheme="minorHAnsi" w:hAnsiTheme="minorHAnsi"/>
          <w:b w:val="0"/>
          <w:color w:val="auto"/>
          <w:sz w:val="22"/>
          <w:szCs w:val="22"/>
        </w:rPr>
        <w:t xml:space="preserve">was </w:t>
      </w:r>
      <w:r w:rsidRPr="00976388">
        <w:rPr>
          <w:rFonts w:asciiTheme="minorHAnsi" w:hAnsiTheme="minorHAnsi"/>
          <w:b w:val="0"/>
          <w:color w:val="auto"/>
          <w:sz w:val="22"/>
          <w:szCs w:val="22"/>
        </w:rPr>
        <w:t>evaluated and optimi</w:t>
      </w:r>
      <w:r>
        <w:rPr>
          <w:rFonts w:asciiTheme="minorHAnsi" w:hAnsiTheme="minorHAnsi"/>
          <w:b w:val="0"/>
          <w:color w:val="auto"/>
          <w:sz w:val="22"/>
          <w:szCs w:val="22"/>
        </w:rPr>
        <w:t>s</w:t>
      </w:r>
      <w:r w:rsidRPr="00976388">
        <w:rPr>
          <w:rFonts w:asciiTheme="minorHAnsi" w:hAnsiTheme="minorHAnsi"/>
          <w:b w:val="0"/>
          <w:color w:val="auto"/>
          <w:sz w:val="22"/>
          <w:szCs w:val="22"/>
        </w:rPr>
        <w:t xml:space="preserve">ed under GAMMA. GAMMA </w:t>
      </w:r>
      <w:r>
        <w:rPr>
          <w:rFonts w:asciiTheme="minorHAnsi" w:hAnsiTheme="minorHAnsi"/>
          <w:b w:val="0"/>
          <w:color w:val="auto"/>
          <w:sz w:val="22"/>
          <w:szCs w:val="22"/>
        </w:rPr>
        <w:t>m</w:t>
      </w:r>
      <w:r w:rsidRPr="00976388">
        <w:rPr>
          <w:rFonts w:asciiTheme="minorHAnsi" w:hAnsiTheme="minorHAnsi"/>
          <w:b w:val="0"/>
          <w:color w:val="auto"/>
          <w:sz w:val="22"/>
          <w:szCs w:val="22"/>
        </w:rPr>
        <w:t xml:space="preserve">odel parameters </w:t>
      </w:r>
      <w:r>
        <w:rPr>
          <w:rFonts w:asciiTheme="minorHAnsi" w:hAnsiTheme="minorHAnsi"/>
          <w:b w:val="0"/>
          <w:color w:val="auto"/>
          <w:sz w:val="22"/>
          <w:szCs w:val="22"/>
        </w:rPr>
        <w:t xml:space="preserve">have been </w:t>
      </w:r>
      <w:r w:rsidRPr="00976388">
        <w:rPr>
          <w:rFonts w:asciiTheme="minorHAnsi" w:hAnsiTheme="minorHAnsi"/>
          <w:b w:val="0"/>
          <w:color w:val="auto"/>
          <w:sz w:val="22"/>
          <w:szCs w:val="22"/>
        </w:rPr>
        <w:t xml:space="preserve">estimated up to an accuracy of 0.1 Log Likelihood units. </w:t>
      </w:r>
      <w:proofErr w:type="spellStart"/>
      <w:r w:rsidRPr="00976388">
        <w:rPr>
          <w:rFonts w:asciiTheme="minorHAnsi" w:hAnsiTheme="minorHAnsi"/>
          <w:b w:val="0"/>
          <w:color w:val="auto"/>
          <w:sz w:val="22"/>
          <w:szCs w:val="22"/>
        </w:rPr>
        <w:t>RAxML</w:t>
      </w:r>
      <w:proofErr w:type="spellEnd"/>
      <w:r w:rsidRPr="00976388">
        <w:rPr>
          <w:rFonts w:asciiTheme="minorHAnsi" w:hAnsiTheme="minorHAnsi"/>
          <w:b w:val="0"/>
          <w:color w:val="auto"/>
          <w:sz w:val="22"/>
          <w:szCs w:val="22"/>
        </w:rPr>
        <w:t xml:space="preserve"> was called as follows: </w:t>
      </w:r>
      <w:proofErr w:type="spellStart"/>
      <w:r w:rsidRPr="00976388">
        <w:rPr>
          <w:rFonts w:asciiTheme="minorHAnsi" w:hAnsiTheme="minorHAnsi"/>
          <w:b w:val="0"/>
          <w:color w:val="auto"/>
          <w:sz w:val="22"/>
          <w:szCs w:val="22"/>
          <w:lang w:val="en-NZ"/>
        </w:rPr>
        <w:t>raxmlHPC</w:t>
      </w:r>
      <w:proofErr w:type="spellEnd"/>
      <w:r w:rsidRPr="00976388">
        <w:rPr>
          <w:rFonts w:asciiTheme="minorHAnsi" w:hAnsiTheme="minorHAnsi"/>
          <w:b w:val="0"/>
          <w:color w:val="auto"/>
          <w:sz w:val="22"/>
          <w:szCs w:val="22"/>
          <w:lang w:val="en-NZ"/>
        </w:rPr>
        <w:t xml:space="preserve"> -f a -x 12345 -p 12345 -# 100 -m PROTCATBLOSUM62 -s C39_seed_alignment.phy -n C39_peptidase</w:t>
      </w:r>
      <w:r>
        <w:rPr>
          <w:rFonts w:asciiTheme="minorHAnsi" w:hAnsiTheme="minorHAnsi"/>
          <w:b w:val="0"/>
          <w:color w:val="auto"/>
          <w:sz w:val="22"/>
          <w:szCs w:val="22"/>
          <w:lang w:val="en-NZ"/>
        </w:rPr>
        <w:t xml:space="preserve"> with the following parameters: </w:t>
      </w:r>
      <w:r w:rsidRPr="00976388">
        <w:rPr>
          <w:rFonts w:asciiTheme="minorHAnsi" w:hAnsiTheme="minorHAnsi"/>
          <w:b w:val="0"/>
          <w:color w:val="auto"/>
          <w:sz w:val="22"/>
          <w:szCs w:val="22"/>
        </w:rPr>
        <w:t>Partition: 0. Alignment Patterns: 168. Substitution Matrix: BLOSUM62. Using fixed base frequencies.</w:t>
      </w:r>
    </w:p>
    <w:p w:rsidR="00F25BC6" w:rsidRDefault="00F25BC6" w:rsidP="00F25BC6">
      <w:pPr>
        <w:rPr>
          <w:rFonts w:eastAsia="Times New Roman" w:cs="Times New Roman"/>
          <w:lang w:val="en-GB" w:eastAsia="en-GB"/>
        </w:rPr>
      </w:pPr>
      <w:r>
        <w:br w:type="page"/>
      </w:r>
    </w:p>
    <w:p w:rsidR="00F25BC6" w:rsidRPr="00054F62" w:rsidRDefault="00F25BC6" w:rsidP="00F25BC6"/>
    <w:p w:rsidR="00F25BC6" w:rsidRDefault="00F25BC6" w:rsidP="00F25BC6">
      <w:r>
        <w:rPr>
          <w:noProof/>
          <w:lang w:eastAsia="en-NZ"/>
        </w:rPr>
        <w:drawing>
          <wp:inline distT="0" distB="0" distL="0" distR="0" wp14:anchorId="2FD6500F" wp14:editId="4BCA2B20">
            <wp:extent cx="5732780" cy="4055110"/>
            <wp:effectExtent l="0" t="0" r="1270" b="2540"/>
            <wp:docPr id="272" name="Picture 272" descr="D:\Paper\Nanobeads_PhaC_PeiR_2013\Figure_Pseudomurein_vs_Mur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per\Nanobeads_PhaC_PeiR_2013\Figure_Pseudomurein_vs_Mure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4055110"/>
                    </a:xfrm>
                    <a:prstGeom prst="rect">
                      <a:avLst/>
                    </a:prstGeom>
                    <a:noFill/>
                    <a:ln>
                      <a:noFill/>
                    </a:ln>
                  </pic:spPr>
                </pic:pic>
              </a:graphicData>
            </a:graphic>
          </wp:inline>
        </w:drawing>
      </w:r>
    </w:p>
    <w:p w:rsidR="00F25BC6" w:rsidRDefault="00F25BC6" w:rsidP="00F25BC6"/>
    <w:p w:rsidR="00F25BC6" w:rsidRDefault="00F25BC6" w:rsidP="00F25BC6">
      <w:pPr>
        <w:pStyle w:val="Caption"/>
        <w:jc w:val="both"/>
        <w:rPr>
          <w:rFonts w:asciiTheme="minorHAnsi" w:hAnsiTheme="minorHAnsi"/>
          <w:b w:val="0"/>
          <w:color w:val="auto"/>
          <w:sz w:val="22"/>
          <w:szCs w:val="22"/>
        </w:rPr>
      </w:pPr>
      <w:bookmarkStart w:id="7" w:name="_Ref383426066"/>
      <w:r w:rsidRPr="00895870">
        <w:rPr>
          <w:rFonts w:asciiTheme="minorHAnsi" w:hAnsiTheme="minorHAnsi"/>
          <w:color w:val="auto"/>
          <w:sz w:val="22"/>
          <w:szCs w:val="22"/>
        </w:rPr>
        <w:t xml:space="preserve">Supplemental Figure </w:t>
      </w:r>
      <w:r w:rsidRPr="00895870">
        <w:rPr>
          <w:rFonts w:asciiTheme="minorHAnsi" w:hAnsiTheme="minorHAnsi"/>
          <w:color w:val="auto"/>
          <w:sz w:val="22"/>
          <w:szCs w:val="22"/>
        </w:rPr>
        <w:fldChar w:fldCharType="begin"/>
      </w:r>
      <w:r w:rsidRPr="00895870">
        <w:rPr>
          <w:rFonts w:asciiTheme="minorHAnsi" w:hAnsiTheme="minorHAnsi"/>
          <w:color w:val="auto"/>
          <w:sz w:val="22"/>
          <w:szCs w:val="22"/>
        </w:rPr>
        <w:instrText xml:space="preserve"> SEQ Supplemental_Figure \* ARABIC </w:instrText>
      </w:r>
      <w:r w:rsidRPr="00895870">
        <w:rPr>
          <w:rFonts w:asciiTheme="minorHAnsi" w:hAnsiTheme="minorHAnsi"/>
          <w:color w:val="auto"/>
          <w:sz w:val="22"/>
          <w:szCs w:val="22"/>
        </w:rPr>
        <w:fldChar w:fldCharType="separate"/>
      </w:r>
      <w:r>
        <w:rPr>
          <w:rFonts w:asciiTheme="minorHAnsi" w:hAnsiTheme="minorHAnsi"/>
          <w:noProof/>
          <w:color w:val="auto"/>
          <w:sz w:val="22"/>
          <w:szCs w:val="22"/>
        </w:rPr>
        <w:t>5</w:t>
      </w:r>
      <w:r w:rsidRPr="00895870">
        <w:rPr>
          <w:rFonts w:asciiTheme="minorHAnsi" w:hAnsiTheme="minorHAnsi"/>
          <w:color w:val="auto"/>
          <w:sz w:val="22"/>
          <w:szCs w:val="22"/>
        </w:rPr>
        <w:fldChar w:fldCharType="end"/>
      </w:r>
      <w:bookmarkEnd w:id="7"/>
      <w:r w:rsidRPr="00895870">
        <w:rPr>
          <w:rFonts w:asciiTheme="minorHAnsi" w:hAnsiTheme="minorHAnsi"/>
          <w:color w:val="auto"/>
          <w:sz w:val="22"/>
          <w:szCs w:val="22"/>
        </w:rPr>
        <w:t xml:space="preserve">: </w:t>
      </w:r>
      <w:r w:rsidRPr="008463BE">
        <w:rPr>
          <w:rFonts w:asciiTheme="minorHAnsi" w:hAnsiTheme="minorHAnsi"/>
          <w:color w:val="auto"/>
          <w:sz w:val="22"/>
          <w:szCs w:val="22"/>
        </w:rPr>
        <w:t>Comparison of the composition of pseudomurein and murein from cell walls.</w:t>
      </w:r>
      <w:r w:rsidRPr="001003FD">
        <w:rPr>
          <w:rFonts w:asciiTheme="minorHAnsi" w:hAnsiTheme="minorHAnsi"/>
          <w:b w:val="0"/>
          <w:color w:val="auto"/>
          <w:sz w:val="22"/>
          <w:szCs w:val="22"/>
        </w:rPr>
        <w:t xml:space="preserve"> </w:t>
      </w:r>
      <w:r w:rsidRPr="007C166C">
        <w:rPr>
          <w:rFonts w:asciiTheme="minorHAnsi" w:hAnsiTheme="minorHAnsi"/>
          <w:b w:val="0"/>
          <w:color w:val="auto"/>
          <w:sz w:val="22"/>
          <w:szCs w:val="22"/>
        </w:rPr>
        <w:t xml:space="preserve">G, </w:t>
      </w:r>
      <w:r w:rsidRPr="007C166C">
        <w:rPr>
          <w:rFonts w:asciiTheme="minorHAnsi" w:hAnsiTheme="minorHAnsi"/>
          <w:b w:val="0"/>
          <w:i/>
          <w:color w:val="auto"/>
          <w:sz w:val="22"/>
          <w:szCs w:val="22"/>
        </w:rPr>
        <w:t>N</w:t>
      </w:r>
      <w:r w:rsidRPr="007C166C">
        <w:rPr>
          <w:rFonts w:asciiTheme="minorHAnsi" w:hAnsiTheme="minorHAnsi"/>
          <w:b w:val="0"/>
          <w:color w:val="auto"/>
          <w:sz w:val="22"/>
          <w:szCs w:val="22"/>
        </w:rPr>
        <w:t xml:space="preserve">-acetylglucosamine; T, </w:t>
      </w:r>
      <w:r w:rsidRPr="007C166C">
        <w:rPr>
          <w:rFonts w:asciiTheme="minorHAnsi" w:hAnsiTheme="minorHAnsi"/>
          <w:b w:val="0"/>
          <w:i/>
          <w:color w:val="auto"/>
          <w:sz w:val="22"/>
          <w:szCs w:val="22"/>
        </w:rPr>
        <w:t>N</w:t>
      </w:r>
      <w:r w:rsidRPr="007C166C">
        <w:rPr>
          <w:rFonts w:asciiTheme="minorHAnsi" w:hAnsiTheme="minorHAnsi"/>
          <w:b w:val="0"/>
          <w:color w:val="auto"/>
          <w:sz w:val="22"/>
          <w:szCs w:val="22"/>
        </w:rPr>
        <w:t>-</w:t>
      </w:r>
      <w:proofErr w:type="spellStart"/>
      <w:r w:rsidRPr="007C166C">
        <w:rPr>
          <w:rFonts w:asciiTheme="minorHAnsi" w:hAnsiTheme="minorHAnsi"/>
          <w:b w:val="0"/>
          <w:color w:val="auto"/>
          <w:sz w:val="22"/>
          <w:szCs w:val="22"/>
        </w:rPr>
        <w:t>acetyltalosaminuronic</w:t>
      </w:r>
      <w:proofErr w:type="spellEnd"/>
      <w:r w:rsidRPr="007C166C">
        <w:rPr>
          <w:rFonts w:asciiTheme="minorHAnsi" w:hAnsiTheme="minorHAnsi"/>
          <w:b w:val="0"/>
          <w:color w:val="auto"/>
          <w:sz w:val="22"/>
          <w:szCs w:val="22"/>
        </w:rPr>
        <w:t xml:space="preserve"> acid; M </w:t>
      </w:r>
      <w:r w:rsidRPr="007C166C">
        <w:rPr>
          <w:rFonts w:asciiTheme="minorHAnsi" w:hAnsiTheme="minorHAnsi"/>
          <w:b w:val="0"/>
          <w:i/>
          <w:color w:val="auto"/>
          <w:sz w:val="22"/>
          <w:szCs w:val="22"/>
        </w:rPr>
        <w:t>N</w:t>
      </w:r>
      <w:r w:rsidRPr="007C166C">
        <w:rPr>
          <w:rFonts w:asciiTheme="minorHAnsi" w:hAnsiTheme="minorHAnsi"/>
          <w:b w:val="0"/>
          <w:color w:val="auto"/>
          <w:sz w:val="22"/>
          <w:szCs w:val="22"/>
        </w:rPr>
        <w:t xml:space="preserve">-acetylmuramic acid. Methanogen pseudomurein contains; </w:t>
      </w:r>
      <w:r w:rsidRPr="007C166C">
        <w:rPr>
          <w:rFonts w:asciiTheme="minorHAnsi" w:hAnsiTheme="minorHAnsi"/>
          <w:b w:val="0"/>
          <w:color w:val="auto"/>
        </w:rPr>
        <w:t>L</w:t>
      </w:r>
      <w:r w:rsidRPr="007C166C">
        <w:rPr>
          <w:rFonts w:asciiTheme="minorHAnsi" w:hAnsiTheme="minorHAnsi"/>
          <w:b w:val="0"/>
          <w:color w:val="auto"/>
          <w:sz w:val="22"/>
          <w:szCs w:val="22"/>
        </w:rPr>
        <w:t xml:space="preserve">-amino acids, β (1-3) bonds and </w:t>
      </w:r>
      <w:r w:rsidRPr="007C166C">
        <w:rPr>
          <w:rFonts w:asciiTheme="minorHAnsi" w:hAnsiTheme="minorHAnsi"/>
          <w:b w:val="0"/>
          <w:i/>
          <w:color w:val="auto"/>
          <w:sz w:val="22"/>
          <w:szCs w:val="22"/>
        </w:rPr>
        <w:t>N</w:t>
      </w:r>
      <w:r w:rsidRPr="007C166C">
        <w:rPr>
          <w:rFonts w:asciiTheme="minorHAnsi" w:hAnsiTheme="minorHAnsi"/>
          <w:b w:val="0"/>
          <w:color w:val="auto"/>
          <w:sz w:val="22"/>
          <w:szCs w:val="22"/>
        </w:rPr>
        <w:t>-</w:t>
      </w:r>
      <w:proofErr w:type="spellStart"/>
      <w:r w:rsidRPr="007C166C">
        <w:rPr>
          <w:rFonts w:asciiTheme="minorHAnsi" w:hAnsiTheme="minorHAnsi"/>
          <w:b w:val="0"/>
          <w:color w:val="auto"/>
          <w:sz w:val="22"/>
          <w:szCs w:val="22"/>
        </w:rPr>
        <w:t>acetyltalosaminuronic</w:t>
      </w:r>
      <w:proofErr w:type="spellEnd"/>
      <w:r w:rsidRPr="007C166C">
        <w:rPr>
          <w:rFonts w:asciiTheme="minorHAnsi" w:hAnsiTheme="minorHAnsi"/>
          <w:b w:val="0"/>
          <w:color w:val="auto"/>
          <w:sz w:val="22"/>
          <w:szCs w:val="22"/>
        </w:rPr>
        <w:t xml:space="preserve"> acid in the glycan chain, and several unusual </w:t>
      </w:r>
      <w:proofErr w:type="spellStart"/>
      <w:r w:rsidRPr="007C166C">
        <w:rPr>
          <w:rFonts w:asciiTheme="minorHAnsi" w:hAnsiTheme="minorHAnsi"/>
          <w:b w:val="0"/>
          <w:color w:val="auto"/>
          <w:sz w:val="22"/>
          <w:szCs w:val="22"/>
        </w:rPr>
        <w:t>isopeptide</w:t>
      </w:r>
      <w:proofErr w:type="spellEnd"/>
      <w:r w:rsidRPr="007C166C">
        <w:rPr>
          <w:rFonts w:asciiTheme="minorHAnsi" w:hAnsiTheme="minorHAnsi"/>
          <w:b w:val="0"/>
          <w:color w:val="auto"/>
          <w:sz w:val="22"/>
          <w:szCs w:val="22"/>
        </w:rPr>
        <w:t xml:space="preserve"> bonds. Glu can be replaced by Asp; Ala can be replaced by </w:t>
      </w:r>
      <w:proofErr w:type="spellStart"/>
      <w:r w:rsidRPr="007C166C">
        <w:rPr>
          <w:rFonts w:asciiTheme="minorHAnsi" w:hAnsiTheme="minorHAnsi"/>
          <w:b w:val="0"/>
          <w:color w:val="auto"/>
          <w:sz w:val="22"/>
          <w:szCs w:val="22"/>
        </w:rPr>
        <w:t>Thr</w:t>
      </w:r>
      <w:proofErr w:type="spellEnd"/>
      <w:r w:rsidRPr="007C166C">
        <w:rPr>
          <w:rFonts w:asciiTheme="minorHAnsi" w:hAnsiTheme="minorHAnsi"/>
          <w:b w:val="0"/>
          <w:color w:val="auto"/>
          <w:sz w:val="22"/>
          <w:szCs w:val="22"/>
        </w:rPr>
        <w:t xml:space="preserve"> or Ser, in some strains. Bacterial murein contains; </w:t>
      </w:r>
      <w:r w:rsidRPr="007C166C">
        <w:rPr>
          <w:rFonts w:asciiTheme="minorHAnsi" w:hAnsiTheme="minorHAnsi"/>
          <w:b w:val="0"/>
          <w:color w:val="auto"/>
        </w:rPr>
        <w:t>D</w:t>
      </w:r>
      <w:r w:rsidRPr="007C166C">
        <w:rPr>
          <w:rFonts w:asciiTheme="minorHAnsi" w:hAnsiTheme="minorHAnsi"/>
          <w:b w:val="0"/>
          <w:color w:val="auto"/>
          <w:sz w:val="22"/>
          <w:szCs w:val="22"/>
        </w:rPr>
        <w:t xml:space="preserve">- and </w:t>
      </w:r>
      <w:r w:rsidRPr="007C166C">
        <w:rPr>
          <w:rFonts w:asciiTheme="minorHAnsi" w:hAnsiTheme="minorHAnsi"/>
          <w:b w:val="0"/>
          <w:color w:val="auto"/>
        </w:rPr>
        <w:t>L</w:t>
      </w:r>
      <w:r w:rsidRPr="007C166C">
        <w:rPr>
          <w:rFonts w:asciiTheme="minorHAnsi" w:hAnsiTheme="minorHAnsi"/>
          <w:b w:val="0"/>
          <w:color w:val="auto"/>
          <w:sz w:val="22"/>
          <w:szCs w:val="22"/>
        </w:rPr>
        <w:t xml:space="preserve">-amino acids, and β (1-4) bonds and </w:t>
      </w:r>
      <w:r w:rsidRPr="007C166C">
        <w:rPr>
          <w:rFonts w:asciiTheme="minorHAnsi" w:hAnsiTheme="minorHAnsi"/>
          <w:b w:val="0"/>
          <w:i/>
          <w:color w:val="auto"/>
          <w:sz w:val="22"/>
          <w:szCs w:val="22"/>
        </w:rPr>
        <w:t>N</w:t>
      </w:r>
      <w:r w:rsidRPr="007C166C">
        <w:rPr>
          <w:rFonts w:asciiTheme="minorHAnsi" w:hAnsiTheme="minorHAnsi"/>
          <w:b w:val="0"/>
          <w:color w:val="auto"/>
          <w:sz w:val="22"/>
          <w:szCs w:val="22"/>
        </w:rPr>
        <w:t xml:space="preserve">-acetylmuramic acid in the glycan chain. The figure was </w:t>
      </w:r>
      <w:r>
        <w:rPr>
          <w:rFonts w:asciiTheme="minorHAnsi" w:hAnsiTheme="minorHAnsi"/>
          <w:b w:val="0"/>
          <w:color w:val="auto"/>
          <w:sz w:val="22"/>
          <w:szCs w:val="22"/>
        </w:rPr>
        <w:t xml:space="preserve">published previously </w:t>
      </w:r>
      <w:r>
        <w:rPr>
          <w:rFonts w:asciiTheme="minorHAnsi" w:hAnsiTheme="minorHAnsi"/>
          <w:b w:val="0"/>
          <w:color w:val="auto"/>
          <w:sz w:val="22"/>
          <w:szCs w:val="22"/>
        </w:rPr>
        <w:fldChar w:fldCharType="begin"/>
      </w:r>
      <w:r>
        <w:rPr>
          <w:rFonts w:asciiTheme="minorHAnsi" w:hAnsiTheme="minorHAnsi"/>
          <w:b w:val="0"/>
          <w:color w:val="auto"/>
          <w:sz w:val="22"/>
          <w:szCs w:val="22"/>
        </w:rPr>
        <w:instrText xml:space="preserve"> ADDIN EN.CITE &lt;EndNote&gt;&lt;Cite&gt;&lt;Author&gt;Schofield&lt;/Author&gt;&lt;Year&gt;2015&lt;/Year&gt;&lt;RecNum&gt;2862&lt;/RecNum&gt;&lt;DisplayText&gt;(Schofield et al., 2015)&lt;/DisplayText&gt;&lt;record&gt;&lt;rec-number&gt;2862&lt;/rec-number&gt;&lt;foreign-keys&gt;&lt;key app="EN" db-id="st25zarab5559pef0zlpfwx9s9dvaffrpzr2"&gt;2862&lt;/key&gt;&lt;/foreign-keys&gt;&lt;ref-type name="Journal Article"&gt;17&lt;/ref-type&gt;&lt;contributors&gt;&lt;authors&gt;&lt;author&gt;Schofield, L. R.&lt;/author&gt;&lt;author&gt;Beattie, A. K.&lt;/author&gt;&lt;author&gt;Tootill, C. M.&lt;/author&gt;&lt;author&gt;Dey, D.&lt;/author&gt;&lt;author&gt;Ronimus, R. S.&lt;/author&gt;&lt;/authors&gt;&lt;/contributors&gt;&lt;auth-address&gt;AgResearch Limited, Grasslands Research Centre, Tennent Drive, Private Bag 11008, Palmerston North 4442, New Zealand.&lt;/auth-address&gt;&lt;titles&gt;&lt;title&gt;Biochemical Characterisation of Phage Pseudomurein Endoisopeptidases PeiW and PeiP Using Synthetic Peptides&lt;/title&gt;&lt;secondary-title&gt;Archaea&lt;/secondary-title&gt;&lt;/titles&gt;&lt;periodical&gt;&lt;full-title&gt;Archaea&lt;/full-title&gt;&lt;/periodical&gt;&lt;pages&gt;828693&lt;/pages&gt;&lt;volume&gt;2015&lt;/volume&gt;&lt;edition&gt;2015/10/21&lt;/edition&gt;&lt;keywords&gt;&lt;keyword&gt;Bacteriophages/*enzymology&lt;/keyword&gt;&lt;keyword&gt;Cations, Divalent/metabolism&lt;/keyword&gt;&lt;keyword&gt;Coenzymes/metabolism&lt;/keyword&gt;&lt;keyword&gt;Endopeptidases/chemistry/genetics/isolation &amp;amp; purification/*metabolism&lt;/keyword&gt;&lt;keyword&gt;Enzyme Stability&lt;/keyword&gt;&lt;keyword&gt;Kinetics&lt;/keyword&gt;&lt;keyword&gt;Metals/metabolism&lt;/keyword&gt;&lt;keyword&gt;Methanobacteriaceae/virology&lt;/keyword&gt;&lt;keyword&gt;Peptides/*metabolism&lt;/keyword&gt;&lt;keyword&gt;Recombinant Proteins/chemistry/genetics/isolation &amp;amp; purification/metabolism&lt;/keyword&gt;&lt;keyword&gt;Temperature&lt;/keyword&gt;&lt;/keywords&gt;&lt;dates&gt;&lt;year&gt;2015&lt;/year&gt;&lt;/dates&gt;&lt;isbn&gt;1472-3654 (Electronic)&lt;/isbn&gt;&lt;accession-num&gt;26483615&lt;/accession-num&gt;&lt;work-type&gt;Research Support, Non-U.S. Gov&amp;apos;t&lt;/work-type&gt;&lt;urls&gt;&lt;related-urls&gt;&lt;url&gt;http://www.ncbi.nlm.nih.gov/pubmed/26483615&lt;/url&gt;&lt;url&gt;http://downloads.hindawi.com/journals/archaea/2015/828693.pdf&lt;/url&gt;&lt;/related-urls&gt;&lt;/urls&gt;&lt;custom2&gt;4592898&lt;/custom2&gt;&lt;electronic-resource-num&gt;10.1155/2015/828693&lt;/electronic-resource-num&gt;&lt;language&gt;eng&lt;/language&gt;&lt;/record&gt;&lt;/Cite&gt;&lt;/EndNote&gt;</w:instrText>
      </w:r>
      <w:r>
        <w:rPr>
          <w:rFonts w:asciiTheme="minorHAnsi" w:hAnsiTheme="minorHAnsi"/>
          <w:b w:val="0"/>
          <w:color w:val="auto"/>
          <w:sz w:val="22"/>
          <w:szCs w:val="22"/>
        </w:rPr>
        <w:fldChar w:fldCharType="separate"/>
      </w:r>
      <w:r>
        <w:rPr>
          <w:rFonts w:asciiTheme="minorHAnsi" w:hAnsiTheme="minorHAnsi"/>
          <w:b w:val="0"/>
          <w:noProof/>
          <w:color w:val="auto"/>
          <w:sz w:val="22"/>
          <w:szCs w:val="22"/>
        </w:rPr>
        <w:t>(</w:t>
      </w:r>
      <w:hyperlink w:anchor="_ENREF_52" w:tooltip="Schofield, 2015 #2854" w:history="1">
        <w:r>
          <w:rPr>
            <w:rFonts w:asciiTheme="minorHAnsi" w:hAnsiTheme="minorHAnsi"/>
            <w:b w:val="0"/>
            <w:noProof/>
            <w:color w:val="auto"/>
            <w:sz w:val="22"/>
            <w:szCs w:val="22"/>
          </w:rPr>
          <w:t>Schofield et al., 2015</w:t>
        </w:r>
      </w:hyperlink>
      <w:r>
        <w:rPr>
          <w:rFonts w:asciiTheme="minorHAnsi" w:hAnsiTheme="minorHAnsi"/>
          <w:b w:val="0"/>
          <w:noProof/>
          <w:color w:val="auto"/>
          <w:sz w:val="22"/>
          <w:szCs w:val="22"/>
        </w:rPr>
        <w:t>)</w:t>
      </w:r>
      <w:r>
        <w:rPr>
          <w:rFonts w:asciiTheme="minorHAnsi" w:hAnsiTheme="minorHAnsi"/>
          <w:b w:val="0"/>
          <w:color w:val="auto"/>
          <w:sz w:val="22"/>
          <w:szCs w:val="22"/>
        </w:rPr>
        <w:fldChar w:fldCharType="end"/>
      </w:r>
      <w:r>
        <w:rPr>
          <w:rFonts w:asciiTheme="minorHAnsi" w:hAnsiTheme="minorHAnsi"/>
          <w:b w:val="0"/>
          <w:color w:val="auto"/>
          <w:sz w:val="22"/>
          <w:szCs w:val="22"/>
        </w:rPr>
        <w:t xml:space="preserve"> and was </w:t>
      </w:r>
      <w:r w:rsidRPr="007C166C">
        <w:rPr>
          <w:rFonts w:asciiTheme="minorHAnsi" w:hAnsiTheme="minorHAnsi"/>
          <w:b w:val="0"/>
          <w:color w:val="auto"/>
          <w:sz w:val="22"/>
          <w:szCs w:val="22"/>
        </w:rPr>
        <w:t>adapted and modified</w:t>
      </w:r>
      <w:r>
        <w:rPr>
          <w:rFonts w:asciiTheme="minorHAnsi" w:hAnsiTheme="minorHAnsi"/>
          <w:b w:val="0"/>
          <w:color w:val="auto"/>
          <w:sz w:val="22"/>
          <w:szCs w:val="22"/>
        </w:rPr>
        <w:t xml:space="preserve"> </w:t>
      </w:r>
      <w:r w:rsidRPr="007C166C">
        <w:rPr>
          <w:rFonts w:asciiTheme="minorHAnsi" w:hAnsiTheme="minorHAnsi"/>
          <w:b w:val="0"/>
          <w:color w:val="auto"/>
          <w:sz w:val="22"/>
          <w:szCs w:val="22"/>
        </w:rPr>
        <w:t xml:space="preserve">from Hartmann and König </w:t>
      </w:r>
      <w:r w:rsidRPr="007C166C">
        <w:rPr>
          <w:rFonts w:asciiTheme="minorHAnsi" w:hAnsiTheme="minorHAnsi"/>
          <w:b w:val="0"/>
          <w:color w:val="auto"/>
          <w:sz w:val="22"/>
          <w:szCs w:val="22"/>
        </w:rPr>
        <w:fldChar w:fldCharType="begin"/>
      </w:r>
      <w:r w:rsidRPr="007C166C">
        <w:rPr>
          <w:rFonts w:asciiTheme="minorHAnsi" w:hAnsiTheme="minorHAnsi"/>
          <w:b w:val="0"/>
          <w:color w:val="auto"/>
          <w:sz w:val="22"/>
          <w:szCs w:val="22"/>
        </w:rPr>
        <w:instrText xml:space="preserve"> ADDIN EN.CITE &lt;EndNote&gt;&lt;Cite&gt;&lt;Author&gt;Hartmann&lt;/Author&gt;&lt;Year&gt;1990&lt;/Year&gt;&lt;RecNum&gt;1414&lt;/RecNum&gt;&lt;DisplayText&gt;(Hartmann and Konig, 1990)&lt;/DisplayText&gt;&lt;record&gt;&lt;rec-number&gt;1414&lt;/rec-number&gt;&lt;foreign-keys&gt;&lt;key app="EN" db-id="st25zarab5559pef0zlpfwx9s9dvaffrpzr2"&gt;1414&lt;/key&gt;&lt;/foreign-keys&gt;&lt;ref-type name="Journal Article"&gt;17&lt;/ref-type&gt;&lt;contributors&gt;&lt;authors&gt;&lt;author&gt;Hartmann, E.&lt;/author&gt;&lt;author&gt;Konig, H.&lt;/author&gt;&lt;/authors&gt;&lt;/contributors&gt;&lt;auth-address&gt;Abteilung fur Angewandte Mikrobiologie und Mykologie der Universitat, Ulm, Bundesrepublik Deutschland.&lt;/auth-address&gt;&lt;titles&gt;&lt;title&gt;Comparison of the biosynthesis of the methanobacterial pseudomurein and the eubacterial murein&lt;/title&gt;&lt;secondary-title&gt;Naturwissenschaften&lt;/secondary-title&gt;&lt;alt-title&gt;Die Naturwissenschaften&lt;/alt-title&gt;&lt;/titles&gt;&lt;periodical&gt;&lt;full-title&gt;Naturwissenschaften&lt;/full-title&gt;&lt;abbr-1&gt;Die Naturwissenschaften&lt;/abbr-1&gt;&lt;/periodical&gt;&lt;alt-periodical&gt;&lt;full-title&gt;Naturwissenschaften&lt;/full-title&gt;&lt;abbr-1&gt;Die Naturwissenschaften&lt;/abbr-1&gt;&lt;/alt-periodical&gt;&lt;pages&gt;472-5&lt;/pages&gt;&lt;volume&gt;77&lt;/volume&gt;&lt;number&gt;10&lt;/number&gt;&lt;edition&gt;1990/10/01&lt;/edition&gt;&lt;keywords&gt;&lt;keyword&gt;Amino Acid Sequence&lt;/keyword&gt;&lt;keyword&gt;Archaea/genetics/*metabolism&lt;/keyword&gt;&lt;keyword&gt;Bacteria/genetics/*metabolism&lt;/keyword&gt;&lt;keyword&gt;Carbohydrate Sequence&lt;/keyword&gt;&lt;keyword&gt;Euryarchaeota/genetics/*metabolism&lt;/keyword&gt;&lt;keyword&gt;Molecular Sequence Data&lt;/keyword&gt;&lt;keyword&gt;Peptidoglycan/*biosynthesis&lt;/keyword&gt;&lt;keyword&gt;Phylogeny&lt;/keyword&gt;&lt;/keywords&gt;&lt;dates&gt;&lt;year&gt;1990&lt;/year&gt;&lt;pub-dates&gt;&lt;date&gt;Oct&lt;/date&gt;&lt;/pub-dates&gt;&lt;/dates&gt;&lt;isbn&gt;0028-1042 (Print)&amp;#xD;0028-1042 (Linking)&lt;/isbn&gt;&lt;accession-num&gt;2126345&lt;/accession-num&gt;&lt;work-type&gt;Comparative Study&amp;#xD;Research Support, Non-U.S. Gov&amp;apos;t&lt;/work-type&gt;&lt;urls&gt;&lt;related-urls&gt;&lt;url&gt;http://www.ncbi.nlm.nih.gov/pubmed/2126345&lt;/url&gt;&lt;/related-urls&gt;&lt;/urls&gt;&lt;language&gt;eng&lt;/language&gt;&lt;/record&gt;&lt;/Cite&gt;&lt;/EndNote&gt;</w:instrText>
      </w:r>
      <w:r w:rsidRPr="007C166C">
        <w:rPr>
          <w:rFonts w:asciiTheme="minorHAnsi" w:hAnsiTheme="minorHAnsi"/>
          <w:b w:val="0"/>
          <w:color w:val="auto"/>
          <w:sz w:val="22"/>
          <w:szCs w:val="22"/>
        </w:rPr>
        <w:fldChar w:fldCharType="separate"/>
      </w:r>
      <w:r w:rsidRPr="007C166C">
        <w:rPr>
          <w:rFonts w:asciiTheme="minorHAnsi" w:hAnsiTheme="minorHAnsi"/>
          <w:b w:val="0"/>
          <w:noProof/>
          <w:color w:val="auto"/>
          <w:sz w:val="22"/>
          <w:szCs w:val="22"/>
        </w:rPr>
        <w:t>(</w:t>
      </w:r>
      <w:hyperlink w:anchor="_ENREF_19" w:tooltip="Hartmann, 1990 #1414" w:history="1">
        <w:r w:rsidRPr="007C166C">
          <w:rPr>
            <w:rFonts w:asciiTheme="minorHAnsi" w:hAnsiTheme="minorHAnsi"/>
            <w:b w:val="0"/>
            <w:noProof/>
            <w:color w:val="auto"/>
            <w:sz w:val="22"/>
            <w:szCs w:val="22"/>
          </w:rPr>
          <w:t>Hartmann and Konig, 1990</w:t>
        </w:r>
      </w:hyperlink>
      <w:r w:rsidRPr="007C166C">
        <w:rPr>
          <w:rFonts w:asciiTheme="minorHAnsi" w:hAnsiTheme="minorHAnsi"/>
          <w:b w:val="0"/>
          <w:noProof/>
          <w:color w:val="auto"/>
          <w:sz w:val="22"/>
          <w:szCs w:val="22"/>
        </w:rPr>
        <w:t>)</w:t>
      </w:r>
      <w:r w:rsidRPr="007C166C">
        <w:rPr>
          <w:rFonts w:asciiTheme="minorHAnsi" w:hAnsiTheme="minorHAnsi"/>
          <w:b w:val="0"/>
          <w:color w:val="auto"/>
          <w:sz w:val="22"/>
          <w:szCs w:val="22"/>
        </w:rPr>
        <w:fldChar w:fldCharType="end"/>
      </w:r>
      <w:r w:rsidRPr="007C166C">
        <w:rPr>
          <w:rFonts w:asciiTheme="minorHAnsi" w:hAnsiTheme="minorHAnsi"/>
          <w:b w:val="0"/>
          <w:color w:val="auto"/>
          <w:sz w:val="22"/>
          <w:szCs w:val="22"/>
        </w:rPr>
        <w:t xml:space="preserve">, and </w:t>
      </w:r>
      <w:proofErr w:type="spellStart"/>
      <w:r w:rsidRPr="007C166C">
        <w:rPr>
          <w:rFonts w:asciiTheme="minorHAnsi" w:hAnsiTheme="minorHAnsi"/>
          <w:b w:val="0"/>
          <w:color w:val="auto"/>
          <w:sz w:val="22"/>
          <w:szCs w:val="22"/>
        </w:rPr>
        <w:t>Kandler</w:t>
      </w:r>
      <w:proofErr w:type="spellEnd"/>
      <w:r w:rsidRPr="007C166C">
        <w:rPr>
          <w:rFonts w:asciiTheme="minorHAnsi" w:hAnsiTheme="minorHAnsi"/>
          <w:b w:val="0"/>
          <w:color w:val="auto"/>
          <w:sz w:val="22"/>
          <w:szCs w:val="22"/>
        </w:rPr>
        <w:t xml:space="preserve"> and König </w:t>
      </w:r>
      <w:r w:rsidRPr="007C166C">
        <w:rPr>
          <w:rFonts w:asciiTheme="minorHAnsi" w:hAnsiTheme="minorHAnsi"/>
          <w:b w:val="0"/>
          <w:color w:val="auto"/>
          <w:sz w:val="22"/>
          <w:szCs w:val="22"/>
        </w:rPr>
        <w:fldChar w:fldCharType="begin"/>
      </w:r>
      <w:r w:rsidRPr="007C166C">
        <w:rPr>
          <w:rFonts w:asciiTheme="minorHAnsi" w:hAnsiTheme="minorHAnsi"/>
          <w:b w:val="0"/>
          <w:color w:val="auto"/>
          <w:sz w:val="22"/>
          <w:szCs w:val="22"/>
        </w:rPr>
        <w:instrText xml:space="preserve"> ADDIN EN.CITE &lt;EndNote&gt;&lt;Cite&gt;&lt;Author&gt;Kandler&lt;/Author&gt;&lt;Year&gt;1993&lt;/Year&gt;&lt;RecNum&gt;1380&lt;/RecNum&gt;&lt;DisplayText&gt;(Kandler and König, 1993)&lt;/DisplayText&gt;&lt;record&gt;&lt;rec-number&gt;1380&lt;/rec-number&gt;&lt;foreign-keys&gt;&lt;key app="EN" db-id="st25zarab5559pef0zlpfwx9s9dvaffrpzr2"&gt;1380&lt;/key&gt;&lt;/foreign-keys&gt;&lt;ref-type name="Book Section"&gt;5&lt;/ref-type&gt;&lt;contributors&gt;&lt;authors&gt;&lt;author&gt;Kandler, O.&lt;/author&gt;&lt;author&gt;König, H.&lt;/author&gt;&lt;/authors&gt;&lt;secondary-authors&gt;&lt;author&gt;Kates, M.&lt;/author&gt;&lt;author&gt;Kushner, D.J.&lt;/author&gt;&lt;author&gt;Matheson, A.T.&lt;/author&gt;&lt;/secondary-authors&gt;&lt;/contributors&gt;&lt;titles&gt;&lt;title&gt;Cell envelopes of archaea: structure and chemistry&lt;/title&gt;&lt;secondary-title&gt;The Biochemistry of Archaea (Archaebacteria)&lt;/secondary-title&gt;&lt;/titles&gt;&lt;pages&gt;223-259&lt;/pages&gt;&lt;dates&gt;&lt;year&gt;1993&lt;/year&gt;&lt;/dates&gt;&lt;pub-location&gt;Amsterdam&lt;/pub-location&gt;&lt;publisher&gt;Elsevier Science Publishers&lt;/publisher&gt;&lt;urls&gt;&lt;/urls&gt;&lt;/record&gt;&lt;/Cite&gt;&lt;/EndNote&gt;</w:instrText>
      </w:r>
      <w:r w:rsidRPr="007C166C">
        <w:rPr>
          <w:rFonts w:asciiTheme="minorHAnsi" w:hAnsiTheme="minorHAnsi"/>
          <w:b w:val="0"/>
          <w:color w:val="auto"/>
          <w:sz w:val="22"/>
          <w:szCs w:val="22"/>
        </w:rPr>
        <w:fldChar w:fldCharType="separate"/>
      </w:r>
      <w:r w:rsidRPr="007C166C">
        <w:rPr>
          <w:rFonts w:asciiTheme="minorHAnsi" w:hAnsiTheme="minorHAnsi"/>
          <w:b w:val="0"/>
          <w:noProof/>
          <w:color w:val="auto"/>
          <w:sz w:val="22"/>
          <w:szCs w:val="22"/>
        </w:rPr>
        <w:t>(</w:t>
      </w:r>
      <w:hyperlink w:anchor="_ENREF_25" w:tooltip="Kandler, 1993 #1380" w:history="1">
        <w:r w:rsidRPr="007C166C">
          <w:rPr>
            <w:rFonts w:asciiTheme="minorHAnsi" w:hAnsiTheme="minorHAnsi"/>
            <w:b w:val="0"/>
            <w:noProof/>
            <w:color w:val="auto"/>
            <w:sz w:val="22"/>
            <w:szCs w:val="22"/>
          </w:rPr>
          <w:t>Kandler and König, 1993</w:t>
        </w:r>
      </w:hyperlink>
      <w:r w:rsidRPr="007C166C">
        <w:rPr>
          <w:rFonts w:asciiTheme="minorHAnsi" w:hAnsiTheme="minorHAnsi"/>
          <w:b w:val="0"/>
          <w:noProof/>
          <w:color w:val="auto"/>
          <w:sz w:val="22"/>
          <w:szCs w:val="22"/>
        </w:rPr>
        <w:t>)</w:t>
      </w:r>
      <w:r w:rsidRPr="007C166C">
        <w:rPr>
          <w:rFonts w:asciiTheme="minorHAnsi" w:hAnsiTheme="minorHAnsi"/>
          <w:b w:val="0"/>
          <w:color w:val="auto"/>
          <w:sz w:val="22"/>
          <w:szCs w:val="22"/>
        </w:rPr>
        <w:fldChar w:fldCharType="end"/>
      </w:r>
      <w:r w:rsidRPr="007C166C">
        <w:rPr>
          <w:rFonts w:asciiTheme="minorHAnsi" w:hAnsiTheme="minorHAnsi"/>
          <w:b w:val="0"/>
          <w:color w:val="auto"/>
          <w:sz w:val="22"/>
          <w:szCs w:val="22"/>
        </w:rPr>
        <w:t>.</w:t>
      </w:r>
    </w:p>
    <w:p w:rsidR="00F25BC6" w:rsidRDefault="00F25BC6" w:rsidP="00F25BC6">
      <w:pPr>
        <w:rPr>
          <w:lang w:val="en-GB" w:eastAsia="en-GB"/>
        </w:rPr>
      </w:pPr>
    </w:p>
    <w:p w:rsidR="00F25BC6" w:rsidRPr="001F2492" w:rsidRDefault="00F25BC6" w:rsidP="00F25BC6">
      <w:pPr>
        <w:rPr>
          <w:lang w:val="en-GB" w:eastAsia="en-GB"/>
        </w:rPr>
      </w:pPr>
    </w:p>
    <w:p w:rsidR="00F25BC6" w:rsidRDefault="00F25BC6" w:rsidP="00F25BC6">
      <w:pPr>
        <w:pStyle w:val="Caption"/>
        <w:jc w:val="both"/>
      </w:pPr>
      <w:r>
        <w:br w:type="page"/>
      </w:r>
    </w:p>
    <w:p w:rsidR="00F25BC6" w:rsidRDefault="00F25BC6" w:rsidP="00F25BC6"/>
    <w:p w:rsidR="00F25BC6" w:rsidRDefault="00F25BC6" w:rsidP="00F25BC6">
      <w:r>
        <w:rPr>
          <w:noProof/>
          <w:lang w:eastAsia="en-NZ"/>
        </w:rPr>
        <w:drawing>
          <wp:inline distT="0" distB="0" distL="0" distR="0" wp14:anchorId="25E53A63" wp14:editId="65FDBC55">
            <wp:extent cx="2048510" cy="2517775"/>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8510" cy="2517775"/>
                    </a:xfrm>
                    <a:prstGeom prst="rect">
                      <a:avLst/>
                    </a:prstGeom>
                    <a:noFill/>
                  </pic:spPr>
                </pic:pic>
              </a:graphicData>
            </a:graphic>
          </wp:inline>
        </w:drawing>
      </w:r>
    </w:p>
    <w:p w:rsidR="00F25BC6" w:rsidRDefault="00F25BC6" w:rsidP="00F25BC6">
      <w:pPr>
        <w:tabs>
          <w:tab w:val="left" w:pos="5573"/>
        </w:tabs>
      </w:pPr>
    </w:p>
    <w:p w:rsidR="00F25BC6" w:rsidRPr="001003FD" w:rsidRDefault="00F25BC6" w:rsidP="00F25BC6">
      <w:pPr>
        <w:pStyle w:val="Caption"/>
        <w:jc w:val="both"/>
        <w:rPr>
          <w:rFonts w:asciiTheme="minorHAnsi" w:hAnsiTheme="minorHAnsi"/>
          <w:b w:val="0"/>
          <w:color w:val="auto"/>
          <w:sz w:val="22"/>
          <w:szCs w:val="22"/>
        </w:rPr>
      </w:pPr>
      <w:bookmarkStart w:id="8" w:name="_Ref383427264"/>
      <w:r w:rsidRPr="00291F97">
        <w:rPr>
          <w:rFonts w:asciiTheme="minorHAnsi" w:hAnsiTheme="minorHAnsi"/>
          <w:color w:val="auto"/>
          <w:sz w:val="22"/>
          <w:szCs w:val="22"/>
        </w:rPr>
        <w:t xml:space="preserve">Supplemental Figure </w:t>
      </w:r>
      <w:r w:rsidRPr="00291F97">
        <w:rPr>
          <w:rFonts w:asciiTheme="minorHAnsi" w:hAnsiTheme="minorHAnsi"/>
          <w:color w:val="auto"/>
          <w:sz w:val="22"/>
          <w:szCs w:val="22"/>
        </w:rPr>
        <w:fldChar w:fldCharType="begin"/>
      </w:r>
      <w:r w:rsidRPr="00291F97">
        <w:rPr>
          <w:rFonts w:asciiTheme="minorHAnsi" w:hAnsiTheme="minorHAnsi"/>
          <w:color w:val="auto"/>
          <w:sz w:val="22"/>
          <w:szCs w:val="22"/>
        </w:rPr>
        <w:instrText xml:space="preserve"> SEQ Supplemental_Figure \* ARABIC </w:instrText>
      </w:r>
      <w:r w:rsidRPr="00291F97">
        <w:rPr>
          <w:rFonts w:asciiTheme="minorHAnsi" w:hAnsiTheme="minorHAnsi"/>
          <w:color w:val="auto"/>
          <w:sz w:val="22"/>
          <w:szCs w:val="22"/>
        </w:rPr>
        <w:fldChar w:fldCharType="separate"/>
      </w:r>
      <w:r>
        <w:rPr>
          <w:rFonts w:asciiTheme="minorHAnsi" w:hAnsiTheme="minorHAnsi"/>
          <w:noProof/>
          <w:color w:val="auto"/>
          <w:sz w:val="22"/>
          <w:szCs w:val="22"/>
        </w:rPr>
        <w:t>6</w:t>
      </w:r>
      <w:r w:rsidRPr="00291F97">
        <w:rPr>
          <w:rFonts w:asciiTheme="minorHAnsi" w:hAnsiTheme="minorHAnsi"/>
          <w:color w:val="auto"/>
          <w:sz w:val="22"/>
          <w:szCs w:val="22"/>
        </w:rPr>
        <w:fldChar w:fldCharType="end"/>
      </w:r>
      <w:bookmarkEnd w:id="8"/>
      <w:r w:rsidRPr="00291F97">
        <w:rPr>
          <w:rFonts w:asciiTheme="minorHAnsi" w:hAnsiTheme="minorHAnsi"/>
          <w:color w:val="auto"/>
          <w:sz w:val="22"/>
          <w:szCs w:val="22"/>
        </w:rPr>
        <w:t xml:space="preserve">: </w:t>
      </w:r>
      <w:r>
        <w:rPr>
          <w:rFonts w:asciiTheme="minorHAnsi" w:hAnsiTheme="minorHAnsi"/>
          <w:color w:val="auto"/>
          <w:sz w:val="22"/>
          <w:szCs w:val="22"/>
        </w:rPr>
        <w:t>Example of a</w:t>
      </w:r>
      <w:r w:rsidRPr="00552404">
        <w:rPr>
          <w:rFonts w:asciiTheme="minorHAnsi" w:hAnsiTheme="minorHAnsi"/>
          <w:color w:val="auto"/>
          <w:sz w:val="22"/>
          <w:szCs w:val="22"/>
        </w:rPr>
        <w:t xml:space="preserve">ctivity of </w:t>
      </w:r>
      <w:r>
        <w:rPr>
          <w:rFonts w:asciiTheme="minorHAnsi" w:hAnsiTheme="minorHAnsi"/>
          <w:color w:val="auto"/>
          <w:sz w:val="22"/>
          <w:szCs w:val="22"/>
        </w:rPr>
        <w:t xml:space="preserve">free </w:t>
      </w:r>
      <w:proofErr w:type="spellStart"/>
      <w:r w:rsidRPr="00552404">
        <w:rPr>
          <w:rFonts w:asciiTheme="minorHAnsi" w:hAnsiTheme="minorHAnsi"/>
          <w:color w:val="auto"/>
          <w:sz w:val="22"/>
          <w:szCs w:val="22"/>
        </w:rPr>
        <w:t>PeiR</w:t>
      </w:r>
      <w:proofErr w:type="spellEnd"/>
      <w:r w:rsidRPr="00552404">
        <w:rPr>
          <w:rFonts w:asciiTheme="minorHAnsi" w:hAnsiTheme="minorHAnsi"/>
          <w:color w:val="auto"/>
          <w:sz w:val="22"/>
          <w:szCs w:val="22"/>
        </w:rPr>
        <w:t xml:space="preserve"> enzyme on </w:t>
      </w:r>
      <w:r>
        <w:rPr>
          <w:rFonts w:asciiTheme="minorHAnsi" w:hAnsiTheme="minorHAnsi"/>
          <w:color w:val="auto"/>
          <w:sz w:val="22"/>
          <w:szCs w:val="22"/>
        </w:rPr>
        <w:t xml:space="preserve">methanogen </w:t>
      </w:r>
      <w:r w:rsidRPr="00552404">
        <w:rPr>
          <w:rFonts w:asciiTheme="minorHAnsi" w:hAnsiTheme="minorHAnsi"/>
          <w:color w:val="auto"/>
          <w:sz w:val="22"/>
          <w:szCs w:val="22"/>
        </w:rPr>
        <w:t xml:space="preserve">cells as substrate in an agarose plate lysate assay. </w:t>
      </w:r>
      <w:r>
        <w:rPr>
          <w:rFonts w:asciiTheme="minorHAnsi" w:hAnsiTheme="minorHAnsi"/>
          <w:b w:val="0"/>
          <w:color w:val="auto"/>
          <w:sz w:val="22"/>
          <w:szCs w:val="22"/>
        </w:rPr>
        <w:t xml:space="preserve">Plate contained </w:t>
      </w:r>
      <w:proofErr w:type="spellStart"/>
      <w:r w:rsidRPr="00AE78D8">
        <w:rPr>
          <w:rFonts w:asciiTheme="minorHAnsi" w:hAnsiTheme="minorHAnsi"/>
          <w:b w:val="0"/>
          <w:i/>
          <w:color w:val="auto"/>
          <w:sz w:val="22"/>
          <w:szCs w:val="22"/>
        </w:rPr>
        <w:t>Methanothermobacter</w:t>
      </w:r>
      <w:proofErr w:type="spellEnd"/>
      <w:r w:rsidRPr="00AE78D8">
        <w:rPr>
          <w:rFonts w:asciiTheme="minorHAnsi" w:hAnsiTheme="minorHAnsi"/>
          <w:b w:val="0"/>
          <w:i/>
          <w:color w:val="auto"/>
          <w:sz w:val="22"/>
          <w:szCs w:val="22"/>
        </w:rPr>
        <w:t xml:space="preserve"> </w:t>
      </w:r>
      <w:proofErr w:type="spellStart"/>
      <w:r w:rsidRPr="00AE78D8">
        <w:rPr>
          <w:rFonts w:asciiTheme="minorHAnsi" w:hAnsiTheme="minorHAnsi"/>
          <w:b w:val="0"/>
          <w:i/>
          <w:color w:val="auto"/>
          <w:sz w:val="22"/>
          <w:szCs w:val="22"/>
        </w:rPr>
        <w:t>thermautotrophicus</w:t>
      </w:r>
      <w:proofErr w:type="spellEnd"/>
      <w:r w:rsidRPr="00AE78D8">
        <w:rPr>
          <w:rFonts w:asciiTheme="minorHAnsi" w:hAnsiTheme="minorHAnsi"/>
          <w:b w:val="0"/>
          <w:color w:val="auto"/>
          <w:sz w:val="22"/>
          <w:szCs w:val="22"/>
        </w:rPr>
        <w:t xml:space="preserve"> ΔH</w:t>
      </w:r>
      <w:r w:rsidRPr="001003FD">
        <w:rPr>
          <w:rFonts w:asciiTheme="minorHAnsi" w:hAnsiTheme="minorHAnsi"/>
          <w:b w:val="0"/>
          <w:color w:val="auto"/>
          <w:sz w:val="22"/>
          <w:szCs w:val="22"/>
        </w:rPr>
        <w:t xml:space="preserve"> </w:t>
      </w:r>
      <w:r>
        <w:rPr>
          <w:rFonts w:asciiTheme="minorHAnsi" w:hAnsiTheme="minorHAnsi"/>
          <w:b w:val="0"/>
          <w:color w:val="auto"/>
          <w:sz w:val="22"/>
          <w:szCs w:val="22"/>
        </w:rPr>
        <w:t>cells. L</w:t>
      </w:r>
      <w:r w:rsidRPr="001003FD">
        <w:rPr>
          <w:rFonts w:asciiTheme="minorHAnsi" w:hAnsiTheme="minorHAnsi"/>
          <w:b w:val="0"/>
          <w:color w:val="auto"/>
          <w:sz w:val="22"/>
          <w:szCs w:val="22"/>
        </w:rPr>
        <w:t xml:space="preserve">ower well contained </w:t>
      </w:r>
      <w:proofErr w:type="spellStart"/>
      <w:r w:rsidRPr="001003FD">
        <w:rPr>
          <w:rFonts w:asciiTheme="minorHAnsi" w:hAnsiTheme="minorHAnsi"/>
          <w:b w:val="0"/>
          <w:color w:val="auto"/>
          <w:sz w:val="22"/>
          <w:szCs w:val="22"/>
        </w:rPr>
        <w:t>PeiR</w:t>
      </w:r>
      <w:proofErr w:type="spellEnd"/>
      <w:r w:rsidRPr="001003FD">
        <w:rPr>
          <w:rFonts w:asciiTheme="minorHAnsi" w:hAnsiTheme="minorHAnsi"/>
          <w:b w:val="0"/>
          <w:color w:val="auto"/>
          <w:sz w:val="22"/>
          <w:szCs w:val="22"/>
        </w:rPr>
        <w:t xml:space="preserve"> free enzyme, the diameter of the clear zone is 21 mm. Upper well contained buffer (control). The</w:t>
      </w:r>
      <w:r>
        <w:rPr>
          <w:rFonts w:asciiTheme="minorHAnsi" w:hAnsiTheme="minorHAnsi"/>
          <w:b w:val="0"/>
          <w:color w:val="auto"/>
          <w:sz w:val="22"/>
          <w:szCs w:val="22"/>
        </w:rPr>
        <w:t xml:space="preserve"> diameter of the wells is 4 mm.</w:t>
      </w:r>
    </w:p>
    <w:p w:rsidR="00F25BC6" w:rsidRDefault="00F25BC6" w:rsidP="00F25BC6"/>
    <w:p w:rsidR="00F25BC6" w:rsidRDefault="00F25BC6" w:rsidP="00F25BC6">
      <w:r>
        <w:br w:type="page"/>
      </w:r>
    </w:p>
    <w:p w:rsidR="00F25BC6" w:rsidRDefault="00F25BC6" w:rsidP="00F25BC6"/>
    <w:p w:rsidR="00F25BC6" w:rsidRDefault="00F25BC6" w:rsidP="00F25BC6">
      <w:r>
        <w:rPr>
          <w:noProof/>
          <w:lang w:eastAsia="en-NZ"/>
        </w:rPr>
        <w:drawing>
          <wp:inline distT="0" distB="0" distL="0" distR="0" wp14:anchorId="522EF6F3" wp14:editId="6EC49B98">
            <wp:extent cx="5727700" cy="1751330"/>
            <wp:effectExtent l="0" t="0" r="6350" b="1270"/>
            <wp:docPr id="9" name="Picture 9" descr="D:\Paper\Nanobeads_PhaC_PeiR_2013\Figure_BRM9_nanobead_clu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per\Nanobeads_PhaC_PeiR_2013\Figure_BRM9_nanobead_clump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1751330"/>
                    </a:xfrm>
                    <a:prstGeom prst="rect">
                      <a:avLst/>
                    </a:prstGeom>
                    <a:noFill/>
                    <a:ln>
                      <a:noFill/>
                    </a:ln>
                  </pic:spPr>
                </pic:pic>
              </a:graphicData>
            </a:graphic>
          </wp:inline>
        </w:drawing>
      </w:r>
    </w:p>
    <w:p w:rsidR="00F25BC6" w:rsidRDefault="00F25BC6" w:rsidP="00F25BC6">
      <w:pPr>
        <w:pStyle w:val="Caption"/>
        <w:jc w:val="both"/>
        <w:rPr>
          <w:rFonts w:asciiTheme="minorHAnsi" w:hAnsiTheme="minorHAnsi"/>
          <w:b w:val="0"/>
          <w:color w:val="auto"/>
          <w:sz w:val="22"/>
          <w:szCs w:val="22"/>
        </w:rPr>
      </w:pPr>
      <w:bookmarkStart w:id="9" w:name="_Ref383431575"/>
      <w:r w:rsidRPr="004570D2">
        <w:rPr>
          <w:rFonts w:asciiTheme="minorHAnsi" w:hAnsiTheme="minorHAnsi"/>
          <w:color w:val="auto"/>
          <w:sz w:val="22"/>
          <w:szCs w:val="22"/>
        </w:rPr>
        <w:t xml:space="preserve">Supplemental Figure </w:t>
      </w:r>
      <w:r w:rsidRPr="004570D2">
        <w:rPr>
          <w:rFonts w:asciiTheme="minorHAnsi" w:hAnsiTheme="minorHAnsi"/>
          <w:color w:val="auto"/>
          <w:sz w:val="22"/>
          <w:szCs w:val="22"/>
        </w:rPr>
        <w:fldChar w:fldCharType="begin"/>
      </w:r>
      <w:r w:rsidRPr="004570D2">
        <w:rPr>
          <w:rFonts w:asciiTheme="minorHAnsi" w:hAnsiTheme="minorHAnsi"/>
          <w:color w:val="auto"/>
          <w:sz w:val="22"/>
          <w:szCs w:val="22"/>
        </w:rPr>
        <w:instrText xml:space="preserve"> SEQ Supplemental_Figure \* ARABIC </w:instrText>
      </w:r>
      <w:r w:rsidRPr="004570D2">
        <w:rPr>
          <w:rFonts w:asciiTheme="minorHAnsi" w:hAnsiTheme="minorHAnsi"/>
          <w:color w:val="auto"/>
          <w:sz w:val="22"/>
          <w:szCs w:val="22"/>
        </w:rPr>
        <w:fldChar w:fldCharType="separate"/>
      </w:r>
      <w:r>
        <w:rPr>
          <w:rFonts w:asciiTheme="minorHAnsi" w:hAnsiTheme="minorHAnsi"/>
          <w:noProof/>
          <w:color w:val="auto"/>
          <w:sz w:val="22"/>
          <w:szCs w:val="22"/>
        </w:rPr>
        <w:t>7</w:t>
      </w:r>
      <w:r w:rsidRPr="004570D2">
        <w:rPr>
          <w:rFonts w:asciiTheme="minorHAnsi" w:hAnsiTheme="minorHAnsi"/>
          <w:color w:val="auto"/>
          <w:sz w:val="22"/>
          <w:szCs w:val="22"/>
        </w:rPr>
        <w:fldChar w:fldCharType="end"/>
      </w:r>
      <w:bookmarkEnd w:id="9"/>
      <w:r w:rsidRPr="004570D2">
        <w:rPr>
          <w:rFonts w:asciiTheme="minorHAnsi" w:hAnsiTheme="minorHAnsi"/>
          <w:color w:val="auto"/>
          <w:sz w:val="22"/>
          <w:szCs w:val="22"/>
        </w:rPr>
        <w:t xml:space="preserve">: Effect of BRM9 on </w:t>
      </w:r>
      <w:r>
        <w:rPr>
          <w:rFonts w:asciiTheme="minorHAnsi" w:hAnsiTheme="minorHAnsi"/>
          <w:color w:val="auto"/>
          <w:sz w:val="22"/>
          <w:szCs w:val="22"/>
        </w:rPr>
        <w:t xml:space="preserve">(A) </w:t>
      </w:r>
      <w:proofErr w:type="spellStart"/>
      <w:r w:rsidRPr="004570D2">
        <w:rPr>
          <w:rFonts w:asciiTheme="minorHAnsi" w:hAnsiTheme="minorHAnsi"/>
          <w:color w:val="auto"/>
          <w:sz w:val="22"/>
          <w:szCs w:val="22"/>
        </w:rPr>
        <w:t>PhaC</w:t>
      </w:r>
      <w:proofErr w:type="spellEnd"/>
      <w:r w:rsidRPr="004570D2">
        <w:rPr>
          <w:rFonts w:asciiTheme="minorHAnsi" w:hAnsiTheme="minorHAnsi"/>
          <w:color w:val="auto"/>
          <w:sz w:val="22"/>
          <w:szCs w:val="22"/>
        </w:rPr>
        <w:t xml:space="preserve"> </w:t>
      </w:r>
      <w:r>
        <w:rPr>
          <w:rFonts w:asciiTheme="minorHAnsi" w:hAnsiTheme="minorHAnsi"/>
          <w:color w:val="auto"/>
          <w:sz w:val="22"/>
          <w:szCs w:val="22"/>
        </w:rPr>
        <w:t xml:space="preserve">and (B) </w:t>
      </w:r>
      <w:proofErr w:type="spellStart"/>
      <w:r>
        <w:rPr>
          <w:rFonts w:asciiTheme="minorHAnsi" w:hAnsiTheme="minorHAnsi"/>
          <w:color w:val="auto"/>
          <w:sz w:val="22"/>
          <w:szCs w:val="22"/>
        </w:rPr>
        <w:t>PhaC-PeiR</w:t>
      </w:r>
      <w:proofErr w:type="spellEnd"/>
      <w:r>
        <w:rPr>
          <w:rFonts w:asciiTheme="minorHAnsi" w:hAnsiTheme="minorHAnsi"/>
          <w:color w:val="auto"/>
          <w:sz w:val="22"/>
          <w:szCs w:val="22"/>
        </w:rPr>
        <w:t xml:space="preserve"> BNPs</w:t>
      </w:r>
      <w:r w:rsidRPr="004570D2">
        <w:rPr>
          <w:rFonts w:asciiTheme="minorHAnsi" w:hAnsiTheme="minorHAnsi"/>
          <w:color w:val="auto"/>
          <w:sz w:val="22"/>
          <w:szCs w:val="22"/>
        </w:rPr>
        <w:t xml:space="preserve">. </w:t>
      </w:r>
      <w:r>
        <w:rPr>
          <w:rFonts w:asciiTheme="minorHAnsi" w:hAnsiTheme="minorHAnsi"/>
          <w:b w:val="0"/>
          <w:color w:val="auto"/>
          <w:sz w:val="22"/>
          <w:szCs w:val="22"/>
        </w:rPr>
        <w:t>BNPs</w:t>
      </w:r>
      <w:r w:rsidRPr="00B55205">
        <w:rPr>
          <w:rFonts w:asciiTheme="minorHAnsi" w:hAnsiTheme="minorHAnsi"/>
          <w:b w:val="0"/>
          <w:color w:val="auto"/>
          <w:sz w:val="22"/>
          <w:szCs w:val="22"/>
        </w:rPr>
        <w:t xml:space="preserve"> form large clusters that are not associated with individual cells, although many clusters take on shapes resembling that of BRM9 cells, albeit larger in diameter.</w:t>
      </w:r>
      <w:r>
        <w:rPr>
          <w:rFonts w:asciiTheme="minorHAnsi" w:hAnsiTheme="minorHAnsi"/>
          <w:b w:val="0"/>
          <w:color w:val="auto"/>
          <w:sz w:val="22"/>
          <w:szCs w:val="22"/>
        </w:rPr>
        <w:t xml:space="preserve"> This effect appeared to be unique to BRM9; no other tested methanogen strain resulted in aggregate formation of </w:t>
      </w:r>
      <w:proofErr w:type="spellStart"/>
      <w:r>
        <w:rPr>
          <w:rFonts w:asciiTheme="minorHAnsi" w:hAnsiTheme="minorHAnsi"/>
          <w:b w:val="0"/>
          <w:color w:val="auto"/>
          <w:sz w:val="22"/>
          <w:szCs w:val="22"/>
        </w:rPr>
        <w:t>PhaC</w:t>
      </w:r>
      <w:proofErr w:type="spellEnd"/>
      <w:r>
        <w:rPr>
          <w:rFonts w:asciiTheme="minorHAnsi" w:hAnsiTheme="minorHAnsi"/>
          <w:b w:val="0"/>
          <w:color w:val="auto"/>
          <w:sz w:val="22"/>
          <w:szCs w:val="22"/>
        </w:rPr>
        <w:t xml:space="preserve"> BNPs.</w:t>
      </w:r>
      <w:r w:rsidRPr="00B55205">
        <w:rPr>
          <w:rFonts w:asciiTheme="minorHAnsi" w:hAnsiTheme="minorHAnsi"/>
          <w:b w:val="0"/>
          <w:color w:val="auto"/>
          <w:sz w:val="22"/>
          <w:szCs w:val="22"/>
        </w:rPr>
        <w:t xml:space="preserve"> BRM9</w:t>
      </w:r>
      <w:r w:rsidRPr="00CA4F74">
        <w:rPr>
          <w:rFonts w:asciiTheme="minorHAnsi" w:hAnsiTheme="minorHAnsi"/>
          <w:b w:val="0"/>
          <w:color w:val="auto"/>
          <w:sz w:val="22"/>
          <w:szCs w:val="22"/>
        </w:rPr>
        <w:t xml:space="preserve"> cells are shown in </w:t>
      </w:r>
      <w:r>
        <w:rPr>
          <w:rFonts w:asciiTheme="minorHAnsi" w:hAnsiTheme="minorHAnsi"/>
          <w:b w:val="0"/>
          <w:color w:val="auto"/>
          <w:sz w:val="22"/>
          <w:szCs w:val="22"/>
        </w:rPr>
        <w:t xml:space="preserve">blue and Nile Red-loaded </w:t>
      </w:r>
      <w:proofErr w:type="spellStart"/>
      <w:r>
        <w:rPr>
          <w:rFonts w:asciiTheme="minorHAnsi" w:hAnsiTheme="minorHAnsi"/>
          <w:b w:val="0"/>
          <w:color w:val="auto"/>
          <w:sz w:val="22"/>
          <w:szCs w:val="22"/>
        </w:rPr>
        <w:t>PhaC</w:t>
      </w:r>
      <w:proofErr w:type="spellEnd"/>
      <w:r>
        <w:rPr>
          <w:rFonts w:asciiTheme="minorHAnsi" w:hAnsiTheme="minorHAnsi"/>
          <w:b w:val="0"/>
          <w:color w:val="auto"/>
          <w:sz w:val="22"/>
          <w:szCs w:val="22"/>
        </w:rPr>
        <w:t xml:space="preserve"> BNPs</w:t>
      </w:r>
      <w:r w:rsidRPr="00CA4F74">
        <w:rPr>
          <w:rFonts w:asciiTheme="minorHAnsi" w:hAnsiTheme="minorHAnsi"/>
          <w:b w:val="0"/>
          <w:color w:val="auto"/>
          <w:sz w:val="22"/>
          <w:szCs w:val="22"/>
        </w:rPr>
        <w:t xml:space="preserve"> appear in </w:t>
      </w:r>
      <w:r w:rsidRPr="004570D2">
        <w:rPr>
          <w:rFonts w:asciiTheme="minorHAnsi" w:hAnsiTheme="minorHAnsi"/>
          <w:b w:val="0"/>
          <w:color w:val="auto"/>
          <w:sz w:val="22"/>
          <w:szCs w:val="22"/>
        </w:rPr>
        <w:t>orange</w:t>
      </w:r>
      <w:r>
        <w:rPr>
          <w:rFonts w:asciiTheme="minorHAnsi" w:hAnsiTheme="minorHAnsi"/>
          <w:b w:val="0"/>
          <w:color w:val="auto"/>
          <w:sz w:val="22"/>
          <w:szCs w:val="22"/>
        </w:rPr>
        <w:t>.</w:t>
      </w:r>
      <w:r w:rsidRPr="004570D2">
        <w:rPr>
          <w:color w:val="auto"/>
        </w:rPr>
        <w:t xml:space="preserve"> </w:t>
      </w:r>
      <w:r>
        <w:rPr>
          <w:rFonts w:asciiTheme="minorHAnsi" w:hAnsiTheme="minorHAnsi"/>
          <w:b w:val="0"/>
          <w:color w:val="auto"/>
          <w:sz w:val="22"/>
          <w:szCs w:val="22"/>
        </w:rPr>
        <w:t>The auto-</w:t>
      </w:r>
      <w:r w:rsidRPr="001664EE">
        <w:rPr>
          <w:rFonts w:asciiTheme="minorHAnsi" w:hAnsiTheme="minorHAnsi"/>
          <w:b w:val="0"/>
          <w:color w:val="auto"/>
          <w:sz w:val="22"/>
          <w:szCs w:val="22"/>
        </w:rPr>
        <w:t>fluorescence of</w:t>
      </w:r>
      <w:r w:rsidRPr="001664EE">
        <w:rPr>
          <w:rFonts w:asciiTheme="minorHAnsi" w:hAnsiTheme="minorHAnsi"/>
          <w:color w:val="auto"/>
          <w:sz w:val="22"/>
          <w:szCs w:val="22"/>
        </w:rPr>
        <w:t xml:space="preserve"> </w:t>
      </w:r>
      <w:r w:rsidRPr="00C45D22">
        <w:rPr>
          <w:rFonts w:asciiTheme="minorHAnsi" w:hAnsiTheme="minorHAnsi"/>
          <w:b w:val="0"/>
          <w:color w:val="auto"/>
          <w:sz w:val="22"/>
          <w:szCs w:val="22"/>
        </w:rPr>
        <w:t>BRM9</w:t>
      </w:r>
      <w:r>
        <w:rPr>
          <w:rFonts w:asciiTheme="minorHAnsi" w:hAnsiTheme="minorHAnsi"/>
          <w:b w:val="0"/>
          <w:i/>
          <w:color w:val="auto"/>
          <w:sz w:val="22"/>
          <w:szCs w:val="22"/>
        </w:rPr>
        <w:t xml:space="preserve"> </w:t>
      </w:r>
      <w:r w:rsidRPr="00C45D22">
        <w:rPr>
          <w:rFonts w:asciiTheme="minorHAnsi" w:hAnsiTheme="minorHAnsi"/>
          <w:b w:val="0"/>
          <w:color w:val="auto"/>
          <w:sz w:val="22"/>
          <w:szCs w:val="22"/>
        </w:rPr>
        <w:t>cells</w:t>
      </w:r>
      <w:r>
        <w:rPr>
          <w:rFonts w:asciiTheme="minorHAnsi" w:hAnsiTheme="minorHAnsi"/>
          <w:b w:val="0"/>
          <w:color w:val="auto"/>
          <w:sz w:val="22"/>
          <w:szCs w:val="22"/>
        </w:rPr>
        <w:t xml:space="preserve"> appears very faint due to the strong fluorescence of Nile Red stained BNPs.</w:t>
      </w:r>
    </w:p>
    <w:p w:rsidR="00F25BC6" w:rsidRDefault="00F25BC6" w:rsidP="00F25BC6">
      <w:pPr>
        <w:rPr>
          <w:lang w:val="en-GB" w:eastAsia="en-GB"/>
        </w:rPr>
      </w:pPr>
    </w:p>
    <w:p w:rsidR="00F25BC6" w:rsidRDefault="00F25BC6" w:rsidP="00F25BC6">
      <w:pPr>
        <w:rPr>
          <w:lang w:val="en-GB" w:eastAsia="en-GB"/>
        </w:rPr>
      </w:pPr>
    </w:p>
    <w:p w:rsidR="00F25BC6" w:rsidRPr="00C45D22" w:rsidRDefault="00F25BC6" w:rsidP="00F25BC6">
      <w:pPr>
        <w:rPr>
          <w:rFonts w:ascii="Arial" w:eastAsia="Times New Roman" w:hAnsi="Arial" w:cs="Times New Roman"/>
          <w:b/>
          <w:bCs/>
          <w:sz w:val="18"/>
          <w:szCs w:val="18"/>
          <w:lang w:val="en-GB" w:eastAsia="en-GB"/>
        </w:rPr>
      </w:pPr>
      <w:r>
        <w:br w:type="page"/>
      </w:r>
    </w:p>
    <w:p w:rsidR="00F25BC6" w:rsidRPr="001C36BB" w:rsidRDefault="00F25BC6" w:rsidP="00F25BC6">
      <w:pPr>
        <w:jc w:val="center"/>
        <w:rPr>
          <w:b/>
        </w:rPr>
      </w:pPr>
      <w:r w:rsidRPr="001C36BB">
        <w:rPr>
          <w:b/>
        </w:rPr>
        <w:lastRenderedPageBreak/>
        <w:t>Supplemental Text</w:t>
      </w:r>
    </w:p>
    <w:p w:rsidR="00F25BC6" w:rsidRDefault="00F25BC6" w:rsidP="00F25BC6">
      <w:pPr>
        <w:rPr>
          <w:b/>
        </w:rPr>
      </w:pPr>
    </w:p>
    <w:p w:rsidR="00F25BC6" w:rsidRPr="005738A5" w:rsidRDefault="00F25BC6" w:rsidP="00F25BC6">
      <w:pPr>
        <w:pStyle w:val="Caption"/>
        <w:rPr>
          <w:rFonts w:asciiTheme="minorHAnsi" w:hAnsiTheme="minorHAnsi"/>
          <w:color w:val="auto"/>
          <w:sz w:val="22"/>
          <w:szCs w:val="22"/>
        </w:rPr>
      </w:pPr>
      <w:bookmarkStart w:id="10" w:name="_Ref383430038"/>
      <w:r w:rsidRPr="00401AE1">
        <w:rPr>
          <w:rFonts w:asciiTheme="minorHAnsi" w:hAnsiTheme="minorHAnsi"/>
          <w:color w:val="auto"/>
          <w:sz w:val="22"/>
          <w:szCs w:val="22"/>
        </w:rPr>
        <w:t xml:space="preserve">Supplemental Text </w:t>
      </w:r>
      <w:r w:rsidRPr="00401AE1">
        <w:rPr>
          <w:rFonts w:asciiTheme="minorHAnsi" w:hAnsiTheme="minorHAnsi"/>
          <w:color w:val="auto"/>
          <w:sz w:val="22"/>
          <w:szCs w:val="22"/>
        </w:rPr>
        <w:fldChar w:fldCharType="begin"/>
      </w:r>
      <w:r w:rsidRPr="00401AE1">
        <w:rPr>
          <w:rFonts w:asciiTheme="minorHAnsi" w:hAnsiTheme="minorHAnsi"/>
          <w:color w:val="auto"/>
          <w:sz w:val="22"/>
          <w:szCs w:val="22"/>
        </w:rPr>
        <w:instrText xml:space="preserve"> SEQ Supplemental_Text \* ARABIC </w:instrText>
      </w:r>
      <w:r w:rsidRPr="00401AE1">
        <w:rPr>
          <w:rFonts w:asciiTheme="minorHAnsi" w:hAnsiTheme="minorHAnsi"/>
          <w:color w:val="auto"/>
          <w:sz w:val="22"/>
          <w:szCs w:val="22"/>
        </w:rPr>
        <w:fldChar w:fldCharType="separate"/>
      </w:r>
      <w:r>
        <w:rPr>
          <w:rFonts w:asciiTheme="minorHAnsi" w:hAnsiTheme="minorHAnsi"/>
          <w:noProof/>
          <w:color w:val="auto"/>
          <w:sz w:val="22"/>
          <w:szCs w:val="22"/>
        </w:rPr>
        <w:t>1</w:t>
      </w:r>
      <w:r w:rsidRPr="00401AE1">
        <w:rPr>
          <w:rFonts w:asciiTheme="minorHAnsi" w:hAnsiTheme="minorHAnsi"/>
          <w:color w:val="auto"/>
          <w:sz w:val="22"/>
          <w:szCs w:val="22"/>
        </w:rPr>
        <w:fldChar w:fldCharType="end"/>
      </w:r>
      <w:bookmarkEnd w:id="10"/>
      <w:r w:rsidRPr="00401AE1">
        <w:rPr>
          <w:rFonts w:asciiTheme="minorHAnsi" w:hAnsiTheme="minorHAnsi"/>
          <w:color w:val="auto"/>
          <w:sz w:val="22"/>
          <w:szCs w:val="22"/>
        </w:rPr>
        <w:t xml:space="preserve">: </w:t>
      </w:r>
      <w:r w:rsidRPr="005738A5">
        <w:rPr>
          <w:rFonts w:asciiTheme="minorHAnsi" w:hAnsiTheme="minorHAnsi"/>
          <w:color w:val="auto"/>
          <w:sz w:val="22"/>
          <w:szCs w:val="22"/>
        </w:rPr>
        <w:t xml:space="preserve">Detailed Analysis of </w:t>
      </w:r>
      <w:proofErr w:type="spellStart"/>
      <w:r w:rsidRPr="005738A5">
        <w:rPr>
          <w:rFonts w:asciiTheme="minorHAnsi" w:hAnsiTheme="minorHAnsi"/>
          <w:color w:val="auto"/>
          <w:sz w:val="22"/>
          <w:szCs w:val="22"/>
        </w:rPr>
        <w:t>PhaC-PeiR</w:t>
      </w:r>
      <w:proofErr w:type="spellEnd"/>
      <w:r w:rsidRPr="005738A5">
        <w:rPr>
          <w:rFonts w:asciiTheme="minorHAnsi" w:hAnsiTheme="minorHAnsi"/>
          <w:color w:val="auto"/>
          <w:sz w:val="22"/>
          <w:szCs w:val="22"/>
        </w:rPr>
        <w:t xml:space="preserve"> activity against rumen methanogens</w:t>
      </w:r>
    </w:p>
    <w:p w:rsidR="00F25BC6" w:rsidRDefault="00F25BC6" w:rsidP="00F25BC6">
      <w:pPr>
        <w:jc w:val="both"/>
        <w:rPr>
          <w:rStyle w:val="Emphasis"/>
          <w:i w:val="0"/>
        </w:rPr>
      </w:pPr>
      <w:proofErr w:type="spellStart"/>
      <w:r>
        <w:rPr>
          <w:rStyle w:val="Emphasis"/>
        </w:rPr>
        <w:t>Methanobrevibacter</w:t>
      </w:r>
      <w:proofErr w:type="spellEnd"/>
      <w:r>
        <w:rPr>
          <w:rStyle w:val="Emphasis"/>
        </w:rPr>
        <w:t xml:space="preserve"> </w:t>
      </w:r>
      <w:r w:rsidRPr="00976388">
        <w:rPr>
          <w:rStyle w:val="Emphasis"/>
          <w:i w:val="0"/>
        </w:rPr>
        <w:t>sp.</w:t>
      </w:r>
      <w:r>
        <w:rPr>
          <w:rStyle w:val="st"/>
        </w:rPr>
        <w:t xml:space="preserve"> </w:t>
      </w:r>
      <w:r>
        <w:rPr>
          <w:rStyle w:val="Emphasis"/>
          <w:i w:val="0"/>
        </w:rPr>
        <w:t xml:space="preserve">229/11 was isolated from a lamb rumen in New Zealand </w:t>
      </w:r>
      <w:r>
        <w:rPr>
          <w:rStyle w:val="Emphasis"/>
          <w:i w:val="0"/>
        </w:rPr>
        <w:fldChar w:fldCharType="begin"/>
      </w:r>
      <w:r>
        <w:rPr>
          <w:rStyle w:val="Emphasis"/>
          <w:i w:val="0"/>
        </w:rPr>
        <w:instrText xml:space="preserve"> ADDIN EN.CITE &lt;EndNote&gt;&lt;Cite&gt;&lt;Author&gt;Kelly&lt;/Author&gt;&lt;Year&gt;2016&lt;/Year&gt;&lt;RecNum&gt;2041&lt;/RecNum&gt;&lt;DisplayText&gt;(Kelly et al., 2016a)&lt;/DisplayText&gt;&lt;record&gt;&lt;rec-number&gt;2041&lt;/rec-number&gt;&lt;foreign-keys&gt;&lt;key app="EN" db-id="st25zarab5559pef0zlpfwx9s9dvaffrpzr2"&gt;2041&lt;/key&gt;&lt;/foreign-keys&gt;&lt;ref-type name="Journal Article"&gt;17&lt;/ref-type&gt;&lt;contributors&gt;&lt;authors&gt;&lt;author&gt;Kelly, W. J.&lt;/author&gt;&lt;author&gt;Li, D.&lt;/author&gt;&lt;author&gt;Lambie, S. C.&lt;/author&gt;&lt;author&gt;Cox, F.&lt;/author&gt;&lt;author&gt;Attwood, G. T.&lt;/author&gt;&lt;author&gt;Altermann, E.&lt;/author&gt;&lt;author&gt;Leahy, S. C.&lt;/author&gt;&lt;/authors&gt;&lt;/contributors&gt;&lt;auth-address&gt;AgResearch Limited, Grasslands Research Centre, Palmerston North, New Zealand.&amp;#xD;AgResearch Limited, Grasslands Research Centre, Palmerston North, New Zealand Sinead.leahy@agresearch.co.nz.&lt;/auth-address&gt;&lt;titles&gt;&lt;title&gt;Draft Genome Sequence of the Rumen Methanogen Methanobrevibacter olleyae YLM1&lt;/title&gt;&lt;secondary-title&gt;Genome Announc&lt;/secondary-title&gt;&lt;alt-title&gt;Genome announcements&lt;/alt-title&gt;&lt;/titles&gt;&lt;periodical&gt;&lt;full-title&gt;Genome Announc&lt;/full-title&gt;&lt;/periodical&gt;&lt;alt-periodical&gt;&lt;full-title&gt;Genome Announcements&lt;/full-title&gt;&lt;/alt-periodical&gt;&lt;volume&gt;4&lt;/volume&gt;&lt;number&gt;2&lt;/number&gt;&lt;edition&gt;2016/04/09&lt;/edition&gt;&lt;dates&gt;&lt;year&gt;2016&lt;/year&gt;&lt;/dates&gt;&lt;isbn&gt;2169-8287 (Electronic)&lt;/isbn&gt;&lt;accession-num&gt;27056228&lt;/accession-num&gt;&lt;urls&gt;&lt;related-urls&gt;&lt;url&gt;http://www.ncbi.nlm.nih.gov/pubmed/27056228&lt;/url&gt;&lt;/related-urls&gt;&lt;/urls&gt;&lt;custom2&gt;4824261&lt;/custom2&gt;&lt;electronic-resource-num&gt;10.1128/genomeA.00232-16&lt;/electronic-resource-num&gt;&lt;language&gt;eng&lt;/language&gt;&lt;/record&gt;&lt;/Cite&gt;&lt;/EndNote&gt;</w:instrText>
      </w:r>
      <w:r>
        <w:rPr>
          <w:rStyle w:val="Emphasis"/>
          <w:i w:val="0"/>
        </w:rPr>
        <w:fldChar w:fldCharType="separate"/>
      </w:r>
      <w:r>
        <w:rPr>
          <w:rStyle w:val="Emphasis"/>
          <w:i w:val="0"/>
          <w:noProof/>
        </w:rPr>
        <w:t>(</w:t>
      </w:r>
      <w:hyperlink w:anchor="_ENREF_27" w:tooltip="Kelly, 2016 #2041" w:history="1">
        <w:r>
          <w:rPr>
            <w:rStyle w:val="Emphasis"/>
            <w:i w:val="0"/>
            <w:noProof/>
          </w:rPr>
          <w:t>Kelly et al., 2016a</w:t>
        </w:r>
      </w:hyperlink>
      <w:r>
        <w:rPr>
          <w:rStyle w:val="Emphasis"/>
          <w:i w:val="0"/>
          <w:noProof/>
        </w:rPr>
        <w:t>)</w:t>
      </w:r>
      <w:r>
        <w:rPr>
          <w:rStyle w:val="Emphasis"/>
          <w:i w:val="0"/>
        </w:rPr>
        <w:fldChar w:fldCharType="end"/>
      </w:r>
      <w:r>
        <w:rPr>
          <w:rStyle w:val="Emphasis"/>
          <w:i w:val="0"/>
        </w:rPr>
        <w:t xml:space="preserve">. Based on 16S rRNA gene sequence analysis, </w:t>
      </w:r>
      <w:proofErr w:type="spellStart"/>
      <w:r w:rsidRPr="00B97D7F">
        <w:rPr>
          <w:rStyle w:val="Emphasis"/>
        </w:rPr>
        <w:t>Methanobrevibacter</w:t>
      </w:r>
      <w:proofErr w:type="spellEnd"/>
      <w:r w:rsidRPr="00B97D7F">
        <w:rPr>
          <w:rStyle w:val="Emphasis"/>
        </w:rPr>
        <w:t xml:space="preserve"> </w:t>
      </w:r>
      <w:proofErr w:type="spellStart"/>
      <w:r w:rsidRPr="00B97D7F">
        <w:rPr>
          <w:rStyle w:val="Emphasis"/>
        </w:rPr>
        <w:t>olleyae</w:t>
      </w:r>
      <w:proofErr w:type="spellEnd"/>
      <w:r>
        <w:rPr>
          <w:rStyle w:val="Emphasis"/>
          <w:i w:val="0"/>
        </w:rPr>
        <w:t xml:space="preserve"> was found to be the closest type strain. Strain 229/11 falls into the same clade as M1, albeit forming a separate cluster. 229/11 features a pseudomurein containing cell wall, </w:t>
      </w:r>
      <w:proofErr w:type="gramStart"/>
      <w:r>
        <w:rPr>
          <w:rStyle w:val="Emphasis"/>
          <w:i w:val="0"/>
        </w:rPr>
        <w:t>similar to</w:t>
      </w:r>
      <w:proofErr w:type="gramEnd"/>
      <w:r>
        <w:rPr>
          <w:rStyle w:val="Emphasis"/>
          <w:i w:val="0"/>
        </w:rPr>
        <w:t xml:space="preserve"> that of M1. The addition of </w:t>
      </w:r>
      <w:proofErr w:type="spellStart"/>
      <w:r>
        <w:rPr>
          <w:rStyle w:val="Emphasis"/>
          <w:i w:val="0"/>
        </w:rPr>
        <w:t>PhaC</w:t>
      </w:r>
      <w:proofErr w:type="spellEnd"/>
      <w:r>
        <w:rPr>
          <w:rStyle w:val="Emphasis"/>
          <w:i w:val="0"/>
        </w:rPr>
        <w:t xml:space="preserve"> control BNPs to a growing culture of strain 229/11 led to a marked increase in optical density above the level observed for growth of 229/11 alone. Significant differences in optical densities between 229/11 and 229/11 plus </w:t>
      </w:r>
      <w:proofErr w:type="spellStart"/>
      <w:r>
        <w:rPr>
          <w:rStyle w:val="Emphasis"/>
          <w:i w:val="0"/>
        </w:rPr>
        <w:t>PhaC</w:t>
      </w:r>
      <w:proofErr w:type="spellEnd"/>
      <w:r>
        <w:rPr>
          <w:rStyle w:val="Emphasis"/>
          <w:i w:val="0"/>
        </w:rPr>
        <w:t xml:space="preserve"> cultures were found for days 3 and 4 (P&lt;0.05), with 229/11 plus </w:t>
      </w:r>
      <w:proofErr w:type="spellStart"/>
      <w:r>
        <w:rPr>
          <w:rStyle w:val="Emphasis"/>
          <w:i w:val="0"/>
        </w:rPr>
        <w:t>PhaC</w:t>
      </w:r>
      <w:proofErr w:type="spellEnd"/>
      <w:r>
        <w:rPr>
          <w:rStyle w:val="Emphasis"/>
          <w:i w:val="0"/>
        </w:rPr>
        <w:t xml:space="preserve"> reaching a final optical density twice as high as 229/11 alone. In contrast, the presence of </w:t>
      </w:r>
      <w:proofErr w:type="spellStart"/>
      <w:r>
        <w:rPr>
          <w:rStyle w:val="Emphasis"/>
          <w:i w:val="0"/>
        </w:rPr>
        <w:t>PhaC-PeiR</w:t>
      </w:r>
      <w:proofErr w:type="spellEnd"/>
      <w:r>
        <w:rPr>
          <w:rStyle w:val="Emphasis"/>
          <w:i w:val="0"/>
        </w:rPr>
        <w:t xml:space="preserve"> BNPs caused a marked drop in culture optical density that remained stable over 72 hours until the end of the assay</w:t>
      </w:r>
      <w:r w:rsidRPr="006C31B2">
        <w:rPr>
          <w:rStyle w:val="Emphasis"/>
          <w:i w:val="0"/>
        </w:rPr>
        <w:t xml:space="preserve"> </w:t>
      </w:r>
      <w:r>
        <w:rPr>
          <w:rStyle w:val="Emphasis"/>
          <w:i w:val="0"/>
        </w:rPr>
        <w:t>(</w:t>
      </w:r>
      <w:r w:rsidR="001161F5">
        <w:rPr>
          <w:rStyle w:val="Emphasis"/>
          <w:i w:val="0"/>
        </w:rPr>
        <w:t>Figure 5 A</w:t>
      </w:r>
      <w:r>
        <w:rPr>
          <w:rStyle w:val="Emphasis"/>
          <w:i w:val="0"/>
        </w:rPr>
        <w:t xml:space="preserve">). Significant differences in optical densities between 229/11 plus </w:t>
      </w:r>
      <w:proofErr w:type="spellStart"/>
      <w:r>
        <w:rPr>
          <w:rStyle w:val="Emphasis"/>
          <w:i w:val="0"/>
        </w:rPr>
        <w:t>PhaC-PeiR</w:t>
      </w:r>
      <w:proofErr w:type="spellEnd"/>
      <w:r>
        <w:rPr>
          <w:rStyle w:val="Emphasis"/>
          <w:i w:val="0"/>
        </w:rPr>
        <w:t xml:space="preserve"> beads and 229/11 or 229/11 plus </w:t>
      </w:r>
      <w:proofErr w:type="spellStart"/>
      <w:r>
        <w:rPr>
          <w:rStyle w:val="Emphasis"/>
          <w:i w:val="0"/>
        </w:rPr>
        <w:t>PhaC</w:t>
      </w:r>
      <w:proofErr w:type="spellEnd"/>
      <w:r>
        <w:rPr>
          <w:rStyle w:val="Emphasis"/>
          <w:i w:val="0"/>
        </w:rPr>
        <w:t xml:space="preserve"> and were found at days 2, 3, and 4 (P&lt;0.05). In parallel, the production of methane by 229/11 was measured over the course of four days. Methane production reached detectable quantities in the 229/11 control 48 hours after inoculation and then dropped to 0.148 and 0.17 ml (64% and 58% reduction from day 2) of methane on days 3 and 4, respectively. Although the optical densities of 229/11 plus </w:t>
      </w:r>
      <w:proofErr w:type="spellStart"/>
      <w:r>
        <w:rPr>
          <w:rStyle w:val="Emphasis"/>
          <w:i w:val="0"/>
        </w:rPr>
        <w:t>PhaC</w:t>
      </w:r>
      <w:proofErr w:type="spellEnd"/>
      <w:r>
        <w:rPr>
          <w:rStyle w:val="Emphasis"/>
          <w:i w:val="0"/>
        </w:rPr>
        <w:t xml:space="preserve"> increased steadily compared to 229/11, methane production remained at the same level over the 3 days where methane was detected (</w:t>
      </w:r>
      <w:r w:rsidRPr="00DD5377">
        <w:rPr>
          <w:rStyle w:val="Emphasis"/>
          <w:i w:val="0"/>
        </w:rPr>
        <w:t>P=0.421</w:t>
      </w:r>
      <w:r>
        <w:rPr>
          <w:rStyle w:val="Emphasis"/>
          <w:i w:val="0"/>
        </w:rPr>
        <w:t xml:space="preserve">). Treatment of 229/11 with </w:t>
      </w:r>
      <w:proofErr w:type="spellStart"/>
      <w:r>
        <w:rPr>
          <w:rStyle w:val="Emphasis"/>
          <w:i w:val="0"/>
        </w:rPr>
        <w:t>PhaC-PeiR</w:t>
      </w:r>
      <w:proofErr w:type="spellEnd"/>
      <w:r>
        <w:rPr>
          <w:rStyle w:val="Emphasis"/>
          <w:i w:val="0"/>
        </w:rPr>
        <w:t xml:space="preserve"> BNPs led to a significant reduction in methane (P&lt;0.05). On day 2, methane production was reduced by 97% and 95% compared to control and </w:t>
      </w:r>
      <w:proofErr w:type="spellStart"/>
      <w:r>
        <w:rPr>
          <w:rStyle w:val="Emphasis"/>
          <w:i w:val="0"/>
        </w:rPr>
        <w:t>PhaC</w:t>
      </w:r>
      <w:proofErr w:type="spellEnd"/>
      <w:r>
        <w:rPr>
          <w:rStyle w:val="Emphasis"/>
          <w:i w:val="0"/>
        </w:rPr>
        <w:t xml:space="preserve"> treatment. Over the next 48 hours, methane production gradually increased to 0.078 ml, which represents a reduction of 57% and 73% for control and </w:t>
      </w:r>
      <w:proofErr w:type="spellStart"/>
      <w:r>
        <w:rPr>
          <w:rStyle w:val="Emphasis"/>
          <w:i w:val="0"/>
        </w:rPr>
        <w:t>PhaC</w:t>
      </w:r>
      <w:proofErr w:type="spellEnd"/>
      <w:r>
        <w:rPr>
          <w:rStyle w:val="Emphasis"/>
          <w:i w:val="0"/>
        </w:rPr>
        <w:t xml:space="preserve"> treatment, respectively. Both the drop in optical density and the reduction of methane are comparable to the effects seen in M1, indicating that </w:t>
      </w:r>
      <w:proofErr w:type="spellStart"/>
      <w:r>
        <w:rPr>
          <w:rStyle w:val="Emphasis"/>
          <w:i w:val="0"/>
        </w:rPr>
        <w:t>PhaC-PeiR</w:t>
      </w:r>
      <w:proofErr w:type="spellEnd"/>
      <w:r>
        <w:rPr>
          <w:rStyle w:val="Emphasis"/>
          <w:i w:val="0"/>
        </w:rPr>
        <w:t xml:space="preserve"> BNPs are similarly effective against both methanogen strains.</w:t>
      </w:r>
    </w:p>
    <w:p w:rsidR="00F25BC6" w:rsidRDefault="00F25BC6" w:rsidP="00F25BC6">
      <w:pPr>
        <w:jc w:val="both"/>
      </w:pPr>
      <w:r>
        <w:t xml:space="preserve">The New Zealand isolate </w:t>
      </w:r>
      <w:proofErr w:type="spellStart"/>
      <w:r w:rsidRPr="0063442D">
        <w:rPr>
          <w:i/>
        </w:rPr>
        <w:t>Methanobrevibacter</w:t>
      </w:r>
      <w:proofErr w:type="spellEnd"/>
      <w:r>
        <w:t xml:space="preserve"> sp. AbM4 originated from a sheep abomasum and 16S rRNA sequence analysis found the closest type strain to be </w:t>
      </w:r>
      <w:proofErr w:type="spellStart"/>
      <w:r w:rsidRPr="008773A8">
        <w:rPr>
          <w:i/>
        </w:rPr>
        <w:t>Methanobrevibacter</w:t>
      </w:r>
      <w:proofErr w:type="spellEnd"/>
      <w:r w:rsidRPr="008773A8">
        <w:rPr>
          <w:i/>
        </w:rPr>
        <w:t xml:space="preserve"> </w:t>
      </w:r>
      <w:proofErr w:type="spellStart"/>
      <w:r w:rsidRPr="008773A8">
        <w:rPr>
          <w:i/>
        </w:rPr>
        <w:t>wolini</w:t>
      </w:r>
      <w:r>
        <w:rPr>
          <w:i/>
        </w:rPr>
        <w:t>i</w:t>
      </w:r>
      <w:proofErr w:type="spellEnd"/>
      <w:r w:rsidRPr="00045939">
        <w:t xml:space="preserve"> </w:t>
      </w:r>
      <w:r>
        <w:rPr>
          <w:i/>
        </w:rPr>
        <w:fldChar w:fldCharType="begin"/>
      </w:r>
      <w:r>
        <w:rPr>
          <w:i/>
        </w:rPr>
        <w:instrText xml:space="preserve"> ADDIN EN.CITE &lt;EndNote&gt;&lt;Cite&gt;&lt;Author&gt;Leahy&lt;/Author&gt;&lt;Year&gt;2013&lt;/Year&gt;&lt;RecNum&gt;1263&lt;/RecNum&gt;&lt;DisplayText&gt;(Leahy et al., 2013)&lt;/DisplayText&gt;&lt;record&gt;&lt;rec-number&gt;1263&lt;/rec-number&gt;&lt;foreign-keys&gt;&lt;key app="EN" db-id="st25zarab5559pef0zlpfwx9s9dvaffrpzr2"&gt;1263&lt;/key&gt;&lt;/foreign-keys&gt;&lt;ref-type name="Journal Article"&gt;17&lt;/ref-type&gt;&lt;contributors&gt;&lt;authors&gt;&lt;author&gt;Leahy, S. C.&lt;/author&gt;&lt;author&gt;Kelly, W. J.&lt;/author&gt;&lt;author&gt;Li, D.&lt;/author&gt;&lt;author&gt;Li, Y.&lt;/author&gt;&lt;author&gt;Altermann, E.&lt;/author&gt;&lt;author&gt;Lambie, S. C.&lt;/author&gt;&lt;author&gt;Cox, F.&lt;/author&gt;&lt;author&gt;Attwood, G. T.&lt;/author&gt;&lt;/authors&gt;&lt;/contributors&gt;&lt;auth-address&gt;New Zealand Agricultural Greenhouse Gas Research Centre ; Rumen Microbiology, Animal Nutrition and Health, AgResearch Limited, Grasslands Research Centre, New Zealand.&lt;/auth-address&gt;&lt;titles&gt;&lt;title&gt;&lt;style face="normal" font="default" size="100%"&gt;The complete genome sequence of &lt;/style&gt;&lt;style face="italic" font="default" size="100%"&gt;Methanobrevibacter &lt;/style&gt;&lt;style face="normal" font="default" size="100%"&gt;sp. AbM4&lt;/style&gt;&lt;/title&gt;&lt;secondary-title&gt;Stand Genomic Sci&lt;/secondary-title&gt;&lt;/titles&gt;&lt;periodical&gt;&lt;full-title&gt;Stand Genomic Sci&lt;/full-title&gt;&lt;/periodical&gt;&lt;pages&gt;215-27&lt;/pages&gt;&lt;volume&gt;8&lt;/volume&gt;&lt;number&gt;2&lt;/number&gt;&lt;edition&gt;2013/08/31&lt;/edition&gt;&lt;dates&gt;&lt;year&gt;2013&lt;/year&gt;&lt;/dates&gt;&lt;isbn&gt;1944-3277 (Electronic)&amp;#xD;1944-3277 (Linking)&lt;/isbn&gt;&lt;accession-num&gt;23991254&lt;/accession-num&gt;&lt;urls&gt;&lt;related-urls&gt;&lt;url&gt;http://www.ncbi.nlm.nih.gov/entrez/query.fcgi?cmd=Retrieve&amp;amp;db=PubMed&amp;amp;dopt=Citation&amp;amp;list_uids=23991254&lt;/url&gt;&lt;/related-urls&gt;&lt;/urls&gt;&lt;custom2&gt;3746419&lt;/custom2&gt;&lt;electronic-resource-num&gt;10.4056/sigs.3977691&amp;#xD;sigs.3977691 [pii]&lt;/electronic-resource-num&gt;&lt;language&gt;eng&lt;/language&gt;&lt;/record&gt;&lt;/Cite&gt;&lt;/EndNote&gt;</w:instrText>
      </w:r>
      <w:r>
        <w:rPr>
          <w:i/>
        </w:rPr>
        <w:fldChar w:fldCharType="separate"/>
      </w:r>
      <w:r>
        <w:rPr>
          <w:i/>
          <w:noProof/>
        </w:rPr>
        <w:t>(</w:t>
      </w:r>
      <w:hyperlink w:anchor="_ENREF_37" w:tooltip="Leahy, 2013 #1263" w:history="1">
        <w:r>
          <w:rPr>
            <w:i/>
            <w:noProof/>
          </w:rPr>
          <w:t>Leahy et al., 2013</w:t>
        </w:r>
      </w:hyperlink>
      <w:r>
        <w:rPr>
          <w:i/>
          <w:noProof/>
        </w:rPr>
        <w:t>)</w:t>
      </w:r>
      <w:r>
        <w:rPr>
          <w:i/>
        </w:rPr>
        <w:fldChar w:fldCharType="end"/>
      </w:r>
      <w:r>
        <w:t xml:space="preserve">. </w:t>
      </w:r>
      <w:proofErr w:type="gramStart"/>
      <w:r>
        <w:t>Similar to</w:t>
      </w:r>
      <w:proofErr w:type="gramEnd"/>
      <w:r>
        <w:t xml:space="preserve"> strains M1 and 229/11, AbM4 falls within </w:t>
      </w:r>
      <w:r w:rsidRPr="001161F5">
        <w:t xml:space="preserve">the genus </w:t>
      </w:r>
      <w:proofErr w:type="spellStart"/>
      <w:r w:rsidRPr="001161F5">
        <w:rPr>
          <w:i/>
        </w:rPr>
        <w:t>Methanobrevibacter</w:t>
      </w:r>
      <w:proofErr w:type="spellEnd"/>
      <w:r w:rsidRPr="001161F5">
        <w:t xml:space="preserve"> clade and features a pseudomurein cell wall. The rate of cell growth, as measured by optical density, reached a maximum 48 hours post-inoculation for both AbM4 and AbM4 plus </w:t>
      </w:r>
      <w:proofErr w:type="spellStart"/>
      <w:r w:rsidRPr="001161F5">
        <w:t>PhaC</w:t>
      </w:r>
      <w:proofErr w:type="spellEnd"/>
      <w:r w:rsidRPr="001161F5">
        <w:t xml:space="preserve"> cultures (</w:t>
      </w:r>
      <w:r w:rsidR="001161F5">
        <w:t>Figure 5</w:t>
      </w:r>
      <w:r w:rsidRPr="001161F5">
        <w:t xml:space="preserve"> B). Methane production mirrored this trend and the highest level of methane was found 48 hours post-inoculation (</w:t>
      </w:r>
      <w:r w:rsidR="001161F5">
        <w:t xml:space="preserve">Figure 6 </w:t>
      </w:r>
      <w:r w:rsidRPr="001161F5">
        <w:t xml:space="preserve">B). Optical densities of AbM4 and AbM4 plus </w:t>
      </w:r>
      <w:proofErr w:type="spellStart"/>
      <w:r w:rsidRPr="001161F5">
        <w:t>PhaC</w:t>
      </w:r>
      <w:proofErr w:type="spellEnd"/>
      <w:r w:rsidRPr="001161F5">
        <w:t xml:space="preserve"> cultures continued to increase on days 3 and 4 post inoculation, albeit at a lower rate. Correspondingly, methane production dropped by 50 to 70% to 0.18 ml and 0.11 ml for AbM4 and AbM4 plus </w:t>
      </w:r>
      <w:proofErr w:type="spellStart"/>
      <w:r w:rsidRPr="001161F5">
        <w:t>PhaC</w:t>
      </w:r>
      <w:proofErr w:type="spellEnd"/>
      <w:r w:rsidRPr="001161F5">
        <w:t xml:space="preserve"> cultures, respectively. The addition of </w:t>
      </w:r>
      <w:proofErr w:type="spellStart"/>
      <w:r w:rsidRPr="001161F5">
        <w:t>PhaC-PeiR</w:t>
      </w:r>
      <w:proofErr w:type="spellEnd"/>
      <w:r w:rsidRPr="001161F5">
        <w:t xml:space="preserve"> BNPs inhibited growth entirely for up to 48 hours post-inoculation (P&lt;0.05). No methane</w:t>
      </w:r>
      <w:r>
        <w:t xml:space="preserve"> was detected 24 hours after BNP addition, whereas a small amount (0.02 ml) was observed after 48 hours. Beyond 48 hours, </w:t>
      </w:r>
      <w:proofErr w:type="spellStart"/>
      <w:r>
        <w:t>PhaC-PeiR</w:t>
      </w:r>
      <w:proofErr w:type="spellEnd"/>
      <w:r>
        <w:t xml:space="preserve"> BNPs lose their ability to inhibit cell growth and after 4 days AbM4/</w:t>
      </w:r>
      <w:proofErr w:type="spellStart"/>
      <w:r>
        <w:t>PhaC-PeiR</w:t>
      </w:r>
      <w:proofErr w:type="spellEnd"/>
      <w:r>
        <w:t xml:space="preserve"> cultures reached optical densities </w:t>
      </w:r>
      <w:proofErr w:type="gramStart"/>
      <w:r>
        <w:t>similar to</w:t>
      </w:r>
      <w:proofErr w:type="gramEnd"/>
      <w:r>
        <w:t xml:space="preserve"> those found for AbM4 and AbM4 plus </w:t>
      </w:r>
      <w:proofErr w:type="spellStart"/>
      <w:r>
        <w:t>PhaC</w:t>
      </w:r>
      <w:proofErr w:type="spellEnd"/>
      <w:r>
        <w:t xml:space="preserve"> after 48 hours. Likewise, methane production </w:t>
      </w:r>
      <w:proofErr w:type="gramStart"/>
      <w:r>
        <w:t>increased</w:t>
      </w:r>
      <w:proofErr w:type="gramEnd"/>
      <w:r>
        <w:t xml:space="preserve"> and mirrored levels found for uninhibited cultures. Interestingly, an increase in optical density comparable to that seen in M1 plus </w:t>
      </w:r>
      <w:proofErr w:type="spellStart"/>
      <w:r>
        <w:t>PhaC</w:t>
      </w:r>
      <w:proofErr w:type="spellEnd"/>
      <w:r>
        <w:t xml:space="preserve"> and 229/11 plus </w:t>
      </w:r>
      <w:proofErr w:type="spellStart"/>
      <w:r>
        <w:t>PhaC</w:t>
      </w:r>
      <w:proofErr w:type="spellEnd"/>
      <w:r>
        <w:t xml:space="preserve"> did not follow the addition of </w:t>
      </w:r>
      <w:proofErr w:type="spellStart"/>
      <w:r>
        <w:t>PhaC</w:t>
      </w:r>
      <w:proofErr w:type="spellEnd"/>
      <w:r>
        <w:t xml:space="preserve"> BNPs, although on days 1 and 3 AbM4 </w:t>
      </w:r>
      <w:r>
        <w:lastRenderedPageBreak/>
        <w:t xml:space="preserve">plus </w:t>
      </w:r>
      <w:proofErr w:type="spellStart"/>
      <w:r>
        <w:t>PhaC</w:t>
      </w:r>
      <w:proofErr w:type="spellEnd"/>
      <w:r>
        <w:t xml:space="preserve"> cultures resulted in a statistically significant increase in optical density (P&lt;0.05) over AbM4 alone.</w:t>
      </w:r>
    </w:p>
    <w:p w:rsidR="00F25BC6" w:rsidRDefault="00F25BC6" w:rsidP="00F25BC6">
      <w:pPr>
        <w:jc w:val="both"/>
      </w:pPr>
      <w:r>
        <w:t xml:space="preserve">The final </w:t>
      </w:r>
      <w:proofErr w:type="spellStart"/>
      <w:r w:rsidRPr="00F630CF">
        <w:rPr>
          <w:i/>
        </w:rPr>
        <w:t>Methanobrevibacterium</w:t>
      </w:r>
      <w:proofErr w:type="spellEnd"/>
      <w:r>
        <w:t xml:space="preserve"> tested, strain D5, was isolated from a New Zealand sheep rumen and 16S rRNA gene sequence analysis suggested it may fall into the </w:t>
      </w:r>
      <w:r w:rsidRPr="008D0F47">
        <w:rPr>
          <w:i/>
        </w:rPr>
        <w:t xml:space="preserve">M. </w:t>
      </w:r>
      <w:proofErr w:type="spellStart"/>
      <w:r w:rsidRPr="008D0F47">
        <w:rPr>
          <w:i/>
        </w:rPr>
        <w:t>gottschalkii</w:t>
      </w:r>
      <w:proofErr w:type="spellEnd"/>
      <w:r>
        <w:t xml:space="preserve"> clade with a pseudomurein cell wall. </w:t>
      </w:r>
      <w:proofErr w:type="gramStart"/>
      <w:r>
        <w:t>Similar to</w:t>
      </w:r>
      <w:proofErr w:type="gramEnd"/>
      <w:r>
        <w:t xml:space="preserve"> strains 229/11 and AbM4, the addition of </w:t>
      </w:r>
      <w:proofErr w:type="spellStart"/>
      <w:r>
        <w:t>PhaC</w:t>
      </w:r>
      <w:proofErr w:type="spellEnd"/>
      <w:r>
        <w:t xml:space="preserve"> BNPs did not result in any negative growth effects when compared to an </w:t>
      </w:r>
      <w:proofErr w:type="spellStart"/>
      <w:r>
        <w:t>unsupplemented</w:t>
      </w:r>
      <w:proofErr w:type="spellEnd"/>
      <w:r>
        <w:t xml:space="preserve"> culture of D5 (</w:t>
      </w:r>
      <w:r w:rsidR="001161F5">
        <w:t xml:space="preserve">Figure 5 </w:t>
      </w:r>
      <w:r>
        <w:t xml:space="preserve">C). No statistically significant differences in optical densities were found between both cultures. Methane production followed the trend observed for strains 229/11 and AbM4 and peaked after 48 hours post inoculation, with no statistically significant differences between D5 and D5 plus </w:t>
      </w:r>
      <w:proofErr w:type="spellStart"/>
      <w:r>
        <w:t>PhaC</w:t>
      </w:r>
      <w:proofErr w:type="spellEnd"/>
      <w:r>
        <w:t xml:space="preserve"> cultures (</w:t>
      </w:r>
      <w:r w:rsidR="001161F5">
        <w:t>Figure 6</w:t>
      </w:r>
      <w:r>
        <w:t xml:space="preserve"> C). D5 cultures supplemented with </w:t>
      </w:r>
      <w:proofErr w:type="spellStart"/>
      <w:r>
        <w:t>PhaC-PeiR</w:t>
      </w:r>
      <w:proofErr w:type="spellEnd"/>
      <w:r>
        <w:t xml:space="preserve"> BNPs were effectively inhibited in optical density for up to 3 days post inoculation, while on day 4 cell growth resumed (P&lt;0.05). Accordingly, methane production was effectively inhibited for up to 48 hours post-inoculation (P&lt;0.05), although small amounts of methane were detected on both days. Although optical densities indicate effective inhibition beyond 48 hours, methane levels on days 3 and 4 are equal to D5 and D5 plus </w:t>
      </w:r>
      <w:proofErr w:type="spellStart"/>
      <w:r>
        <w:t>PhaC</w:t>
      </w:r>
      <w:proofErr w:type="spellEnd"/>
      <w:r>
        <w:t xml:space="preserve"> cultures (no statistically significant differences between the treatments), possibly indicating that D5 cells may be less susceptible to the lytic enzyme </w:t>
      </w:r>
      <w:proofErr w:type="spellStart"/>
      <w:r>
        <w:t>PeiR</w:t>
      </w:r>
      <w:proofErr w:type="spellEnd"/>
      <w:r>
        <w:t>.</w:t>
      </w:r>
    </w:p>
    <w:p w:rsidR="00F25BC6" w:rsidRDefault="00F25BC6" w:rsidP="00F25BC6">
      <w:pPr>
        <w:jc w:val="both"/>
      </w:pPr>
      <w:r>
        <w:t xml:space="preserve">In summary, tested </w:t>
      </w:r>
      <w:proofErr w:type="spellStart"/>
      <w:r>
        <w:rPr>
          <w:i/>
        </w:rPr>
        <w:t>Methanobrevibacter</w:t>
      </w:r>
      <w:proofErr w:type="spellEnd"/>
      <w:r>
        <w:t xml:space="preserve"> strains assigned to </w:t>
      </w:r>
      <w:r w:rsidRPr="00656D89">
        <w:rPr>
          <w:i/>
        </w:rPr>
        <w:t>M.</w:t>
      </w:r>
      <w:r>
        <w:t xml:space="preserve"> </w:t>
      </w:r>
      <w:proofErr w:type="spellStart"/>
      <w:r w:rsidRPr="005A54FF">
        <w:rPr>
          <w:i/>
        </w:rPr>
        <w:t>ruminantium</w:t>
      </w:r>
      <w:proofErr w:type="spellEnd"/>
      <w:r>
        <w:t xml:space="preserve">, </w:t>
      </w:r>
      <w:r w:rsidRPr="00656D89">
        <w:rPr>
          <w:i/>
        </w:rPr>
        <w:t>M.</w:t>
      </w:r>
      <w:r>
        <w:t xml:space="preserve"> </w:t>
      </w:r>
      <w:proofErr w:type="spellStart"/>
      <w:r w:rsidRPr="005A54FF">
        <w:rPr>
          <w:i/>
        </w:rPr>
        <w:t>olleyae</w:t>
      </w:r>
      <w:proofErr w:type="spellEnd"/>
      <w:r>
        <w:t xml:space="preserve">, </w:t>
      </w:r>
      <w:r w:rsidRPr="00656D89">
        <w:rPr>
          <w:i/>
        </w:rPr>
        <w:t>M.</w:t>
      </w:r>
      <w:r>
        <w:t xml:space="preserve"> </w:t>
      </w:r>
      <w:proofErr w:type="spellStart"/>
      <w:r w:rsidRPr="005A54FF">
        <w:rPr>
          <w:i/>
        </w:rPr>
        <w:t>wolinii</w:t>
      </w:r>
      <w:proofErr w:type="spellEnd"/>
      <w:r>
        <w:t xml:space="preserve">, and </w:t>
      </w:r>
      <w:r w:rsidRPr="00656D89">
        <w:rPr>
          <w:i/>
        </w:rPr>
        <w:t>M.</w:t>
      </w:r>
      <w:r>
        <w:t xml:space="preserve"> </w:t>
      </w:r>
      <w:proofErr w:type="spellStart"/>
      <w:r w:rsidRPr="005A54FF">
        <w:rPr>
          <w:i/>
        </w:rPr>
        <w:t>gottschalkii</w:t>
      </w:r>
      <w:proofErr w:type="spellEnd"/>
      <w:r>
        <w:t xml:space="preserve"> can be effectively inhibited in cell growth and methane production for up to 48 to 72 hours using </w:t>
      </w:r>
      <w:proofErr w:type="spellStart"/>
      <w:r>
        <w:t>PhaC-PeiR</w:t>
      </w:r>
      <w:proofErr w:type="spellEnd"/>
      <w:r>
        <w:t xml:space="preserve"> tailored BNPs. </w:t>
      </w:r>
    </w:p>
    <w:p w:rsidR="00F25BC6" w:rsidRDefault="00F25BC6" w:rsidP="00F25BC6">
      <w:pPr>
        <w:jc w:val="both"/>
      </w:pPr>
      <w:r>
        <w:t>I</w:t>
      </w:r>
      <w:r w:rsidRPr="00F630CF">
        <w:rPr>
          <w:i/>
        </w:rPr>
        <w:t>n vitro</w:t>
      </w:r>
      <w:r>
        <w:t xml:space="preserve"> assays suggested that free </w:t>
      </w:r>
      <w:proofErr w:type="spellStart"/>
      <w:r>
        <w:t>PeiR</w:t>
      </w:r>
      <w:proofErr w:type="spellEnd"/>
      <w:r>
        <w:t xml:space="preserve"> enzyme may be able to act on methanogen strains other than </w:t>
      </w:r>
      <w:proofErr w:type="spellStart"/>
      <w:r w:rsidRPr="005A54FF">
        <w:rPr>
          <w:i/>
        </w:rPr>
        <w:t>Methanobrevibacter</w:t>
      </w:r>
      <w:proofErr w:type="spellEnd"/>
      <w:r>
        <w:rPr>
          <w:i/>
        </w:rPr>
        <w:t xml:space="preserve"> </w:t>
      </w:r>
      <w:r w:rsidRPr="0004315D">
        <w:t>spp</w:t>
      </w:r>
      <w:r>
        <w:t>. T</w:t>
      </w:r>
      <w:r w:rsidRPr="00EE6661">
        <w:t>he</w:t>
      </w:r>
      <w:r>
        <w:t xml:space="preserve"> activity of </w:t>
      </w:r>
      <w:proofErr w:type="spellStart"/>
      <w:r>
        <w:t>PhaC-PeiR</w:t>
      </w:r>
      <w:proofErr w:type="spellEnd"/>
      <w:r>
        <w:t xml:space="preserve"> BNPs against pseudomurein-containing methanogens outside the genus </w:t>
      </w:r>
      <w:proofErr w:type="spellStart"/>
      <w:r>
        <w:rPr>
          <w:i/>
        </w:rPr>
        <w:t>Methanobrevibacter</w:t>
      </w:r>
      <w:proofErr w:type="spellEnd"/>
      <w:r>
        <w:t xml:space="preserve"> was tested on two selected strains of </w:t>
      </w:r>
      <w:proofErr w:type="spellStart"/>
      <w:r w:rsidRPr="00C91BB4">
        <w:rPr>
          <w:i/>
        </w:rPr>
        <w:t>Methano</w:t>
      </w:r>
      <w:r>
        <w:rPr>
          <w:i/>
        </w:rPr>
        <w:t>bacterium</w:t>
      </w:r>
      <w:proofErr w:type="spellEnd"/>
      <w:r>
        <w:t xml:space="preserve"> and </w:t>
      </w:r>
      <w:proofErr w:type="spellStart"/>
      <w:r w:rsidRPr="00C91BB4">
        <w:rPr>
          <w:i/>
        </w:rPr>
        <w:t>Methanosphaera</w:t>
      </w:r>
      <w:proofErr w:type="spellEnd"/>
      <w:r>
        <w:t>.</w:t>
      </w:r>
    </w:p>
    <w:p w:rsidR="00F25BC6" w:rsidRDefault="00F25BC6" w:rsidP="00F25BC6">
      <w:pPr>
        <w:jc w:val="both"/>
      </w:pPr>
      <w:proofErr w:type="spellStart"/>
      <w:r w:rsidRPr="00EE6661">
        <w:rPr>
          <w:i/>
        </w:rPr>
        <w:t>Methanosphaera</w:t>
      </w:r>
      <w:proofErr w:type="spellEnd"/>
      <w:r>
        <w:rPr>
          <w:i/>
        </w:rPr>
        <w:t xml:space="preserve"> </w:t>
      </w:r>
      <w:r w:rsidRPr="005C19FD">
        <w:t>sp.</w:t>
      </w:r>
      <w:r>
        <w:t xml:space="preserve"> A4 was isolated from a New Zealand Wallaby fore stomach and 16S rRNA gene analysis revealed </w:t>
      </w:r>
      <w:proofErr w:type="spellStart"/>
      <w:r w:rsidRPr="00EB6E52">
        <w:rPr>
          <w:i/>
        </w:rPr>
        <w:t>Methanosphaera</w:t>
      </w:r>
      <w:proofErr w:type="spellEnd"/>
      <w:r w:rsidRPr="00EB6E52">
        <w:rPr>
          <w:i/>
        </w:rPr>
        <w:t xml:space="preserve"> cuniculi</w:t>
      </w:r>
      <w:r>
        <w:t xml:space="preserve"> as the closest relative. As seen for </w:t>
      </w:r>
      <w:proofErr w:type="spellStart"/>
      <w:r>
        <w:rPr>
          <w:i/>
        </w:rPr>
        <w:t>Methanobrevibacter</w:t>
      </w:r>
      <w:proofErr w:type="spellEnd"/>
      <w:r>
        <w:rPr>
          <w:i/>
        </w:rPr>
        <w:t xml:space="preserve"> </w:t>
      </w:r>
      <w:r w:rsidRPr="0004315D">
        <w:t>spp.</w:t>
      </w:r>
      <w:r>
        <w:t xml:space="preserve">, the addition of </w:t>
      </w:r>
      <w:proofErr w:type="spellStart"/>
      <w:r>
        <w:t>PhaC</w:t>
      </w:r>
      <w:proofErr w:type="spellEnd"/>
      <w:r>
        <w:t xml:space="preserve"> BNPs to strain A4 led to an increase in measured optical density over the untreated culture, an effect seen for several other methanogen strains tested (</w:t>
      </w:r>
      <w:r w:rsidR="001161F5">
        <w:t xml:space="preserve">Figure 5 </w:t>
      </w:r>
      <w:r>
        <w:t xml:space="preserve">D). The addition of </w:t>
      </w:r>
      <w:proofErr w:type="spellStart"/>
      <w:r>
        <w:t>PhaC-PeiR</w:t>
      </w:r>
      <w:proofErr w:type="spellEnd"/>
      <w:r>
        <w:t xml:space="preserve"> BNPs caused a statistically significant reduction in optical density on day 3 post-inoculation (P&lt;0.05), </w:t>
      </w:r>
      <w:proofErr w:type="gramStart"/>
      <w:r>
        <w:t>similar to</w:t>
      </w:r>
      <w:proofErr w:type="gramEnd"/>
      <w:r>
        <w:t xml:space="preserve"> that reported for </w:t>
      </w:r>
      <w:proofErr w:type="spellStart"/>
      <w:r w:rsidRPr="00AA1859">
        <w:rPr>
          <w:i/>
        </w:rPr>
        <w:t>M</w:t>
      </w:r>
      <w:r>
        <w:rPr>
          <w:i/>
        </w:rPr>
        <w:t>ethanobrevibacter</w:t>
      </w:r>
      <w:proofErr w:type="spellEnd"/>
      <w:r>
        <w:rPr>
          <w:i/>
        </w:rPr>
        <w:t xml:space="preserve"> </w:t>
      </w:r>
      <w:r w:rsidRPr="0004315D">
        <w:t>spp</w:t>
      </w:r>
      <w:r>
        <w:t xml:space="preserve">. On days 4 and 5 </w:t>
      </w:r>
      <w:proofErr w:type="spellStart"/>
      <w:r>
        <w:t>PhaC-PeiR</w:t>
      </w:r>
      <w:proofErr w:type="spellEnd"/>
      <w:r>
        <w:t xml:space="preserve"> mediated inhibition was overcome with optical densities reaching similar levels to untreated and </w:t>
      </w:r>
      <w:proofErr w:type="spellStart"/>
      <w:r>
        <w:t>PhaC</w:t>
      </w:r>
      <w:proofErr w:type="spellEnd"/>
      <w:r>
        <w:t xml:space="preserve">-treated cultures. Following this trend, methane production was significantly inhibited on days 2 and 3 post inoculation (P&lt;0.05), whereas on day 4 measured methane levels were equal to the other two treatment groups. Methane production was not affected by the presence of </w:t>
      </w:r>
      <w:proofErr w:type="spellStart"/>
      <w:r>
        <w:t>PhaC</w:t>
      </w:r>
      <w:proofErr w:type="spellEnd"/>
      <w:r>
        <w:t xml:space="preserve"> BNPs.</w:t>
      </w:r>
    </w:p>
    <w:p w:rsidR="00F25BC6" w:rsidRPr="00417D70" w:rsidRDefault="00F25BC6" w:rsidP="00F25BC6">
      <w:pPr>
        <w:jc w:val="both"/>
      </w:pPr>
      <w:proofErr w:type="spellStart"/>
      <w:r w:rsidRPr="00C91BB4">
        <w:rPr>
          <w:i/>
        </w:rPr>
        <w:t>Methanobacterium</w:t>
      </w:r>
      <w:proofErr w:type="spellEnd"/>
      <w:r w:rsidRPr="00C91BB4">
        <w:rPr>
          <w:i/>
        </w:rPr>
        <w:t xml:space="preserve"> </w:t>
      </w:r>
      <w:proofErr w:type="spellStart"/>
      <w:r w:rsidRPr="00C91BB4">
        <w:rPr>
          <w:i/>
        </w:rPr>
        <w:t>formicicum</w:t>
      </w:r>
      <w:proofErr w:type="spellEnd"/>
      <w:r>
        <w:t xml:space="preserve"> BRM9 is a New Zealand bovine rumen isolate and grows as narrow straight or slightly curved rods. Because of the aggregate forming interaction between </w:t>
      </w:r>
      <w:proofErr w:type="spellStart"/>
      <w:r>
        <w:t>PhaC</w:t>
      </w:r>
      <w:proofErr w:type="spellEnd"/>
      <w:r>
        <w:t>/</w:t>
      </w:r>
      <w:proofErr w:type="spellStart"/>
      <w:r>
        <w:t>PhaC-PeiR</w:t>
      </w:r>
      <w:proofErr w:type="spellEnd"/>
      <w:r>
        <w:t xml:space="preserve"> BNPs and BRM9 cells, optical density could not be measured. The detection of methane, however, was not impaired and a statistically significant reduction of methane was detected on day 4 post inoculation of </w:t>
      </w:r>
      <w:proofErr w:type="spellStart"/>
      <w:r>
        <w:t>PhaC-PeiR</w:t>
      </w:r>
      <w:proofErr w:type="spellEnd"/>
      <w:r>
        <w:t xml:space="preserve"> BNPs when compared to untreated cells (P&lt;0.05) (</w:t>
      </w:r>
      <w:r w:rsidR="001161F5">
        <w:t xml:space="preserve">Figure 6 </w:t>
      </w:r>
      <w:r>
        <w:t>E).</w:t>
      </w:r>
    </w:p>
    <w:p w:rsidR="00F25BC6" w:rsidRDefault="00F25BC6" w:rsidP="00F25BC6">
      <w:pPr>
        <w:jc w:val="both"/>
      </w:pPr>
      <w:r>
        <w:t xml:space="preserve">Strain </w:t>
      </w:r>
      <w:proofErr w:type="spellStart"/>
      <w:r w:rsidRPr="00187D9F">
        <w:rPr>
          <w:i/>
        </w:rPr>
        <w:t>Methanosarcina</w:t>
      </w:r>
      <w:proofErr w:type="spellEnd"/>
      <w:r>
        <w:t xml:space="preserve"> </w:t>
      </w:r>
      <w:proofErr w:type="spellStart"/>
      <w:r w:rsidRPr="00C8405F">
        <w:rPr>
          <w:i/>
        </w:rPr>
        <w:t>barkeri</w:t>
      </w:r>
      <w:proofErr w:type="spellEnd"/>
      <w:r>
        <w:t xml:space="preserve"> CM1 was isolated from a bovine rumen in New Zealand and grows in irregular cell aggregates typical for </w:t>
      </w:r>
      <w:proofErr w:type="spellStart"/>
      <w:r w:rsidRPr="00187D9F">
        <w:rPr>
          <w:i/>
        </w:rPr>
        <w:t>Methanosarcina</w:t>
      </w:r>
      <w:proofErr w:type="spellEnd"/>
      <w:r>
        <w:t xml:space="preserve">. The observed growth in aggregates prevented direct measurement of optical densities of liquid cultures. Although very weak activity of the </w:t>
      </w:r>
      <w:proofErr w:type="spellStart"/>
      <w:r>
        <w:t>PeiR</w:t>
      </w:r>
      <w:proofErr w:type="spellEnd"/>
      <w:r>
        <w:t xml:space="preserve"> free </w:t>
      </w:r>
      <w:r>
        <w:lastRenderedPageBreak/>
        <w:t>enzyme was seen against CM1 cell wall preparations, no reduction in methane was measured in pure cultures (</w:t>
      </w:r>
      <w:r>
        <w:fldChar w:fldCharType="begin"/>
      </w:r>
      <w:r>
        <w:instrText xml:space="preserve"> REF _Ref366681473 \h  \* MERGEFORMAT </w:instrText>
      </w:r>
      <w:r>
        <w:fldChar w:fldCharType="separate"/>
      </w:r>
      <w:r w:rsidR="001161F5">
        <w:t>Figure</w:t>
      </w:r>
      <w:r>
        <w:fldChar w:fldCharType="end"/>
      </w:r>
      <w:r w:rsidR="001161F5">
        <w:t xml:space="preserve"> 6</w:t>
      </w:r>
      <w:r>
        <w:t xml:space="preserve"> F) which supports the hypothesis that </w:t>
      </w:r>
      <w:proofErr w:type="spellStart"/>
      <w:r>
        <w:t>PeiR</w:t>
      </w:r>
      <w:proofErr w:type="spellEnd"/>
      <w:r>
        <w:t xml:space="preserve"> can readily hydrolyse pseudomurein-based substrates, but not effectively recognise </w:t>
      </w:r>
      <w:r w:rsidRPr="00054F62">
        <w:t>methanochondroitin</w:t>
      </w:r>
      <w:r>
        <w:t>-based cell envelopes.</w:t>
      </w:r>
    </w:p>
    <w:p w:rsidR="00F25BC6" w:rsidRDefault="00F25BC6" w:rsidP="00F25BC6"/>
    <w:p w:rsidR="00F25BC6" w:rsidRPr="00611A29" w:rsidRDefault="00F25BC6" w:rsidP="00F25BC6">
      <w:pPr>
        <w:pStyle w:val="Caption"/>
        <w:rPr>
          <w:rFonts w:asciiTheme="minorHAnsi" w:hAnsiTheme="minorHAnsi"/>
          <w:color w:val="auto"/>
          <w:sz w:val="22"/>
          <w:szCs w:val="22"/>
        </w:rPr>
      </w:pPr>
      <w:bookmarkStart w:id="11" w:name="_Ref383435133"/>
      <w:r w:rsidRPr="00611A29">
        <w:rPr>
          <w:rFonts w:asciiTheme="minorHAnsi" w:hAnsiTheme="minorHAnsi"/>
          <w:color w:val="auto"/>
          <w:sz w:val="22"/>
          <w:szCs w:val="22"/>
        </w:rPr>
        <w:t xml:space="preserve">Supplemental Text </w:t>
      </w:r>
      <w:r w:rsidRPr="00611A29">
        <w:rPr>
          <w:rFonts w:asciiTheme="minorHAnsi" w:hAnsiTheme="minorHAnsi"/>
          <w:color w:val="auto"/>
          <w:sz w:val="22"/>
          <w:szCs w:val="22"/>
        </w:rPr>
        <w:fldChar w:fldCharType="begin"/>
      </w:r>
      <w:r w:rsidRPr="00611A29">
        <w:rPr>
          <w:rFonts w:asciiTheme="minorHAnsi" w:hAnsiTheme="minorHAnsi"/>
          <w:color w:val="auto"/>
          <w:sz w:val="22"/>
          <w:szCs w:val="22"/>
        </w:rPr>
        <w:instrText xml:space="preserve"> SEQ Supplemental_Text \* ARABIC </w:instrText>
      </w:r>
      <w:r w:rsidRPr="00611A29">
        <w:rPr>
          <w:rFonts w:asciiTheme="minorHAnsi" w:hAnsiTheme="minorHAnsi"/>
          <w:color w:val="auto"/>
          <w:sz w:val="22"/>
          <w:szCs w:val="22"/>
        </w:rPr>
        <w:fldChar w:fldCharType="separate"/>
      </w:r>
      <w:r>
        <w:rPr>
          <w:rFonts w:asciiTheme="minorHAnsi" w:hAnsiTheme="minorHAnsi"/>
          <w:noProof/>
          <w:color w:val="auto"/>
          <w:sz w:val="22"/>
          <w:szCs w:val="22"/>
        </w:rPr>
        <w:t>2</w:t>
      </w:r>
      <w:r w:rsidRPr="00611A29">
        <w:rPr>
          <w:rFonts w:asciiTheme="minorHAnsi" w:hAnsiTheme="minorHAnsi"/>
          <w:color w:val="auto"/>
          <w:sz w:val="22"/>
          <w:szCs w:val="22"/>
        </w:rPr>
        <w:fldChar w:fldCharType="end"/>
      </w:r>
      <w:bookmarkEnd w:id="11"/>
      <w:r w:rsidRPr="00611A29">
        <w:rPr>
          <w:rFonts w:asciiTheme="minorHAnsi" w:hAnsiTheme="minorHAnsi"/>
          <w:color w:val="auto"/>
          <w:sz w:val="22"/>
          <w:szCs w:val="22"/>
        </w:rPr>
        <w:t xml:space="preserve">: Interpretation of observed data on the biological mode-of-action of </w:t>
      </w:r>
      <w:proofErr w:type="spellStart"/>
      <w:r w:rsidRPr="00611A29">
        <w:rPr>
          <w:rFonts w:asciiTheme="minorHAnsi" w:hAnsiTheme="minorHAnsi"/>
          <w:color w:val="auto"/>
          <w:sz w:val="22"/>
          <w:szCs w:val="22"/>
        </w:rPr>
        <w:t>PeiR</w:t>
      </w:r>
      <w:proofErr w:type="spellEnd"/>
    </w:p>
    <w:p w:rsidR="00F25BC6" w:rsidRPr="005A54FF" w:rsidRDefault="00F25BC6" w:rsidP="00F25BC6">
      <w:pPr>
        <w:jc w:val="both"/>
      </w:pPr>
      <w:r>
        <w:t xml:space="preserve">Methanogen cultures were able to recover after some time despite the presence of </w:t>
      </w:r>
      <w:proofErr w:type="spellStart"/>
      <w:r>
        <w:t>PhaC-PeiR</w:t>
      </w:r>
      <w:proofErr w:type="spellEnd"/>
      <w:r>
        <w:t xml:space="preserve"> BNPs. </w:t>
      </w:r>
      <w:proofErr w:type="gramStart"/>
      <w:r>
        <w:t>Similar to</w:t>
      </w:r>
      <w:proofErr w:type="gramEnd"/>
      <w:r>
        <w:t xml:space="preserve"> </w:t>
      </w:r>
      <w:proofErr w:type="spellStart"/>
      <w:r>
        <w:t>PeiR</w:t>
      </w:r>
      <w:proofErr w:type="spellEnd"/>
      <w:r>
        <w:t xml:space="preserve">, the lytic enzymes </w:t>
      </w:r>
      <w:proofErr w:type="spellStart"/>
      <w:r w:rsidRPr="00564BDB">
        <w:t>PeiP</w:t>
      </w:r>
      <w:proofErr w:type="spellEnd"/>
      <w:r>
        <w:t xml:space="preserve"> and </w:t>
      </w:r>
      <w:proofErr w:type="spellStart"/>
      <w:r w:rsidRPr="00564BDB">
        <w:t>PeiW</w:t>
      </w:r>
      <w:proofErr w:type="spellEnd"/>
      <w:r w:rsidRPr="00564BDB">
        <w:t xml:space="preserve"> </w:t>
      </w:r>
      <w:r>
        <w:t xml:space="preserve">harbour PMBR domains that mediate binding to the pseudomurein cell wall. Those PMBR domains have been </w:t>
      </w:r>
      <w:r w:rsidRPr="00564BDB">
        <w:t xml:space="preserve">described </w:t>
      </w:r>
      <w:r>
        <w:t xml:space="preserve">to bind both highly specifically and strongly </w:t>
      </w:r>
      <w:r w:rsidRPr="00564BDB">
        <w:t>to pseudomurein</w:t>
      </w:r>
      <w:r>
        <w:t xml:space="preserve"> ligands</w:t>
      </w:r>
      <w:r w:rsidRPr="00564BDB">
        <w:t xml:space="preserve">. </w:t>
      </w:r>
      <w:r w:rsidRPr="00500EF0">
        <w:rPr>
          <w:i/>
        </w:rPr>
        <w:t>In vivo</w:t>
      </w:r>
      <w:r>
        <w:t xml:space="preserve">, lytic enzymes act on the host cell only through a lysis-from-within mechanism. Once the host cell has lysed, the virus particles are liberated and are ready to infect a new cell, repeating the propagation cycle. Repeated binding-and-release of the lytic enzyme is, therefore, not required – rather biological activity may be optimised by the observed strong substrate binding. It is possible that this mechanism equally mediates the effective binding of </w:t>
      </w:r>
      <w:proofErr w:type="spellStart"/>
      <w:r>
        <w:t>PhaC-PeiR</w:t>
      </w:r>
      <w:proofErr w:type="spellEnd"/>
      <w:r>
        <w:t xml:space="preserve"> BNPs to compatible methanogen cells, facilitating a lysis-from-without. It is tempting to hypothesise that upon cell lysis, the pseudomurein substrate may remain bound to the PMBR domains of individual </w:t>
      </w:r>
      <w:proofErr w:type="spellStart"/>
      <w:r>
        <w:t>PeiR</w:t>
      </w:r>
      <w:proofErr w:type="spellEnd"/>
      <w:r>
        <w:t xml:space="preserve"> enzymes, slowly inactivating more and more enzymes until the cell-to-active enzyme ratio tips in favour of the methanogen cells.</w:t>
      </w:r>
    </w:p>
    <w:p w:rsidR="00E221E5" w:rsidRDefault="00E221E5"/>
    <w:sectPr w:rsidR="00E221E5" w:rsidSect="00173B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BC6"/>
    <w:rsid w:val="001161F5"/>
    <w:rsid w:val="004177A4"/>
    <w:rsid w:val="006F611C"/>
    <w:rsid w:val="0080247C"/>
    <w:rsid w:val="009C05EA"/>
    <w:rsid w:val="009E1B74"/>
    <w:rsid w:val="00B41863"/>
    <w:rsid w:val="00E221E5"/>
    <w:rsid w:val="00F25B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800E82-E8F2-492C-B079-F796B940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B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F25BC6"/>
  </w:style>
  <w:style w:type="character" w:styleId="Emphasis">
    <w:name w:val="Emphasis"/>
    <w:basedOn w:val="DefaultParagraphFont"/>
    <w:uiPriority w:val="20"/>
    <w:qFormat/>
    <w:rsid w:val="00F25BC6"/>
    <w:rPr>
      <w:i/>
      <w:iCs/>
    </w:rPr>
  </w:style>
  <w:style w:type="paragraph" w:styleId="Caption">
    <w:name w:val="caption"/>
    <w:basedOn w:val="Normal"/>
    <w:next w:val="Normal"/>
    <w:uiPriority w:val="35"/>
    <w:unhideWhenUsed/>
    <w:qFormat/>
    <w:rsid w:val="00F25BC6"/>
    <w:pPr>
      <w:spacing w:line="240" w:lineRule="auto"/>
    </w:pPr>
    <w:rPr>
      <w:rFonts w:ascii="Arial" w:eastAsia="Times New Roman" w:hAnsi="Arial" w:cs="Times New Roman"/>
      <w:b/>
      <w:bCs/>
      <w:color w:val="5B9BD5" w:themeColor="accent1"/>
      <w:sz w:val="18"/>
      <w:szCs w:val="18"/>
      <w:lang w:val="en-GB" w:eastAsia="en-GB"/>
    </w:rPr>
  </w:style>
  <w:style w:type="character" w:styleId="Hyperlink">
    <w:name w:val="Hyperlink"/>
    <w:basedOn w:val="DefaultParagraphFont"/>
    <w:uiPriority w:val="99"/>
    <w:unhideWhenUsed/>
    <w:rsid w:val="00F25BC6"/>
    <w:rPr>
      <w:color w:val="0563C1" w:themeColor="hyperlink"/>
      <w:u w:val="single"/>
    </w:rPr>
  </w:style>
  <w:style w:type="character" w:styleId="CommentReference">
    <w:name w:val="annotation reference"/>
    <w:basedOn w:val="DefaultParagraphFont"/>
    <w:uiPriority w:val="99"/>
    <w:semiHidden/>
    <w:unhideWhenUsed/>
    <w:rsid w:val="006F611C"/>
    <w:rPr>
      <w:sz w:val="16"/>
      <w:szCs w:val="16"/>
    </w:rPr>
  </w:style>
  <w:style w:type="paragraph" w:styleId="CommentText">
    <w:name w:val="annotation text"/>
    <w:basedOn w:val="Normal"/>
    <w:link w:val="CommentTextChar"/>
    <w:uiPriority w:val="99"/>
    <w:semiHidden/>
    <w:unhideWhenUsed/>
    <w:rsid w:val="006F611C"/>
    <w:pPr>
      <w:spacing w:line="240" w:lineRule="auto"/>
    </w:pPr>
    <w:rPr>
      <w:sz w:val="20"/>
      <w:szCs w:val="20"/>
    </w:rPr>
  </w:style>
  <w:style w:type="character" w:customStyle="1" w:styleId="CommentTextChar">
    <w:name w:val="Comment Text Char"/>
    <w:basedOn w:val="DefaultParagraphFont"/>
    <w:link w:val="CommentText"/>
    <w:uiPriority w:val="99"/>
    <w:semiHidden/>
    <w:rsid w:val="006F611C"/>
    <w:rPr>
      <w:sz w:val="20"/>
      <w:szCs w:val="20"/>
    </w:rPr>
  </w:style>
  <w:style w:type="paragraph" w:styleId="CommentSubject">
    <w:name w:val="annotation subject"/>
    <w:basedOn w:val="CommentText"/>
    <w:next w:val="CommentText"/>
    <w:link w:val="CommentSubjectChar"/>
    <w:uiPriority w:val="99"/>
    <w:semiHidden/>
    <w:unhideWhenUsed/>
    <w:rsid w:val="006F611C"/>
    <w:rPr>
      <w:b/>
      <w:bCs/>
    </w:rPr>
  </w:style>
  <w:style w:type="character" w:customStyle="1" w:styleId="CommentSubjectChar">
    <w:name w:val="Comment Subject Char"/>
    <w:basedOn w:val="CommentTextChar"/>
    <w:link w:val="CommentSubject"/>
    <w:uiPriority w:val="99"/>
    <w:semiHidden/>
    <w:rsid w:val="006F611C"/>
    <w:rPr>
      <w:b/>
      <w:bCs/>
      <w:sz w:val="20"/>
      <w:szCs w:val="20"/>
    </w:rPr>
  </w:style>
  <w:style w:type="paragraph" w:styleId="BalloonText">
    <w:name w:val="Balloon Text"/>
    <w:basedOn w:val="Normal"/>
    <w:link w:val="BalloonTextChar"/>
    <w:uiPriority w:val="99"/>
    <w:semiHidden/>
    <w:unhideWhenUsed/>
    <w:rsid w:val="006F61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megasoftware.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3778</Words>
  <Characters>21540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AgResearch Limited</Company>
  <LinksUpToDate>false</LinksUpToDate>
  <CharactersWithSpaces>25268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Altermann, Eric</dc:creator>
  <cp:keywords/>
  <dc:description/>
  <cp:lastModifiedBy>Frontiers</cp:lastModifiedBy>
  <cp:revision>2</cp:revision>
  <dcterms:created xsi:type="dcterms:W3CDTF">2018-10-02T07:07:00Z</dcterms:created>
  <dcterms:modified xsi:type="dcterms:W3CDTF">2018-10-02T07:07:00Z</dcterms:modified>
</cp:coreProperties>
</file>