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161"/>
        <w:tblW w:w="7706" w:type="dxa"/>
        <w:tblLayout w:type="fixed"/>
        <w:tblLook w:val="04A0" w:firstRow="1" w:lastRow="0" w:firstColumn="1" w:lastColumn="0" w:noHBand="0" w:noVBand="1"/>
      </w:tblPr>
      <w:tblGrid>
        <w:gridCol w:w="2499"/>
        <w:gridCol w:w="2145"/>
        <w:gridCol w:w="1843"/>
        <w:gridCol w:w="1219"/>
      </w:tblGrid>
      <w:tr w:rsidR="00692118" w:rsidRPr="008868D5" w14:paraId="112F3479" w14:textId="77777777" w:rsidTr="00837CCB">
        <w:trPr>
          <w:trHeight w:val="530"/>
        </w:trPr>
        <w:tc>
          <w:tcPr>
            <w:tcW w:w="2499" w:type="dxa"/>
            <w:shd w:val="clear" w:color="auto" w:fill="D9D9D9" w:themeFill="background1" w:themeFillShade="D9"/>
            <w:vAlign w:val="center"/>
            <w:hideMark/>
          </w:tcPr>
          <w:p w14:paraId="0BA25579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szCs w:val="24"/>
                <w:lang w:eastAsia="en-GB"/>
              </w:rPr>
              <w:t>Variable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  <w:hideMark/>
          </w:tcPr>
          <w:p w14:paraId="6DB5BC93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Patients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104764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Paired Controls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3B8FA810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P</w:t>
            </w:r>
          </w:p>
        </w:tc>
      </w:tr>
      <w:tr w:rsidR="00692118" w:rsidRPr="008868D5" w14:paraId="32FF0690" w14:textId="77777777" w:rsidTr="00837CCB">
        <w:trPr>
          <w:trHeight w:val="98"/>
        </w:trPr>
        <w:tc>
          <w:tcPr>
            <w:tcW w:w="2499" w:type="dxa"/>
            <w:vAlign w:val="center"/>
          </w:tcPr>
          <w:p w14:paraId="5AFCC472" w14:textId="77777777" w:rsidR="00692118" w:rsidRPr="008868D5" w:rsidRDefault="00692118" w:rsidP="00837C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Number (n)</w:t>
            </w:r>
          </w:p>
        </w:tc>
        <w:tc>
          <w:tcPr>
            <w:tcW w:w="2145" w:type="dxa"/>
            <w:vAlign w:val="center"/>
          </w:tcPr>
          <w:p w14:paraId="2E0935FD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  <w:t>31</w:t>
            </w:r>
          </w:p>
        </w:tc>
        <w:tc>
          <w:tcPr>
            <w:tcW w:w="1843" w:type="dxa"/>
            <w:vAlign w:val="center"/>
          </w:tcPr>
          <w:p w14:paraId="3268E5F4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  <w:t>31</w:t>
            </w:r>
          </w:p>
        </w:tc>
        <w:tc>
          <w:tcPr>
            <w:tcW w:w="1219" w:type="dxa"/>
            <w:vAlign w:val="center"/>
          </w:tcPr>
          <w:p w14:paraId="7D4AA092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</w:p>
        </w:tc>
      </w:tr>
      <w:tr w:rsidR="00692118" w:rsidRPr="008868D5" w14:paraId="6CA8B447" w14:textId="77777777" w:rsidTr="00837CCB">
        <w:trPr>
          <w:trHeight w:val="98"/>
        </w:trPr>
        <w:tc>
          <w:tcPr>
            <w:tcW w:w="2499" w:type="dxa"/>
            <w:vAlign w:val="center"/>
            <w:hideMark/>
          </w:tcPr>
          <w:p w14:paraId="7CAB9029" w14:textId="77777777" w:rsidR="00692118" w:rsidRPr="008868D5" w:rsidRDefault="00692118" w:rsidP="00837C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Age (years)</w:t>
            </w:r>
          </w:p>
        </w:tc>
        <w:tc>
          <w:tcPr>
            <w:tcW w:w="2145" w:type="dxa"/>
            <w:vAlign w:val="center"/>
          </w:tcPr>
          <w:p w14:paraId="5CC66A88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67.90 ± 6.90</w:t>
            </w:r>
          </w:p>
        </w:tc>
        <w:tc>
          <w:tcPr>
            <w:tcW w:w="1843" w:type="dxa"/>
            <w:vAlign w:val="center"/>
          </w:tcPr>
          <w:p w14:paraId="42F1C424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  <w:t>67.81 ± 6.14</w:t>
            </w:r>
          </w:p>
        </w:tc>
        <w:tc>
          <w:tcPr>
            <w:tcW w:w="1219" w:type="dxa"/>
            <w:vAlign w:val="center"/>
          </w:tcPr>
          <w:p w14:paraId="4FFE5FA9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  <w:t>0.954</w:t>
            </w:r>
          </w:p>
        </w:tc>
      </w:tr>
      <w:tr w:rsidR="00692118" w:rsidRPr="008868D5" w14:paraId="2D099D73" w14:textId="77777777" w:rsidTr="00837CCB">
        <w:trPr>
          <w:trHeight w:val="98"/>
        </w:trPr>
        <w:tc>
          <w:tcPr>
            <w:tcW w:w="2499" w:type="dxa"/>
            <w:vAlign w:val="center"/>
            <w:hideMark/>
          </w:tcPr>
          <w:p w14:paraId="1F18F87D" w14:textId="77777777" w:rsidR="00692118" w:rsidRPr="008868D5" w:rsidRDefault="00692118" w:rsidP="00837C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Gender</w:t>
            </w:r>
          </w:p>
          <w:p w14:paraId="1C018E15" w14:textId="77777777" w:rsidR="00692118" w:rsidRPr="008868D5" w:rsidRDefault="00692118" w:rsidP="00837CC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(% male)</w:t>
            </w:r>
          </w:p>
        </w:tc>
        <w:tc>
          <w:tcPr>
            <w:tcW w:w="2145" w:type="dxa"/>
            <w:vAlign w:val="center"/>
          </w:tcPr>
          <w:p w14:paraId="02B477BA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71.0</w:t>
            </w:r>
          </w:p>
        </w:tc>
        <w:tc>
          <w:tcPr>
            <w:tcW w:w="1843" w:type="dxa"/>
            <w:vAlign w:val="center"/>
          </w:tcPr>
          <w:p w14:paraId="6061C19B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  <w:t>71.9</w:t>
            </w:r>
          </w:p>
        </w:tc>
        <w:tc>
          <w:tcPr>
            <w:tcW w:w="1219" w:type="dxa"/>
            <w:vAlign w:val="center"/>
          </w:tcPr>
          <w:p w14:paraId="214D4981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  <w:t>0.610</w:t>
            </w:r>
          </w:p>
        </w:tc>
      </w:tr>
      <w:tr w:rsidR="00692118" w:rsidRPr="008868D5" w14:paraId="4C73940F" w14:textId="77777777" w:rsidTr="00837CCB">
        <w:trPr>
          <w:trHeight w:val="98"/>
        </w:trPr>
        <w:tc>
          <w:tcPr>
            <w:tcW w:w="2499" w:type="dxa"/>
            <w:vAlign w:val="center"/>
            <w:hideMark/>
          </w:tcPr>
          <w:p w14:paraId="64EA1878" w14:textId="77777777" w:rsidR="00692118" w:rsidRPr="008868D5" w:rsidRDefault="00692118" w:rsidP="00837CCB">
            <w:pPr>
              <w:spacing w:before="0" w:after="0"/>
              <w:rPr>
                <w:rFonts w:eastAsia="Times New Roman" w:cs="Times New Roman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Disease duration (years)</w:t>
            </w:r>
          </w:p>
        </w:tc>
        <w:tc>
          <w:tcPr>
            <w:tcW w:w="2145" w:type="dxa"/>
            <w:vAlign w:val="center"/>
          </w:tcPr>
          <w:p w14:paraId="03B9AFAE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4.34 ± 1.13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14:paraId="059551E6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</w:p>
        </w:tc>
      </w:tr>
      <w:tr w:rsidR="00692118" w:rsidRPr="008868D5" w14:paraId="72920EBF" w14:textId="77777777" w:rsidTr="00837CCB">
        <w:trPr>
          <w:trHeight w:val="98"/>
        </w:trPr>
        <w:tc>
          <w:tcPr>
            <w:tcW w:w="2499" w:type="dxa"/>
            <w:vAlign w:val="center"/>
            <w:hideMark/>
          </w:tcPr>
          <w:p w14:paraId="0903E370" w14:textId="77777777" w:rsidR="00692118" w:rsidRPr="008868D5" w:rsidRDefault="00692118" w:rsidP="00837CCB">
            <w:pPr>
              <w:spacing w:before="0" w:after="0"/>
              <w:rPr>
                <w:rFonts w:eastAsia="Times New Roman" w:cs="Times New Roman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MDS-UPDRS motor score</w:t>
            </w:r>
          </w:p>
        </w:tc>
        <w:tc>
          <w:tcPr>
            <w:tcW w:w="2145" w:type="dxa"/>
            <w:vAlign w:val="center"/>
          </w:tcPr>
          <w:p w14:paraId="7538E6F2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33.70 ± 2.47</w:t>
            </w:r>
          </w:p>
        </w:tc>
        <w:tc>
          <w:tcPr>
            <w:tcW w:w="3062" w:type="dxa"/>
            <w:gridSpan w:val="2"/>
            <w:vMerge/>
            <w:vAlign w:val="center"/>
          </w:tcPr>
          <w:p w14:paraId="2300D903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</w:p>
        </w:tc>
      </w:tr>
      <w:tr w:rsidR="00692118" w:rsidRPr="008868D5" w14:paraId="35BE3952" w14:textId="77777777" w:rsidTr="00837CCB">
        <w:trPr>
          <w:trHeight w:val="98"/>
        </w:trPr>
        <w:tc>
          <w:tcPr>
            <w:tcW w:w="2499" w:type="dxa"/>
            <w:vAlign w:val="center"/>
            <w:hideMark/>
          </w:tcPr>
          <w:p w14:paraId="684C9A3D" w14:textId="77777777" w:rsidR="00692118" w:rsidRPr="008868D5" w:rsidRDefault="00692118" w:rsidP="00837CCB">
            <w:pPr>
              <w:spacing w:before="0" w:after="0"/>
              <w:rPr>
                <w:rFonts w:eastAsia="Times New Roman" w:cs="Times New Roman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Equivalent Levodopa dose</w:t>
            </w:r>
          </w:p>
        </w:tc>
        <w:tc>
          <w:tcPr>
            <w:tcW w:w="2145" w:type="dxa"/>
            <w:vAlign w:val="center"/>
          </w:tcPr>
          <w:p w14:paraId="5DC602E1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620.52 ± 302.40</w:t>
            </w:r>
          </w:p>
        </w:tc>
        <w:tc>
          <w:tcPr>
            <w:tcW w:w="3062" w:type="dxa"/>
            <w:gridSpan w:val="2"/>
            <w:vMerge/>
            <w:vAlign w:val="center"/>
          </w:tcPr>
          <w:p w14:paraId="10696116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</w:p>
        </w:tc>
      </w:tr>
      <w:tr w:rsidR="00692118" w:rsidRPr="008868D5" w14:paraId="7F949F2A" w14:textId="77777777" w:rsidTr="00837CCB">
        <w:trPr>
          <w:trHeight w:val="98"/>
        </w:trPr>
        <w:tc>
          <w:tcPr>
            <w:tcW w:w="2499" w:type="dxa"/>
            <w:vAlign w:val="center"/>
            <w:hideMark/>
          </w:tcPr>
          <w:p w14:paraId="5DA9DEB2" w14:textId="77777777" w:rsidR="00692118" w:rsidRPr="008868D5" w:rsidRDefault="00692118" w:rsidP="00837CCB">
            <w:pPr>
              <w:spacing w:before="0" w:after="0"/>
              <w:rPr>
                <w:rFonts w:eastAsia="Times New Roman" w:cs="Times New Roman"/>
                <w:szCs w:val="24"/>
                <w:lang w:eastAsia="en-GB"/>
              </w:rPr>
            </w:pPr>
            <w:r w:rsidRPr="008868D5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en-GB"/>
              </w:rPr>
              <w:t>ACE-R score</w:t>
            </w:r>
          </w:p>
        </w:tc>
        <w:tc>
          <w:tcPr>
            <w:tcW w:w="2145" w:type="dxa"/>
            <w:vAlign w:val="center"/>
          </w:tcPr>
          <w:p w14:paraId="58D13FAF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94.10 ± 7.90</w:t>
            </w:r>
          </w:p>
        </w:tc>
        <w:tc>
          <w:tcPr>
            <w:tcW w:w="3062" w:type="dxa"/>
            <w:gridSpan w:val="2"/>
            <w:vMerge/>
            <w:vAlign w:val="center"/>
          </w:tcPr>
          <w:p w14:paraId="6E85016D" w14:textId="77777777" w:rsidR="00692118" w:rsidRPr="008868D5" w:rsidRDefault="00692118" w:rsidP="00837CCB">
            <w:pPr>
              <w:spacing w:before="0" w:after="0"/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en-GB"/>
              </w:rPr>
            </w:pPr>
          </w:p>
        </w:tc>
      </w:tr>
    </w:tbl>
    <w:p w14:paraId="03AB161B" w14:textId="77777777" w:rsidR="00692118" w:rsidRDefault="00692118" w:rsidP="00692118">
      <w:pPr>
        <w:spacing w:after="0"/>
        <w:textAlignment w:val="center"/>
        <w:rPr>
          <w:rFonts w:eastAsia="Times New Roman" w:cs="Times New Roman"/>
          <w:color w:val="000000"/>
          <w:szCs w:val="24"/>
          <w:lang w:eastAsia="en-GB"/>
        </w:rPr>
      </w:pPr>
      <w:bookmarkStart w:id="0" w:name="_GoBack"/>
      <w:bookmarkEnd w:id="0"/>
    </w:p>
    <w:p w14:paraId="557BC96C" w14:textId="77777777" w:rsidR="00692118" w:rsidRDefault="00692118" w:rsidP="00692118">
      <w:pPr>
        <w:spacing w:after="0"/>
        <w:textAlignment w:val="center"/>
        <w:rPr>
          <w:rFonts w:eastAsia="Times New Roman" w:cs="Times New Roman"/>
          <w:color w:val="000000"/>
          <w:szCs w:val="24"/>
          <w:lang w:eastAsia="en-GB"/>
        </w:rPr>
      </w:pPr>
      <w:r w:rsidRPr="00DC7EE3">
        <w:rPr>
          <w:rFonts w:eastAsia="Times New Roman" w:cs="Times New Roman"/>
          <w:i/>
          <w:color w:val="000000"/>
          <w:szCs w:val="24"/>
          <w:lang w:eastAsia="en-GB"/>
        </w:rPr>
        <w:t xml:space="preserve">Supplementary Table 1 – Table summarizing basic demographic details of the participants. </w:t>
      </w:r>
      <w:r w:rsidRPr="002072B8">
        <w:rPr>
          <w:rFonts w:cs="Times New Roman"/>
          <w:i/>
          <w:szCs w:val="24"/>
        </w:rPr>
        <w:t xml:space="preserve">Values indicate Mean ± SD (Standard deviation); </w:t>
      </w:r>
      <w:r>
        <w:rPr>
          <w:rFonts w:cs="Times New Roman"/>
          <w:i/>
          <w:szCs w:val="24"/>
        </w:rPr>
        <w:t>MDS-</w:t>
      </w:r>
      <w:r w:rsidRPr="002072B8">
        <w:rPr>
          <w:rFonts w:cs="Times New Roman"/>
          <w:i/>
          <w:szCs w:val="24"/>
        </w:rPr>
        <w:t xml:space="preserve">UPDRS – </w:t>
      </w:r>
      <w:r>
        <w:rPr>
          <w:rFonts w:cs="Times New Roman"/>
          <w:i/>
          <w:szCs w:val="24"/>
        </w:rPr>
        <w:t xml:space="preserve">Movement Disorder Society </w:t>
      </w:r>
      <w:r w:rsidRPr="002072B8">
        <w:rPr>
          <w:rFonts w:cs="Times New Roman"/>
          <w:i/>
          <w:szCs w:val="24"/>
        </w:rPr>
        <w:t xml:space="preserve">Unified Parkinson’s Disease Rating Scale; ACE-R – Addenbrooke’s </w:t>
      </w:r>
      <w:r>
        <w:rPr>
          <w:rFonts w:cs="Times New Roman"/>
          <w:i/>
          <w:szCs w:val="24"/>
        </w:rPr>
        <w:t>Cognitive Examination (Revised)</w:t>
      </w:r>
    </w:p>
    <w:p w14:paraId="08EB163F" w14:textId="77777777" w:rsidR="007E07B5" w:rsidRDefault="007E07B5"/>
    <w:sectPr w:rsidR="007E07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01546" w14:textId="77777777" w:rsidR="00A361C2" w:rsidRDefault="00A361C2" w:rsidP="00A361C2">
      <w:pPr>
        <w:spacing w:before="0" w:after="0"/>
      </w:pPr>
      <w:r>
        <w:separator/>
      </w:r>
    </w:p>
  </w:endnote>
  <w:endnote w:type="continuationSeparator" w:id="0">
    <w:p w14:paraId="6E99144B" w14:textId="77777777" w:rsidR="00A361C2" w:rsidRDefault="00A361C2" w:rsidP="00A361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86B5" w14:textId="77777777" w:rsidR="00A361C2" w:rsidRDefault="00A361C2" w:rsidP="00A361C2">
      <w:pPr>
        <w:spacing w:before="0" w:after="0"/>
      </w:pPr>
      <w:r>
        <w:separator/>
      </w:r>
    </w:p>
  </w:footnote>
  <w:footnote w:type="continuationSeparator" w:id="0">
    <w:p w14:paraId="00936F9A" w14:textId="77777777" w:rsidR="00A361C2" w:rsidRDefault="00A361C2" w:rsidP="00A361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6FF1" w14:textId="49095148" w:rsidR="00A361C2" w:rsidRPr="00A361C2" w:rsidRDefault="003D1166">
    <w:pPr>
      <w:pStyle w:val="Header"/>
      <w:rPr>
        <w:b/>
      </w:rPr>
    </w:pPr>
    <w:r w:rsidRPr="003D1166">
      <w:rPr>
        <w:b/>
      </w:rPr>
      <w:t>Peripheral Inflammatory Response in Parkinson’s Disease</w:t>
    </w:r>
    <w:r w:rsidR="00A361C2">
      <w:tab/>
    </w:r>
    <w:r w:rsidR="00A361C2">
      <w:rPr>
        <w:b/>
      </w:rPr>
      <w:t>White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8"/>
    <w:rsid w:val="003D1166"/>
    <w:rsid w:val="00692118"/>
    <w:rsid w:val="007E07B5"/>
    <w:rsid w:val="00A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FCAC"/>
  <w15:chartTrackingRefBased/>
  <w15:docId w15:val="{23037CD2-A309-4F7F-9225-267E0AD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118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211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1C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61C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61C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61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White</dc:creator>
  <cp:keywords/>
  <dc:description/>
  <cp:lastModifiedBy>A.J. White</cp:lastModifiedBy>
  <cp:revision>3</cp:revision>
  <dcterms:created xsi:type="dcterms:W3CDTF">2018-07-07T08:04:00Z</dcterms:created>
  <dcterms:modified xsi:type="dcterms:W3CDTF">2018-07-07T08:06:00Z</dcterms:modified>
</cp:coreProperties>
</file>