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0F222F0D" w:rsidR="00817DD6" w:rsidRPr="0056774F" w:rsidRDefault="0056774F" w:rsidP="0056774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Impaired COMMD10-Mediated R</w:t>
      </w:r>
      <w:r w:rsidRPr="002622FB">
        <w:rPr>
          <w:b/>
          <w:bCs/>
          <w:sz w:val="32"/>
          <w:szCs w:val="32"/>
        </w:rPr>
        <w:t>egulation of Ly6C</w:t>
      </w:r>
      <w:r w:rsidRPr="002622FB">
        <w:rPr>
          <w:b/>
          <w:bCs/>
          <w:sz w:val="32"/>
          <w:szCs w:val="32"/>
          <w:vertAlign w:val="superscript"/>
        </w:rPr>
        <w:t>hi</w:t>
      </w:r>
      <w:r>
        <w:rPr>
          <w:b/>
          <w:bCs/>
          <w:sz w:val="32"/>
          <w:szCs w:val="32"/>
        </w:rPr>
        <w:t xml:space="preserve"> Monocyte-Driven Inflammation</w:t>
      </w:r>
      <w:r w:rsidRPr="002622F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Disrupts</w:t>
      </w:r>
      <w:r w:rsidRPr="002622F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G</w:t>
      </w:r>
      <w:r w:rsidRPr="002622FB">
        <w:rPr>
          <w:b/>
          <w:bCs/>
          <w:sz w:val="32"/>
          <w:szCs w:val="32"/>
        </w:rPr>
        <w:t xml:space="preserve">ut </w:t>
      </w:r>
      <w:r>
        <w:rPr>
          <w:b/>
          <w:bCs/>
          <w:sz w:val="32"/>
          <w:szCs w:val="32"/>
        </w:rPr>
        <w:t>Barrier F</w:t>
      </w:r>
      <w:r w:rsidRPr="002622FB">
        <w:rPr>
          <w:b/>
          <w:bCs/>
          <w:sz w:val="32"/>
          <w:szCs w:val="32"/>
        </w:rPr>
        <w:t>unction</w:t>
      </w:r>
      <w:r>
        <w:rPr>
          <w:b/>
          <w:bCs/>
          <w:sz w:val="32"/>
          <w:szCs w:val="32"/>
        </w:rPr>
        <w:t xml:space="preserve"> </w:t>
      </w:r>
    </w:p>
    <w:p w14:paraId="0E70F2E9" w14:textId="35ACCE94" w:rsidR="00586D22" w:rsidRPr="00EF1065" w:rsidRDefault="00EF1065" w:rsidP="00EF1065">
      <w:pPr>
        <w:autoSpaceDE w:val="0"/>
        <w:autoSpaceDN w:val="0"/>
        <w:adjustRightInd w:val="0"/>
        <w:spacing w:before="0" w:after="0"/>
        <w:rPr>
          <w:rFonts w:asciiTheme="majorBidi" w:hAnsiTheme="majorBidi" w:cstheme="majorBidi"/>
          <w:color w:val="FF0000"/>
          <w:szCs w:val="24"/>
          <w:lang w:bidi="he-IL"/>
        </w:rPr>
      </w:pPr>
      <w:proofErr w:type="spellStart"/>
      <w:r w:rsidRPr="00EF1065">
        <w:rPr>
          <w:rFonts w:asciiTheme="majorBidi" w:hAnsiTheme="majorBidi" w:cstheme="majorBidi"/>
          <w:color w:val="000000"/>
          <w:szCs w:val="24"/>
          <w:lang w:bidi="he-IL"/>
        </w:rPr>
        <w:t>Odelia</w:t>
      </w:r>
      <w:proofErr w:type="spellEnd"/>
      <w:r w:rsidRPr="00EF1065">
        <w:rPr>
          <w:rFonts w:asciiTheme="majorBidi" w:hAnsiTheme="majorBidi" w:cstheme="majorBidi"/>
          <w:color w:val="000000"/>
          <w:szCs w:val="24"/>
          <w:lang w:bidi="he-IL"/>
        </w:rPr>
        <w:t xml:space="preserve"> Mouhadeb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</w:t>
      </w:r>
      <w:proofErr w:type="gramStart"/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,2</w:t>
      </w:r>
      <w:proofErr w:type="gramEnd"/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†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Shani Ben Shlomo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1†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Keren Cohen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1,2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 xml:space="preserve">, </w:t>
      </w:r>
      <w:proofErr w:type="spellStart"/>
      <w:r w:rsidRPr="00EF1065">
        <w:rPr>
          <w:rFonts w:asciiTheme="majorBidi" w:hAnsiTheme="majorBidi" w:cstheme="majorBidi"/>
          <w:color w:val="000000"/>
          <w:szCs w:val="24"/>
          <w:lang w:bidi="he-IL"/>
        </w:rPr>
        <w:t>Inbal</w:t>
      </w:r>
      <w:proofErr w:type="spellEnd"/>
      <w:r w:rsidRPr="00EF1065">
        <w:rPr>
          <w:rFonts w:asciiTheme="majorBidi" w:hAnsiTheme="majorBidi" w:cstheme="majorBidi"/>
          <w:color w:val="000000"/>
          <w:szCs w:val="24"/>
          <w:lang w:bidi="he-IL"/>
        </w:rPr>
        <w:t xml:space="preserve"> Farkash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</w:t>
      </w:r>
      <w:r>
        <w:rPr>
          <w:rFonts w:asciiTheme="majorBidi" w:hAnsiTheme="majorBidi" w:cstheme="majorBidi"/>
          <w:color w:val="000000"/>
          <w:szCs w:val="24"/>
          <w:lang w:bidi="he-IL"/>
        </w:rPr>
        <w:t>,</w:t>
      </w:r>
      <w:r>
        <w:rPr>
          <w:rFonts w:asciiTheme="majorBidi" w:hAnsiTheme="majorBidi" w:cstheme="majorBidi"/>
          <w:color w:val="FF0000"/>
          <w:szCs w:val="24"/>
          <w:lang w:bidi="he-IL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Cs w:val="24"/>
          <w:lang w:bidi="he-IL"/>
        </w:rPr>
        <w:t>Shlomo</w:t>
      </w:r>
      <w:proofErr w:type="spellEnd"/>
      <w:r>
        <w:rPr>
          <w:rFonts w:asciiTheme="majorBidi" w:hAnsiTheme="majorBidi" w:cstheme="majorBidi"/>
          <w:color w:val="000000"/>
          <w:szCs w:val="24"/>
          <w:lang w:bidi="he-IL"/>
        </w:rPr>
        <w:t xml:space="preserve"> Gruber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Nitsan Maharshak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Zamir Halpern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Ezra Burstein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3,4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>, Nathan Gluck1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*‡</w:t>
      </w:r>
      <w:r>
        <w:rPr>
          <w:rFonts w:asciiTheme="majorBidi" w:hAnsiTheme="majorBidi" w:cstheme="majorBidi"/>
          <w:color w:val="FF0000"/>
          <w:szCs w:val="24"/>
          <w:lang w:bidi="he-IL"/>
        </w:rPr>
        <w:t xml:space="preserve"> </w:t>
      </w:r>
      <w:r w:rsidRPr="00EF1065">
        <w:rPr>
          <w:rFonts w:asciiTheme="majorBidi" w:hAnsiTheme="majorBidi" w:cstheme="majorBidi"/>
          <w:color w:val="000000"/>
          <w:szCs w:val="24"/>
          <w:lang w:bidi="he-IL"/>
        </w:rPr>
        <w:t xml:space="preserve">and Chen Varol </w:t>
      </w: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1,2*‡</w:t>
      </w:r>
    </w:p>
    <w:p w14:paraId="59535646" w14:textId="77777777" w:rsidR="00EF1065" w:rsidRDefault="00EF1065" w:rsidP="00EF1065">
      <w:pPr>
        <w:spacing w:after="120"/>
        <w:jc w:val="both"/>
        <w:rPr>
          <w:rFonts w:asciiTheme="majorBidi" w:hAnsiTheme="majorBidi" w:cstheme="majorBidi"/>
          <w:bCs/>
          <w:szCs w:val="24"/>
          <w:vertAlign w:val="superscript"/>
        </w:rPr>
      </w:pPr>
    </w:p>
    <w:p w14:paraId="6D2191BF" w14:textId="77777777" w:rsidR="00EF1065" w:rsidRPr="00EF1065" w:rsidRDefault="00EF1065" w:rsidP="00EF1065">
      <w:pPr>
        <w:spacing w:after="120"/>
        <w:jc w:val="both"/>
        <w:rPr>
          <w:rFonts w:asciiTheme="majorBidi" w:hAnsiTheme="majorBidi" w:cstheme="majorBidi"/>
          <w:bCs/>
          <w:szCs w:val="24"/>
          <w:vertAlign w:val="superscript"/>
        </w:rPr>
      </w:pPr>
    </w:p>
    <w:p w14:paraId="1C77E597" w14:textId="77777777" w:rsidR="00C5506A" w:rsidRPr="00506117" w:rsidRDefault="00C5506A" w:rsidP="00C5506A">
      <w:pPr>
        <w:spacing w:after="120"/>
        <w:jc w:val="both"/>
        <w:rPr>
          <w:bCs/>
        </w:rPr>
      </w:pPr>
      <w:r w:rsidRPr="00506117">
        <w:rPr>
          <w:bCs/>
          <w:vertAlign w:val="superscript"/>
        </w:rPr>
        <w:t>1</w:t>
      </w:r>
      <w:r w:rsidRPr="00506117">
        <w:rPr>
          <w:bCs/>
        </w:rPr>
        <w:t xml:space="preserve"> The Research Center for Digestive Tract and Liver Diseases, Tel-Aviv </w:t>
      </w:r>
      <w:proofErr w:type="spellStart"/>
      <w:r w:rsidRPr="00506117">
        <w:rPr>
          <w:bCs/>
        </w:rPr>
        <w:t>Sourasky</w:t>
      </w:r>
      <w:proofErr w:type="spellEnd"/>
      <w:r w:rsidRPr="00506117">
        <w:rPr>
          <w:bCs/>
        </w:rPr>
        <w:t xml:space="preserve"> Medical Center and </w:t>
      </w:r>
      <w:proofErr w:type="spellStart"/>
      <w:r w:rsidRPr="00506117">
        <w:rPr>
          <w:bCs/>
        </w:rPr>
        <w:t>Sackler</w:t>
      </w:r>
      <w:proofErr w:type="spellEnd"/>
      <w:r w:rsidRPr="00506117">
        <w:rPr>
          <w:bCs/>
        </w:rPr>
        <w:t xml:space="preserve"> School of Medicine, Tel-Aviv University, Israel.</w:t>
      </w:r>
    </w:p>
    <w:p w14:paraId="3EAF8448" w14:textId="77777777" w:rsidR="00C5506A" w:rsidRPr="00506117" w:rsidRDefault="00C5506A" w:rsidP="00C5506A">
      <w:pPr>
        <w:spacing w:after="120"/>
        <w:jc w:val="both"/>
        <w:rPr>
          <w:bCs/>
        </w:rPr>
      </w:pPr>
      <w:r w:rsidRPr="00506117">
        <w:rPr>
          <w:bCs/>
          <w:vertAlign w:val="superscript"/>
        </w:rPr>
        <w:t xml:space="preserve">2 </w:t>
      </w:r>
      <w:proofErr w:type="gramStart"/>
      <w:r w:rsidRPr="00506117">
        <w:rPr>
          <w:bCs/>
        </w:rPr>
        <w:t>Department</w:t>
      </w:r>
      <w:proofErr w:type="gramEnd"/>
      <w:r w:rsidRPr="00506117">
        <w:rPr>
          <w:bCs/>
        </w:rPr>
        <w:t xml:space="preserve"> of Clinical Microbiology and Immunology,</w:t>
      </w:r>
      <w:r w:rsidRPr="00506117">
        <w:rPr>
          <w:bCs/>
          <w:vertAlign w:val="superscript"/>
        </w:rPr>
        <w:t xml:space="preserve"> </w:t>
      </w:r>
      <w:proofErr w:type="spellStart"/>
      <w:r w:rsidRPr="00506117">
        <w:rPr>
          <w:bCs/>
        </w:rPr>
        <w:t>Sackler</w:t>
      </w:r>
      <w:proofErr w:type="spellEnd"/>
      <w:r w:rsidRPr="00506117">
        <w:rPr>
          <w:bCs/>
        </w:rPr>
        <w:t xml:space="preserve"> School of Medicine, Tel-Aviv University, Israel.</w:t>
      </w:r>
    </w:p>
    <w:p w14:paraId="6E72A15C" w14:textId="77777777" w:rsidR="00C5506A" w:rsidRPr="00506117" w:rsidRDefault="00C5506A" w:rsidP="00C5506A">
      <w:pPr>
        <w:spacing w:after="120"/>
        <w:jc w:val="both"/>
        <w:rPr>
          <w:bCs/>
          <w:vertAlign w:val="superscript"/>
        </w:rPr>
      </w:pPr>
      <w:r w:rsidRPr="00506117">
        <w:rPr>
          <w:bCs/>
          <w:vertAlign w:val="superscript"/>
        </w:rPr>
        <w:t>3</w:t>
      </w:r>
      <w:r w:rsidRPr="00506117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506117">
        <w:rPr>
          <w:bCs/>
        </w:rPr>
        <w:t>Department of Internal Medicine and Department of Molecular Biology, University of Texas Southwestern Medical Center, Dallas, USA</w:t>
      </w:r>
    </w:p>
    <w:p w14:paraId="3EA53325" w14:textId="3B5DBFCE" w:rsidR="00C5506A" w:rsidRPr="00506117" w:rsidRDefault="00EF1065" w:rsidP="00C5506A">
      <w:pPr>
        <w:spacing w:after="120"/>
        <w:jc w:val="both"/>
        <w:outlineLvl w:val="0"/>
        <w:rPr>
          <w:bCs/>
        </w:rPr>
      </w:pPr>
      <w:r w:rsidRPr="00EF1065">
        <w:rPr>
          <w:rFonts w:ascii="Calibri" w:hAnsi="Calibri"/>
          <w:bCs/>
          <w:vertAlign w:val="superscript"/>
        </w:rPr>
        <w:t>†</w:t>
      </w:r>
      <w:r w:rsidR="00C5506A" w:rsidRPr="00506117">
        <w:rPr>
          <w:bCs/>
          <w:vertAlign w:val="superscript"/>
        </w:rPr>
        <w:t xml:space="preserve"> </w:t>
      </w:r>
      <w:r w:rsidR="00C5506A" w:rsidRPr="00506117">
        <w:rPr>
          <w:bCs/>
        </w:rPr>
        <w:t>These authors contributed equally</w:t>
      </w:r>
    </w:p>
    <w:p w14:paraId="2ED29BC0" w14:textId="4BB2B80D" w:rsidR="00C47779" w:rsidRPr="00C47779" w:rsidRDefault="00C47779" w:rsidP="00C47779">
      <w:pPr>
        <w:spacing w:after="120"/>
        <w:jc w:val="both"/>
        <w:outlineLvl w:val="0"/>
        <w:rPr>
          <w:bCs/>
        </w:rPr>
      </w:pPr>
      <w:r w:rsidRPr="00EF1065">
        <w:rPr>
          <w:rFonts w:asciiTheme="majorBidi" w:hAnsiTheme="majorBidi" w:cstheme="majorBidi"/>
          <w:color w:val="000000"/>
          <w:szCs w:val="24"/>
          <w:vertAlign w:val="superscript"/>
          <w:lang w:bidi="he-IL"/>
        </w:rPr>
        <w:t>‡</w:t>
      </w:r>
      <w:r>
        <w:rPr>
          <w:bCs/>
          <w:vertAlign w:val="superscript"/>
        </w:rPr>
        <w:t xml:space="preserve"> </w:t>
      </w:r>
      <w:r w:rsidRPr="00C47779">
        <w:rPr>
          <w:bCs/>
        </w:rPr>
        <w:t>These</w:t>
      </w:r>
      <w:r>
        <w:rPr>
          <w:bCs/>
        </w:rPr>
        <w:t xml:space="preserve"> authors share senior </w:t>
      </w:r>
      <w:r w:rsidRPr="00C47779">
        <w:rPr>
          <w:bCs/>
        </w:rPr>
        <w:t>authorship</w:t>
      </w:r>
    </w:p>
    <w:p w14:paraId="32255358" w14:textId="62A7DB7F" w:rsidR="00C5506A" w:rsidRDefault="00C5506A" w:rsidP="00C5506A">
      <w:pPr>
        <w:spacing w:after="120"/>
        <w:rPr>
          <w:bCs/>
          <w:vertAlign w:val="superscript"/>
        </w:rPr>
      </w:pPr>
      <w:r w:rsidRPr="00506117">
        <w:rPr>
          <w:bCs/>
          <w:vertAlign w:val="superscript"/>
        </w:rPr>
        <w:t xml:space="preserve">* </w:t>
      </w:r>
      <w:r w:rsidRPr="00506117">
        <w:rPr>
          <w:bCs/>
        </w:rPr>
        <w:t>Co-senior author</w:t>
      </w:r>
    </w:p>
    <w:p w14:paraId="71A41749" w14:textId="77777777" w:rsidR="00AF769B" w:rsidRDefault="00AF769B" w:rsidP="00994A3D">
      <w:pPr>
        <w:spacing w:before="240" w:after="0"/>
        <w:rPr>
          <w:rFonts w:cs="Times New Roman"/>
          <w:b/>
        </w:rPr>
      </w:pPr>
    </w:p>
    <w:p w14:paraId="1345BFCF" w14:textId="3B0E3A65" w:rsidR="00D84221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Correspondence: </w:t>
      </w:r>
    </w:p>
    <w:p w14:paraId="4A48215A" w14:textId="358C9628" w:rsidR="00D84221" w:rsidRDefault="00D84221" w:rsidP="002713CC">
      <w:pPr>
        <w:jc w:val="both"/>
        <w:outlineLvl w:val="0"/>
        <w:rPr>
          <w:bCs/>
        </w:rPr>
      </w:pPr>
      <w:r>
        <w:rPr>
          <w:bCs/>
        </w:rPr>
        <w:t>Dr. Chen Varol</w:t>
      </w:r>
      <w:r w:rsidR="002713CC">
        <w:rPr>
          <w:bCs/>
        </w:rPr>
        <w:t xml:space="preserve">: </w:t>
      </w:r>
      <w:hyperlink r:id="rId9" w:history="1">
        <w:r w:rsidRPr="00F3314F">
          <w:rPr>
            <w:rStyle w:val="Hyperlink"/>
            <w:bCs/>
          </w:rPr>
          <w:t>chenv@tlvmc.gov.il</w:t>
        </w:r>
      </w:hyperlink>
    </w:p>
    <w:p w14:paraId="0FEB2FA2" w14:textId="7CAA919D" w:rsidR="00D84221" w:rsidRDefault="00D84221" w:rsidP="002713CC">
      <w:pPr>
        <w:jc w:val="both"/>
        <w:outlineLvl w:val="0"/>
        <w:rPr>
          <w:bCs/>
        </w:rPr>
      </w:pPr>
      <w:r>
        <w:rPr>
          <w:bCs/>
        </w:rPr>
        <w:t>Dr. Nathan Gluck</w:t>
      </w:r>
      <w:r w:rsidR="002713CC">
        <w:rPr>
          <w:bCs/>
        </w:rPr>
        <w:t xml:space="preserve">: </w:t>
      </w:r>
      <w:hyperlink r:id="rId10" w:history="1">
        <w:r w:rsidRPr="00F3314F">
          <w:rPr>
            <w:rStyle w:val="Hyperlink"/>
            <w:bCs/>
          </w:rPr>
          <w:t>nathang@tlvmc.gov.il</w:t>
        </w:r>
      </w:hyperlink>
    </w:p>
    <w:p w14:paraId="39615C17" w14:textId="77777777" w:rsidR="00204F66" w:rsidRDefault="00204F66">
      <w:pPr>
        <w:spacing w:before="0" w:after="200" w:line="276" w:lineRule="auto"/>
        <w:rPr>
          <w:rFonts w:eastAsia="Cambria" w:cs="Times New Roman"/>
          <w:b/>
          <w:szCs w:val="24"/>
          <w:highlight w:val="lightGray"/>
        </w:rPr>
      </w:pPr>
      <w:r>
        <w:rPr>
          <w:highlight w:val="lightGray"/>
        </w:rPr>
        <w:br w:type="page"/>
      </w:r>
    </w:p>
    <w:p w14:paraId="4D059444" w14:textId="39E8F73B" w:rsidR="00994A3D" w:rsidRDefault="00501134" w:rsidP="00204F66">
      <w:pPr>
        <w:pStyle w:val="Heading1"/>
        <w:numPr>
          <w:ilvl w:val="0"/>
          <w:numId w:val="0"/>
        </w:numPr>
      </w:pPr>
      <w:r>
        <w:lastRenderedPageBreak/>
        <w:t>Supplementary Figures and Tables</w:t>
      </w:r>
    </w:p>
    <w:p w14:paraId="42CC319F" w14:textId="408170DC" w:rsidR="00602F46" w:rsidRPr="00602F46" w:rsidRDefault="00602F46" w:rsidP="00602F46">
      <w:pPr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Figure S1</w:t>
      </w:r>
    </w:p>
    <w:p w14:paraId="3C419443" w14:textId="29D7639C" w:rsidR="00994A3D" w:rsidRPr="001549D3" w:rsidRDefault="00204F66" w:rsidP="00204F66">
      <w:pPr>
        <w:keepNext/>
        <w:rPr>
          <w:rFonts w:cs="Times New Roman"/>
          <w:szCs w:val="24"/>
        </w:rPr>
      </w:pPr>
      <w:r>
        <w:rPr>
          <w:rFonts w:asciiTheme="majorBidi" w:hAnsiTheme="majorBidi" w:cstheme="majorBidi"/>
          <w:b/>
          <w:bCs/>
          <w:noProof/>
          <w:szCs w:val="24"/>
          <w:lang w:bidi="he-IL"/>
        </w:rPr>
        <w:drawing>
          <wp:inline distT="0" distB="0" distL="0" distR="0" wp14:anchorId="47151A22" wp14:editId="7B3F07CC">
            <wp:extent cx="2587925" cy="5543061"/>
            <wp:effectExtent l="0" t="0" r="3175" b="635"/>
            <wp:docPr id="2" name="תמונה 2" descr="C:\Users\odelya\SkyDrive\מסמכים\מאמר  DSS 2018\Figures\Sup1\Sup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elya\SkyDrive\מסמכים\מאמר  DSS 2018\Figures\Sup1\Sup 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70" cy="55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650E" w14:textId="02B4492A" w:rsidR="00602F46" w:rsidRPr="005C243A" w:rsidRDefault="00602F46" w:rsidP="003F3704">
      <w:pPr>
        <w:spacing w:after="0"/>
        <w:jc w:val="both"/>
        <w:rPr>
          <w:rFonts w:asciiTheme="majorBidi" w:hAnsiTheme="majorBidi" w:cstheme="majorBidi"/>
          <w:b/>
          <w:bCs/>
          <w:szCs w:val="24"/>
        </w:rPr>
      </w:pPr>
      <w:r w:rsidRPr="005C243A">
        <w:rPr>
          <w:rFonts w:asciiTheme="majorBidi" w:hAnsiTheme="majorBidi" w:cstheme="majorBidi"/>
          <w:b/>
          <w:bCs/>
          <w:szCs w:val="24"/>
        </w:rPr>
        <w:t xml:space="preserve">Figure S1. </w:t>
      </w:r>
      <w:r w:rsidR="003F3704">
        <w:rPr>
          <w:rFonts w:asciiTheme="majorBidi" w:hAnsiTheme="majorBidi" w:cstheme="majorBidi"/>
          <w:b/>
          <w:bCs/>
          <w:szCs w:val="24"/>
        </w:rPr>
        <w:t>Inducible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 depletion of infiltrating Ly6C</w:t>
      </w:r>
      <w:r w:rsidRPr="005C243A">
        <w:rPr>
          <w:rFonts w:asciiTheme="majorBidi" w:hAnsiTheme="majorBidi" w:cstheme="majorBidi"/>
          <w:b/>
          <w:bCs/>
          <w:szCs w:val="24"/>
          <w:vertAlign w:val="superscript"/>
        </w:rPr>
        <w:t>hi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 monocytes </w:t>
      </w:r>
      <w:r w:rsidR="003F3704">
        <w:rPr>
          <w:rFonts w:asciiTheme="majorBidi" w:hAnsiTheme="majorBidi" w:cstheme="majorBidi"/>
          <w:b/>
          <w:bCs/>
          <w:szCs w:val="24"/>
        </w:rPr>
        <w:t>using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 the anti-CCR2 MC-21 antibody</w:t>
      </w:r>
    </w:p>
    <w:p w14:paraId="0A5F9851" w14:textId="0592D61D" w:rsidR="00602F46" w:rsidRDefault="00602F46" w:rsidP="003F3704">
      <w:pPr>
        <w:spacing w:before="240" w:after="0"/>
        <w:jc w:val="both"/>
      </w:pP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mice were </w:t>
      </w:r>
      <w:proofErr w:type="spellStart"/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i.p</w:t>
      </w:r>
      <w:proofErr w:type="spellEnd"/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. injected with LPS (0.2 mg per mouse of similar weight)</w:t>
      </w:r>
      <w:r w:rsidR="003F3704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. Some of the mice were treated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with MC-21 12 h prior to LPS stimulation. </w:t>
      </w:r>
      <w:r w:rsidRPr="005C243A">
        <w:rPr>
          <w:rFonts w:asciiTheme="majorBidi" w:hAnsiTheme="majorBidi" w:cstheme="majorBidi"/>
          <w:szCs w:val="24"/>
        </w:rPr>
        <w:t>(</w:t>
      </w:r>
      <w:r w:rsidRPr="005C243A">
        <w:rPr>
          <w:rFonts w:asciiTheme="majorBidi" w:hAnsiTheme="majorBidi" w:cstheme="majorBidi"/>
          <w:b/>
          <w:bCs/>
          <w:szCs w:val="24"/>
        </w:rPr>
        <w:t>A</w:t>
      </w:r>
      <w:r w:rsidRPr="005C243A">
        <w:rPr>
          <w:rFonts w:asciiTheme="majorBidi" w:hAnsiTheme="majorBidi" w:cstheme="majorBidi"/>
          <w:szCs w:val="24"/>
        </w:rPr>
        <w:t xml:space="preserve">) Representative flow cytometry images showing gating strategy of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liver Ly6C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hi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monocytes, KCs and neutrophils out of CD45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+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non-parenchymal</w:t>
      </w:r>
      <w:r w:rsidR="003F3704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immune cells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. </w:t>
      </w:r>
      <w:r w:rsidRPr="005C243A">
        <w:rPr>
          <w:rFonts w:asciiTheme="majorBidi" w:hAnsiTheme="majorBidi" w:cstheme="majorBidi"/>
          <w:szCs w:val="24"/>
        </w:rPr>
        <w:t xml:space="preserve">Top panels: 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="003F3704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mice</w:t>
      </w:r>
      <w:r w:rsidRPr="005C243A">
        <w:rPr>
          <w:rFonts w:asciiTheme="majorBidi" w:hAnsiTheme="majorBidi" w:cstheme="majorBidi"/>
          <w:szCs w:val="24"/>
        </w:rPr>
        <w:t xml:space="preserve"> treated with LPS alone. Bottom panels: 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="003F3704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mice</w:t>
      </w:r>
      <w:r w:rsidRPr="005C243A">
        <w:rPr>
          <w:rFonts w:asciiTheme="majorBidi" w:hAnsiTheme="majorBidi" w:cstheme="majorBidi"/>
          <w:szCs w:val="24"/>
        </w:rPr>
        <w:t xml:space="preserve"> treated with LPS and MC-21. (</w:t>
      </w:r>
      <w:r w:rsidRPr="005C243A">
        <w:rPr>
          <w:rFonts w:asciiTheme="majorBidi" w:hAnsiTheme="majorBidi" w:cstheme="majorBidi"/>
          <w:b/>
          <w:bCs/>
          <w:szCs w:val="24"/>
        </w:rPr>
        <w:t>B</w:t>
      </w:r>
      <w:r w:rsidRPr="005C243A">
        <w:rPr>
          <w:rFonts w:asciiTheme="majorBidi" w:hAnsiTheme="majorBidi" w:cstheme="majorBidi"/>
          <w:szCs w:val="24"/>
        </w:rPr>
        <w:t>) Representative flow cytometry images showing gating strategy of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colonic Ly6C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hi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monocytes, resident </w:t>
      </w:r>
      <w:proofErr w:type="spellStart"/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lpMF</w:t>
      </w:r>
      <w:r w:rsidR="003F3704">
        <w:rPr>
          <w:rFonts w:asciiTheme="majorBidi" w:eastAsiaTheme="minorEastAsia" w:hAnsiTheme="majorBidi" w:cstheme="majorBidi"/>
          <w:color w:val="000000" w:themeColor="text1"/>
          <w:szCs w:val="24"/>
        </w:rPr>
        <w:t>s</w:t>
      </w:r>
      <w:proofErr w:type="spellEnd"/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and neutrophils out of CD45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+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CD11b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+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immune cells</w:t>
      </w:r>
      <w:r w:rsidRPr="005C243A">
        <w:rPr>
          <w:rFonts w:asciiTheme="majorBidi" w:hAnsiTheme="majorBidi" w:cstheme="majorBidi"/>
          <w:szCs w:val="24"/>
        </w:rPr>
        <w:t xml:space="preserve">. Top panels: 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="003F3704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mice</w:t>
      </w:r>
      <w:r w:rsidRPr="005C243A">
        <w:rPr>
          <w:rFonts w:asciiTheme="majorBidi" w:hAnsiTheme="majorBidi" w:cstheme="majorBidi"/>
          <w:szCs w:val="24"/>
        </w:rPr>
        <w:t xml:space="preserve"> treated with LPS alone. Bottom panels: 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="003F3704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="003F3704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mice</w:t>
      </w:r>
      <w:r w:rsidRPr="005C243A">
        <w:rPr>
          <w:rFonts w:asciiTheme="majorBidi" w:hAnsiTheme="majorBidi" w:cstheme="majorBidi"/>
          <w:szCs w:val="24"/>
        </w:rPr>
        <w:t xml:space="preserve"> treated with LPS and MC-21.</w:t>
      </w:r>
      <w:r>
        <w:t xml:space="preserve"> </w:t>
      </w:r>
    </w:p>
    <w:p w14:paraId="70B13A7F" w14:textId="77777777" w:rsidR="00602F46" w:rsidRPr="005C243A" w:rsidRDefault="00602F46" w:rsidP="00602F46">
      <w:pPr>
        <w:jc w:val="both"/>
        <w:rPr>
          <w:rFonts w:asciiTheme="majorBidi" w:hAnsiTheme="majorBidi" w:cstheme="majorBidi"/>
          <w:szCs w:val="24"/>
        </w:rPr>
      </w:pPr>
      <w:r w:rsidRPr="005C243A">
        <w:rPr>
          <w:rFonts w:asciiTheme="majorBidi" w:hAnsiTheme="majorBidi" w:cstheme="majorBidi"/>
          <w:b/>
          <w:bCs/>
          <w:szCs w:val="24"/>
        </w:rPr>
        <w:lastRenderedPageBreak/>
        <w:t>Figure S2.</w:t>
      </w:r>
    </w:p>
    <w:p w14:paraId="5A1DFE2A" w14:textId="77777777" w:rsidR="00602F46" w:rsidRPr="005C243A" w:rsidRDefault="00602F46" w:rsidP="00602F46">
      <w:pPr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bidi="he-IL"/>
        </w:rPr>
        <w:drawing>
          <wp:inline distT="0" distB="0" distL="0" distR="0" wp14:anchorId="7D3D54F2" wp14:editId="34F0CE30">
            <wp:extent cx="5010150" cy="1733550"/>
            <wp:effectExtent l="0" t="0" r="0" b="0"/>
            <wp:docPr id="4" name="תמונה 4" descr="C:\Users\odelya\SkyDrive\מסמכים\מאמר  DSS 2018\Figures\Sup2\Sup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lya\SkyDrive\מסמכים\מאמר  DSS 2018\Figures\Sup2\Sup 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7DFA" w14:textId="7495BE1C" w:rsidR="00602F46" w:rsidRPr="005C243A" w:rsidRDefault="00602F46" w:rsidP="000B5A03">
      <w:pPr>
        <w:jc w:val="both"/>
        <w:outlineLvl w:val="0"/>
        <w:rPr>
          <w:rFonts w:asciiTheme="majorBidi" w:hAnsiTheme="majorBidi" w:cstheme="majorBidi"/>
          <w:b/>
          <w:bCs/>
          <w:szCs w:val="24"/>
        </w:rPr>
      </w:pPr>
      <w:r w:rsidRPr="005C243A">
        <w:rPr>
          <w:rFonts w:asciiTheme="majorBidi" w:hAnsiTheme="majorBidi" w:cstheme="majorBidi"/>
          <w:b/>
          <w:bCs/>
          <w:szCs w:val="24"/>
        </w:rPr>
        <w:t xml:space="preserve">Figure S2. </w:t>
      </w:r>
      <w:r w:rsidR="000B5A03">
        <w:rPr>
          <w:rFonts w:asciiTheme="majorBidi" w:hAnsiTheme="majorBidi" w:cstheme="majorBidi"/>
          <w:b/>
          <w:bCs/>
          <w:szCs w:val="24"/>
        </w:rPr>
        <w:t>LPS-challenged COMMD10-deficient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 BM neutrophils exhibit </w:t>
      </w:r>
      <w:r w:rsidR="000B5A03">
        <w:rPr>
          <w:rFonts w:asciiTheme="majorBidi" w:hAnsiTheme="majorBidi" w:cstheme="majorBidi"/>
          <w:b/>
          <w:bCs/>
          <w:szCs w:val="24"/>
        </w:rPr>
        <w:t>declined production of IL-1</w:t>
      </w:r>
      <w:r w:rsidR="000B5A03" w:rsidRPr="000B5A03">
        <w:rPr>
          <w:rFonts w:ascii="Symbol" w:hAnsi="Symbol" w:cstheme="majorBidi"/>
          <w:b/>
          <w:bCs/>
          <w:szCs w:val="24"/>
        </w:rPr>
        <w:t></w:t>
      </w:r>
      <w:r w:rsidR="000B5A03">
        <w:rPr>
          <w:rFonts w:asciiTheme="majorBidi" w:hAnsiTheme="majorBidi" w:cstheme="majorBidi"/>
          <w:b/>
          <w:bCs/>
          <w:szCs w:val="24"/>
        </w:rPr>
        <w:t>.</w:t>
      </w:r>
      <w:r w:rsidRPr="005C243A">
        <w:rPr>
          <w:rFonts w:asciiTheme="majorBidi" w:hAnsiTheme="majorBidi" w:cstheme="majorBidi"/>
          <w:b/>
          <w:bCs/>
          <w:szCs w:val="24"/>
        </w:rPr>
        <w:t xml:space="preserve"> </w:t>
      </w:r>
    </w:p>
    <w:p w14:paraId="7E05798D" w14:textId="485A946B" w:rsidR="00943963" w:rsidRPr="00943963" w:rsidRDefault="00602F46" w:rsidP="0084111E">
      <w:pPr>
        <w:jc w:val="both"/>
        <w:rPr>
          <w:rFonts w:asciiTheme="majorBidi" w:eastAsiaTheme="minorEastAsia" w:hAnsiTheme="majorBidi" w:cstheme="majorBidi"/>
          <w:color w:val="000000" w:themeColor="text1"/>
          <w:szCs w:val="24"/>
        </w:rPr>
      </w:pPr>
      <w:r w:rsidRPr="005C243A">
        <w:rPr>
          <w:rFonts w:asciiTheme="majorBidi" w:hAnsiTheme="majorBidi" w:cstheme="majorBidi"/>
          <w:szCs w:val="24"/>
        </w:rPr>
        <w:t xml:space="preserve">Neutrophils were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isolated from BM of 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Commd10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fl/</w:t>
      </w:r>
      <w:proofErr w:type="spellStart"/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fl</w:t>
      </w:r>
      <w:proofErr w:type="spellEnd"/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(blue) or 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(red) mice</w:t>
      </w:r>
      <w:r w:rsidRPr="005C243A">
        <w:rPr>
          <w:rFonts w:asciiTheme="majorBidi" w:hAnsiTheme="majorBidi" w:cstheme="majorBidi"/>
          <w:szCs w:val="24"/>
        </w:rPr>
        <w:t xml:space="preserve"> and subjected to LPS (100ng/ml) for 3h. ATP was added in the last 30 min of the experiment. (</w:t>
      </w:r>
      <w:r w:rsidRPr="005C243A">
        <w:rPr>
          <w:rFonts w:asciiTheme="majorBidi" w:hAnsiTheme="majorBidi" w:cstheme="majorBidi"/>
          <w:b/>
          <w:bCs/>
          <w:szCs w:val="24"/>
        </w:rPr>
        <w:t>A</w:t>
      </w:r>
      <w:r w:rsidRPr="005C243A">
        <w:rPr>
          <w:rFonts w:asciiTheme="majorBidi" w:hAnsiTheme="majorBidi" w:cstheme="majorBidi"/>
          <w:szCs w:val="24"/>
        </w:rPr>
        <w:t xml:space="preserve">) Immunoblots showing the expression of COMMD10. </w:t>
      </w:r>
      <w:r w:rsidRPr="005C243A">
        <w:rPr>
          <w:rFonts w:asciiTheme="majorBidi" w:hAnsiTheme="majorBidi" w:cstheme="majorBidi"/>
          <w:szCs w:val="24"/>
        </w:rPr>
        <w:sym w:font="Symbol" w:char="F062"/>
      </w:r>
      <w:r w:rsidRPr="005C243A">
        <w:rPr>
          <w:rFonts w:asciiTheme="majorBidi" w:hAnsiTheme="majorBidi" w:cstheme="majorBidi"/>
          <w:szCs w:val="24"/>
        </w:rPr>
        <w:t>-actin was utilized as control (n=3).</w:t>
      </w:r>
      <w:r w:rsidR="00185A1B">
        <w:rPr>
          <w:rFonts w:asciiTheme="majorBidi" w:hAnsiTheme="majorBidi" w:cstheme="majorBidi"/>
          <w:szCs w:val="24"/>
        </w:rPr>
        <w:t xml:space="preserve"> </w:t>
      </w:r>
      <w:r w:rsidRPr="005C243A">
        <w:rPr>
          <w:rFonts w:asciiTheme="majorBidi" w:hAnsiTheme="majorBidi" w:cstheme="majorBidi"/>
          <w:szCs w:val="24"/>
        </w:rPr>
        <w:t>(</w:t>
      </w:r>
      <w:r w:rsidRPr="005C243A">
        <w:rPr>
          <w:rFonts w:asciiTheme="majorBidi" w:hAnsiTheme="majorBidi" w:cstheme="majorBidi"/>
          <w:b/>
          <w:bCs/>
          <w:szCs w:val="24"/>
        </w:rPr>
        <w:t>B</w:t>
      </w:r>
      <w:r w:rsidRPr="005C243A">
        <w:rPr>
          <w:rFonts w:asciiTheme="majorBidi" w:hAnsiTheme="majorBidi" w:cstheme="majorBidi"/>
          <w:szCs w:val="24"/>
        </w:rPr>
        <w:t xml:space="preserve">)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ELISA analysis of IL-1β from cell free supernatants (n=3). Data were analyzed by unpaired, two-tailed 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t-test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, comparing 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Commd10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fl/</w:t>
      </w:r>
      <w:proofErr w:type="spellStart"/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fl</w:t>
      </w:r>
      <w:proofErr w:type="spellEnd"/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and 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LysM</w:t>
      </w:r>
      <w:r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  <w:vertAlign w:val="superscript"/>
        </w:rPr>
        <w:t>ΔCommd10</w:t>
      </w:r>
      <w:r w:rsidR="0084111E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and </w:t>
      </w:r>
      <w:r w:rsidR="000B5A03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are 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presented as mean ± SEM</w:t>
      </w:r>
      <w:r w:rsidR="000B5A03">
        <w:rPr>
          <w:rFonts w:asciiTheme="majorBidi" w:eastAsiaTheme="minorEastAsia" w:hAnsiTheme="majorBidi" w:cstheme="majorBidi"/>
          <w:color w:val="000000" w:themeColor="text1"/>
          <w:szCs w:val="24"/>
        </w:rPr>
        <w:t>.</w:t>
      </w:r>
      <w:r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Data in panels A and B represent a single experiment.</w:t>
      </w:r>
    </w:p>
    <w:p w14:paraId="3369CF2A" w14:textId="5EE62BC7" w:rsidR="00602F46" w:rsidRPr="005C243A" w:rsidRDefault="00602F46" w:rsidP="00602F46">
      <w:pPr>
        <w:jc w:val="both"/>
        <w:rPr>
          <w:rFonts w:asciiTheme="majorBidi" w:eastAsiaTheme="minorEastAsia" w:hAnsiTheme="majorBidi" w:cstheme="majorBidi"/>
          <w:color w:val="000000" w:themeColor="text1"/>
          <w:szCs w:val="24"/>
        </w:rPr>
      </w:pPr>
    </w:p>
    <w:p w14:paraId="584DA76C" w14:textId="77777777" w:rsidR="00602F46" w:rsidRDefault="00602F46">
      <w:pPr>
        <w:spacing w:before="0" w:after="200" w:line="276" w:lineRule="auto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br w:type="page"/>
      </w:r>
    </w:p>
    <w:p w14:paraId="19CE69AE" w14:textId="425B718A" w:rsidR="0043509B" w:rsidRPr="0043509B" w:rsidRDefault="0043509B" w:rsidP="00DA0119">
      <w:pPr>
        <w:jc w:val="both"/>
        <w:rPr>
          <w:rFonts w:asciiTheme="majorBidi" w:hAnsiTheme="majorBidi" w:cstheme="majorBidi"/>
          <w:szCs w:val="24"/>
        </w:rPr>
      </w:pPr>
      <w:r w:rsidRPr="005C243A">
        <w:rPr>
          <w:rFonts w:asciiTheme="majorBidi" w:hAnsiTheme="majorBidi" w:cstheme="majorBidi"/>
          <w:b/>
          <w:bCs/>
          <w:szCs w:val="24"/>
        </w:rPr>
        <w:lastRenderedPageBreak/>
        <w:t>Figure S</w:t>
      </w:r>
      <w:r w:rsidR="00DA0119">
        <w:rPr>
          <w:rFonts w:asciiTheme="majorBidi" w:hAnsiTheme="majorBidi" w:cstheme="majorBidi"/>
          <w:b/>
          <w:bCs/>
          <w:szCs w:val="24"/>
        </w:rPr>
        <w:t>3</w:t>
      </w:r>
      <w:r w:rsidRPr="005C243A">
        <w:rPr>
          <w:rFonts w:asciiTheme="majorBidi" w:hAnsiTheme="majorBidi" w:cstheme="majorBidi"/>
          <w:b/>
          <w:bCs/>
          <w:szCs w:val="24"/>
        </w:rPr>
        <w:t>.</w:t>
      </w:r>
    </w:p>
    <w:p w14:paraId="5A94345D" w14:textId="5AB490A8" w:rsidR="00381F94" w:rsidRDefault="001E6FA5" w:rsidP="00381F94">
      <w:pPr>
        <w:jc w:val="both"/>
        <w:outlineLvl w:val="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noProof/>
          <w:szCs w:val="24"/>
          <w:lang w:bidi="he-IL"/>
        </w:rPr>
        <w:drawing>
          <wp:inline distT="0" distB="0" distL="0" distR="0" wp14:anchorId="5C1E6A33" wp14:editId="66E6A5D4">
            <wp:extent cx="3369259" cy="2108578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3 (1)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18929"/>
                    <a:stretch/>
                  </pic:blipFill>
                  <pic:spPr bwMode="auto">
                    <a:xfrm>
                      <a:off x="0" y="0"/>
                      <a:ext cx="3397583" cy="212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B80C1" w14:textId="3FA647DA" w:rsidR="00381F94" w:rsidRPr="0043509B" w:rsidRDefault="00381F94" w:rsidP="000E2B01">
      <w:pPr>
        <w:jc w:val="both"/>
        <w:outlineLvl w:val="0"/>
        <w:rPr>
          <w:rFonts w:asciiTheme="majorBidi" w:hAnsiTheme="majorBidi" w:cstheme="majorBidi"/>
          <w:b/>
          <w:bCs/>
          <w:szCs w:val="24"/>
        </w:rPr>
      </w:pPr>
      <w:r w:rsidRPr="0043509B">
        <w:rPr>
          <w:rFonts w:asciiTheme="majorBidi" w:hAnsiTheme="majorBidi" w:cstheme="majorBidi"/>
          <w:b/>
          <w:bCs/>
          <w:szCs w:val="24"/>
        </w:rPr>
        <w:t xml:space="preserve">Figure S3. </w:t>
      </w:r>
      <w:r w:rsidRPr="0043509B">
        <w:rPr>
          <w:rFonts w:asciiTheme="majorBidi" w:hAnsiTheme="majorBidi" w:cstheme="majorBidi"/>
          <w:b/>
          <w:bCs/>
          <w:i/>
          <w:iCs/>
          <w:szCs w:val="24"/>
        </w:rPr>
        <w:t>Commd10</w:t>
      </w:r>
      <w:r w:rsidRPr="0043509B">
        <w:rPr>
          <w:rFonts w:asciiTheme="majorBidi" w:hAnsiTheme="majorBidi" w:cstheme="majorBidi"/>
          <w:b/>
          <w:bCs/>
          <w:szCs w:val="24"/>
        </w:rPr>
        <w:t xml:space="preserve"> gene expression </w:t>
      </w:r>
      <w:r w:rsidR="000E2B01">
        <w:rPr>
          <w:rFonts w:asciiTheme="majorBidi" w:hAnsiTheme="majorBidi" w:cstheme="majorBidi"/>
          <w:b/>
          <w:bCs/>
          <w:szCs w:val="24"/>
        </w:rPr>
        <w:t>i</w:t>
      </w:r>
      <w:bookmarkStart w:id="0" w:name="_GoBack"/>
      <w:bookmarkEnd w:id="0"/>
      <w:r w:rsidRPr="0043509B">
        <w:rPr>
          <w:rFonts w:asciiTheme="majorBidi" w:hAnsiTheme="majorBidi" w:cstheme="majorBidi"/>
          <w:b/>
          <w:bCs/>
          <w:szCs w:val="24"/>
        </w:rPr>
        <w:t>s near background levels in blood neutrophils and significantly higher in blood Ly6C</w:t>
      </w:r>
      <w:r w:rsidRPr="0043509B">
        <w:rPr>
          <w:rFonts w:asciiTheme="majorBidi" w:hAnsiTheme="majorBidi" w:cstheme="majorBidi"/>
          <w:b/>
          <w:bCs/>
          <w:szCs w:val="24"/>
          <w:vertAlign w:val="superscript"/>
        </w:rPr>
        <w:t>hi</w:t>
      </w:r>
      <w:r w:rsidRPr="0043509B">
        <w:rPr>
          <w:rFonts w:asciiTheme="majorBidi" w:hAnsiTheme="majorBidi" w:cstheme="majorBidi"/>
          <w:b/>
          <w:bCs/>
          <w:szCs w:val="24"/>
        </w:rPr>
        <w:t xml:space="preserve"> monocytes</w:t>
      </w:r>
    </w:p>
    <w:p w14:paraId="42EDC4FF" w14:textId="437C2DB7" w:rsidR="00381F94" w:rsidRDefault="00381F94" w:rsidP="000D6E31">
      <w:pPr>
        <w:jc w:val="both"/>
        <w:outlineLvl w:val="0"/>
        <w:rPr>
          <w:rFonts w:asciiTheme="majorBidi" w:hAnsiTheme="majorBidi" w:cstheme="majorBidi"/>
          <w:b/>
          <w:bCs/>
          <w:szCs w:val="24"/>
        </w:rPr>
      </w:pP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>Bar graph showing the raw gene expression of COMMD10 (</w:t>
      </w:r>
      <w:r w:rsidRPr="0043509B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Commd10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>) in comparison with that of the adipocyte marker adiponectin (</w:t>
      </w:r>
      <w:proofErr w:type="spellStart"/>
      <w:r w:rsidRPr="0043509B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Adipoq</w:t>
      </w:r>
      <w:proofErr w:type="spellEnd"/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) and the hepatocyte and </w:t>
      </w:r>
      <w:proofErr w:type="spellStart"/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>cholangiocyte</w:t>
      </w:r>
      <w:proofErr w:type="spellEnd"/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marker Cytokeratin18 (</w:t>
      </w:r>
      <w:r w:rsidRPr="0043509B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Krt18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), both were used to set background expression levels. Gene-expression data were extracted from the </w:t>
      </w:r>
      <w:proofErr w:type="spellStart"/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>ImmGen</w:t>
      </w:r>
      <w:proofErr w:type="spellEnd"/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Consortium database (GSE37448) (n=3 for Ly6C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hi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monocytes, n=4 for blood neutrophils). Data were analyzed by unpaired, </w:t>
      </w:r>
      <w:r w:rsidR="000D6E31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two-tailed </w:t>
      </w:r>
      <w:r w:rsidR="000D6E31" w:rsidRPr="005C243A">
        <w:rPr>
          <w:rFonts w:asciiTheme="majorBidi" w:eastAsiaTheme="minorEastAsia" w:hAnsiTheme="majorBidi" w:cstheme="majorBidi"/>
          <w:i/>
          <w:iCs/>
          <w:color w:val="000000" w:themeColor="text1"/>
          <w:szCs w:val="24"/>
        </w:rPr>
        <w:t>t-test</w:t>
      </w:r>
      <w:r w:rsidR="000D6E31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, </w:t>
      </w:r>
      <w:r w:rsidR="000D6E31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comparing</w:t>
      </w:r>
      <w:r w:rsidR="000D6E31"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</w:t>
      </w:r>
      <w:r w:rsidR="000D6E31">
        <w:rPr>
          <w:rFonts w:asciiTheme="majorBidi" w:eastAsiaTheme="minorEastAsia" w:hAnsiTheme="majorBidi" w:cstheme="majorBidi"/>
          <w:color w:val="000000" w:themeColor="text1"/>
          <w:szCs w:val="24"/>
        </w:rPr>
        <w:t>blood Ly6C</w:t>
      </w:r>
      <w:r w:rsidR="000D6E31" w:rsidRPr="000D6E31">
        <w:rPr>
          <w:rFonts w:asciiTheme="majorBidi" w:eastAsiaTheme="minorEastAsia" w:hAnsiTheme="majorBidi" w:cstheme="majorBidi"/>
          <w:color w:val="000000" w:themeColor="text1"/>
          <w:szCs w:val="24"/>
          <w:vertAlign w:val="superscript"/>
        </w:rPr>
        <w:t>hi</w:t>
      </w:r>
      <w:r w:rsidR="000D6E31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monocytes and blood neutrophils 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and presented as mean </w:t>
      </w:r>
      <w:r w:rsidR="000D6E31" w:rsidRPr="005C243A">
        <w:rPr>
          <w:rFonts w:asciiTheme="majorBidi" w:eastAsiaTheme="minorEastAsia" w:hAnsiTheme="majorBidi" w:cstheme="majorBidi"/>
          <w:color w:val="000000" w:themeColor="text1"/>
          <w:szCs w:val="24"/>
        </w:rPr>
        <w:t>±</w:t>
      </w:r>
      <w:r w:rsidR="000D6E31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SEM with significance:</w:t>
      </w:r>
      <w:r w:rsidRPr="0043509B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 *** p &lt; 0.001</w:t>
      </w:r>
      <w:r w:rsidR="000D6E31">
        <w:rPr>
          <w:rFonts w:asciiTheme="majorBidi" w:eastAsiaTheme="minorEastAsia" w:hAnsiTheme="majorBidi" w:cstheme="majorBidi"/>
          <w:color w:val="000000" w:themeColor="text1"/>
          <w:szCs w:val="24"/>
        </w:rPr>
        <w:t xml:space="preserve">. </w:t>
      </w:r>
    </w:p>
    <w:p w14:paraId="4F8B189F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263C769D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789F1942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0A98E9F9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2754A5A3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7563302F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793C7055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1EAE776C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26283E88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70F3A824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4E866AE2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15BF390B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32453219" w14:textId="77777777" w:rsidR="000E65D8" w:rsidRDefault="000E65D8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57B6A506" w14:textId="30E4E5B9" w:rsidR="00602F46" w:rsidRPr="00763EB5" w:rsidRDefault="00602F46" w:rsidP="00602F46">
      <w:pPr>
        <w:jc w:val="both"/>
        <w:rPr>
          <w:rFonts w:asciiTheme="majorBidi" w:eastAsiaTheme="minorEastAsia" w:hAnsiTheme="majorBidi" w:cstheme="majorBidi"/>
          <w:b/>
          <w:bCs/>
          <w:color w:val="000000" w:themeColor="text1"/>
          <w:szCs w:val="24"/>
        </w:rPr>
      </w:pPr>
      <w:r w:rsidRPr="00763EB5">
        <w:rPr>
          <w:rFonts w:asciiTheme="majorBidi" w:hAnsiTheme="majorBidi" w:cstheme="majorBidi"/>
          <w:b/>
          <w:bCs/>
          <w:szCs w:val="24"/>
        </w:rPr>
        <w:t>Table S1</w:t>
      </w:r>
      <w:r w:rsidRPr="00763EB5">
        <w:rPr>
          <w:rFonts w:asciiTheme="majorBidi" w:eastAsiaTheme="minorEastAsia" w:hAnsiTheme="majorBidi" w:cstheme="majorBidi"/>
          <w:b/>
          <w:bCs/>
          <w:color w:val="000000" w:themeColor="text1"/>
          <w:szCs w:val="24"/>
        </w:rPr>
        <w:t>.</w:t>
      </w:r>
    </w:p>
    <w:p w14:paraId="14E5AE66" w14:textId="5EE00390" w:rsidR="00602F46" w:rsidRPr="005C243A" w:rsidRDefault="008815DD" w:rsidP="00602F46">
      <w:pPr>
        <w:jc w:val="both"/>
        <w:rPr>
          <w:rFonts w:asciiTheme="majorBidi" w:eastAsiaTheme="minorEastAsia" w:hAnsiTheme="majorBidi" w:cstheme="majorBidi"/>
          <w:color w:val="000000" w:themeColor="text1"/>
          <w:szCs w:val="24"/>
        </w:rPr>
      </w:pPr>
      <w:r>
        <w:rPr>
          <w:rFonts w:asciiTheme="majorBidi" w:eastAsiaTheme="minorEastAsia" w:hAnsiTheme="majorBidi" w:cstheme="majorBidi"/>
          <w:noProof/>
          <w:color w:val="000000" w:themeColor="text1"/>
          <w:szCs w:val="24"/>
          <w:lang w:bidi="he-IL"/>
        </w:rPr>
        <w:drawing>
          <wp:inline distT="0" distB="0" distL="0" distR="0" wp14:anchorId="52F5A3A6" wp14:editId="3B70ACBA">
            <wp:extent cx="4384707" cy="4459491"/>
            <wp:effectExtent l="0" t="0" r="9525" b="11430"/>
            <wp:docPr id="3" name="תמונה 3" descr="C:\Users\odelya\SkyDrive\מסמכים\מאמר  DSS 2018\Figures\Table 1\Sup tab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lya\SkyDrive\מסמכים\מאמר  DSS 2018\Figures\Table 1\Sup table 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39" cy="44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4304" w14:textId="77777777" w:rsidR="00602F46" w:rsidRPr="005C243A" w:rsidRDefault="00602F46" w:rsidP="00602F46">
      <w:pPr>
        <w:rPr>
          <w:rFonts w:asciiTheme="majorBidi" w:hAnsiTheme="majorBidi" w:cstheme="majorBidi"/>
          <w:b/>
          <w:bCs/>
          <w:szCs w:val="24"/>
        </w:rPr>
      </w:pPr>
      <w:r w:rsidRPr="005C243A">
        <w:rPr>
          <w:rFonts w:asciiTheme="majorBidi" w:hAnsiTheme="majorBidi" w:cstheme="majorBidi"/>
          <w:b/>
          <w:bCs/>
          <w:szCs w:val="24"/>
        </w:rPr>
        <w:t xml:space="preserve">Table S1. List of primers  </w:t>
      </w:r>
    </w:p>
    <w:p w14:paraId="69F7C0A0" w14:textId="77777777" w:rsidR="00602F46" w:rsidRPr="005C243A" w:rsidRDefault="00602F46" w:rsidP="00602F46">
      <w:pPr>
        <w:rPr>
          <w:rFonts w:asciiTheme="majorBidi" w:hAnsiTheme="majorBidi" w:cstheme="majorBidi"/>
          <w:b/>
          <w:bCs/>
          <w:szCs w:val="24"/>
        </w:rPr>
      </w:pPr>
      <w:proofErr w:type="gramStart"/>
      <w:r w:rsidRPr="005C243A">
        <w:rPr>
          <w:rFonts w:asciiTheme="majorBidi" w:hAnsiTheme="majorBidi" w:cstheme="majorBidi"/>
          <w:szCs w:val="24"/>
        </w:rPr>
        <w:t>A table showing the sequences of all primers used.</w:t>
      </w:r>
      <w:proofErr w:type="gramEnd"/>
      <w:r w:rsidRPr="005C243A">
        <w:rPr>
          <w:rFonts w:asciiTheme="majorBidi" w:hAnsiTheme="majorBidi" w:cstheme="majorBidi"/>
          <w:szCs w:val="24"/>
        </w:rPr>
        <w:t xml:space="preserve"> </w:t>
      </w:r>
    </w:p>
    <w:p w14:paraId="60A5A199" w14:textId="77777777" w:rsidR="00602F46" w:rsidRDefault="00602F46" w:rsidP="00602F46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4D3564DD" w14:textId="312E1133" w:rsidR="00602F46" w:rsidRPr="002060CC" w:rsidRDefault="00602F46" w:rsidP="007837A3">
      <w:pPr>
        <w:jc w:val="both"/>
        <w:outlineLvl w:val="0"/>
        <w:rPr>
          <w:rFonts w:asciiTheme="majorBidi" w:hAnsiTheme="majorBidi" w:cstheme="majorBidi"/>
          <w:b/>
          <w:bCs/>
          <w:szCs w:val="24"/>
        </w:rPr>
      </w:pPr>
      <w:proofErr w:type="gramStart"/>
      <w:r>
        <w:rPr>
          <w:rFonts w:asciiTheme="majorBidi" w:hAnsiTheme="majorBidi" w:cstheme="majorBidi"/>
          <w:b/>
          <w:bCs/>
          <w:szCs w:val="24"/>
        </w:rPr>
        <w:t xml:space="preserve">Movie </w:t>
      </w:r>
      <w:r w:rsidRPr="002060CC">
        <w:rPr>
          <w:rFonts w:asciiTheme="majorBidi" w:hAnsiTheme="majorBidi" w:cstheme="majorBidi"/>
          <w:b/>
          <w:bCs/>
          <w:szCs w:val="24"/>
        </w:rPr>
        <w:t>S1.</w:t>
      </w:r>
      <w:proofErr w:type="gramEnd"/>
      <w:r w:rsidRPr="002060CC">
        <w:rPr>
          <w:rFonts w:asciiTheme="majorBidi" w:hAnsiTheme="majorBidi" w:cstheme="majorBidi"/>
          <w:b/>
          <w:bCs/>
          <w:szCs w:val="24"/>
        </w:rPr>
        <w:t xml:space="preserve"> </w:t>
      </w:r>
      <w:r w:rsidRPr="002060CC">
        <w:rPr>
          <w:rFonts w:asciiTheme="majorBidi" w:hAnsiTheme="majorBidi" w:cstheme="majorBidi"/>
          <w:b/>
          <w:bCs/>
          <w:i/>
          <w:iCs/>
          <w:szCs w:val="24"/>
        </w:rPr>
        <w:t>LysM</w:t>
      </w:r>
      <w:r w:rsidRPr="002060CC">
        <w:rPr>
          <w:rFonts w:asciiTheme="majorBidi" w:hAnsiTheme="majorBidi" w:cstheme="majorBidi"/>
          <w:b/>
          <w:bCs/>
          <w:szCs w:val="24"/>
          <w:vertAlign w:val="superscript"/>
        </w:rPr>
        <w:t>Δ</w:t>
      </w:r>
      <w:r w:rsidRPr="002060CC">
        <w:rPr>
          <w:rFonts w:asciiTheme="majorBidi" w:hAnsiTheme="majorBidi" w:cstheme="majorBidi"/>
          <w:b/>
          <w:bCs/>
          <w:i/>
          <w:iCs/>
          <w:szCs w:val="24"/>
          <w:vertAlign w:val="superscript"/>
        </w:rPr>
        <w:t>Commd10</w:t>
      </w:r>
      <w:r w:rsidRPr="002060CC">
        <w:rPr>
          <w:rFonts w:asciiTheme="majorBidi" w:hAnsiTheme="majorBidi" w:cstheme="majorBidi"/>
          <w:b/>
          <w:bCs/>
          <w:szCs w:val="24"/>
        </w:rPr>
        <w:t xml:space="preserve"> but not </w:t>
      </w:r>
      <w:r w:rsidRPr="002060CC">
        <w:rPr>
          <w:rFonts w:asciiTheme="majorBidi" w:hAnsiTheme="majorBidi" w:cstheme="majorBidi"/>
          <w:b/>
          <w:bCs/>
          <w:i/>
          <w:iCs/>
          <w:szCs w:val="24"/>
        </w:rPr>
        <w:t>Cx3cr1</w:t>
      </w:r>
      <w:r w:rsidRPr="002060CC">
        <w:rPr>
          <w:rFonts w:asciiTheme="majorBidi" w:hAnsiTheme="majorBidi" w:cstheme="majorBidi"/>
          <w:b/>
          <w:bCs/>
          <w:szCs w:val="24"/>
          <w:vertAlign w:val="superscript"/>
        </w:rPr>
        <w:t>Δ</w:t>
      </w:r>
      <w:r w:rsidRPr="002060CC">
        <w:rPr>
          <w:rFonts w:asciiTheme="majorBidi" w:hAnsiTheme="majorBidi" w:cstheme="majorBidi"/>
          <w:b/>
          <w:bCs/>
          <w:i/>
          <w:iCs/>
          <w:szCs w:val="24"/>
          <w:vertAlign w:val="superscript"/>
        </w:rPr>
        <w:t>Commd10</w:t>
      </w:r>
      <w:r w:rsidRPr="002060CC">
        <w:rPr>
          <w:rFonts w:asciiTheme="majorBidi" w:hAnsiTheme="majorBidi" w:cstheme="majorBidi"/>
          <w:b/>
          <w:bCs/>
          <w:szCs w:val="24"/>
        </w:rPr>
        <w:t xml:space="preserve"> </w:t>
      </w:r>
      <w:r w:rsidR="007837A3">
        <w:rPr>
          <w:rFonts w:asciiTheme="majorBidi" w:hAnsiTheme="majorBidi" w:cstheme="majorBidi"/>
          <w:b/>
          <w:bCs/>
          <w:szCs w:val="24"/>
        </w:rPr>
        <w:t xml:space="preserve">mice </w:t>
      </w:r>
      <w:r w:rsidRPr="002060CC">
        <w:rPr>
          <w:rFonts w:asciiTheme="majorBidi" w:hAnsiTheme="majorBidi" w:cstheme="majorBidi"/>
          <w:b/>
          <w:bCs/>
          <w:szCs w:val="24"/>
        </w:rPr>
        <w:t xml:space="preserve">exhibit increased intestinal inflammation </w:t>
      </w:r>
      <w:r w:rsidR="007837A3">
        <w:rPr>
          <w:rFonts w:asciiTheme="majorBidi" w:hAnsiTheme="majorBidi" w:cstheme="majorBidi"/>
          <w:b/>
          <w:bCs/>
          <w:szCs w:val="24"/>
        </w:rPr>
        <w:t>during</w:t>
      </w:r>
      <w:r w:rsidRPr="002060CC">
        <w:rPr>
          <w:rFonts w:asciiTheme="majorBidi" w:hAnsiTheme="majorBidi" w:cstheme="majorBidi"/>
          <w:b/>
          <w:bCs/>
          <w:szCs w:val="24"/>
        </w:rPr>
        <w:t xml:space="preserve"> DSS-induced colitis</w:t>
      </w:r>
    </w:p>
    <w:p w14:paraId="146B5CE9" w14:textId="47782F2B" w:rsidR="00602F46" w:rsidRPr="00C57BDD" w:rsidRDefault="00602F46" w:rsidP="00602F46">
      <w:pPr>
        <w:jc w:val="both"/>
        <w:rPr>
          <w:rFonts w:asciiTheme="majorBidi" w:hAnsiTheme="majorBidi" w:cstheme="majorBidi"/>
          <w:b/>
          <w:bCs/>
          <w:szCs w:val="24"/>
          <w:rtl/>
        </w:rPr>
      </w:pPr>
      <w:r w:rsidRPr="004923CB">
        <w:rPr>
          <w:rStyle w:val="1"/>
          <w:rFonts w:asciiTheme="majorBidi" w:hAnsiTheme="majorBidi" w:cstheme="majorBidi"/>
          <w:i/>
          <w:iCs/>
        </w:rPr>
        <w:t>Commd10</w:t>
      </w:r>
      <w:r w:rsidRPr="004923CB">
        <w:rPr>
          <w:rStyle w:val="1"/>
          <w:rFonts w:asciiTheme="majorBidi" w:hAnsiTheme="majorBidi" w:cstheme="majorBidi"/>
          <w:i/>
          <w:iCs/>
          <w:vertAlign w:val="superscript"/>
        </w:rPr>
        <w:t>fl/</w:t>
      </w:r>
      <w:proofErr w:type="spellStart"/>
      <w:r w:rsidRPr="004923CB">
        <w:rPr>
          <w:rStyle w:val="1"/>
          <w:rFonts w:asciiTheme="majorBidi" w:hAnsiTheme="majorBidi" w:cstheme="majorBidi"/>
          <w:i/>
          <w:iCs/>
          <w:vertAlign w:val="superscript"/>
        </w:rPr>
        <w:t>fl</w:t>
      </w:r>
      <w:proofErr w:type="spellEnd"/>
      <w:r w:rsidRPr="004923CB">
        <w:rPr>
          <w:rStyle w:val="1"/>
          <w:rFonts w:asciiTheme="majorBidi" w:hAnsiTheme="majorBidi" w:cstheme="majorBidi"/>
        </w:rPr>
        <w:t xml:space="preserve">, </w:t>
      </w:r>
      <w:r w:rsidRPr="004923CB">
        <w:rPr>
          <w:rStyle w:val="1"/>
          <w:rFonts w:asciiTheme="majorBidi" w:hAnsiTheme="majorBidi" w:cstheme="majorBidi"/>
          <w:i/>
          <w:iCs/>
        </w:rPr>
        <w:t>LysM</w:t>
      </w:r>
      <w:r w:rsidRPr="004923CB">
        <w:rPr>
          <w:rStyle w:val="1"/>
          <w:rFonts w:asciiTheme="majorBidi" w:hAnsiTheme="majorBidi" w:cstheme="majorBidi"/>
          <w:vertAlign w:val="superscript"/>
        </w:rPr>
        <w:t>Δ</w:t>
      </w:r>
      <w:r w:rsidRPr="004923CB">
        <w:rPr>
          <w:rStyle w:val="1"/>
          <w:rFonts w:asciiTheme="majorBidi" w:hAnsiTheme="majorBidi" w:cstheme="majorBidi"/>
          <w:i/>
          <w:iCs/>
          <w:vertAlign w:val="superscript"/>
        </w:rPr>
        <w:t>Commd10</w:t>
      </w:r>
      <w:r w:rsidRPr="004923CB">
        <w:rPr>
          <w:rStyle w:val="1"/>
          <w:rFonts w:asciiTheme="majorBidi" w:hAnsiTheme="majorBidi" w:cstheme="majorBidi"/>
        </w:rPr>
        <w:t xml:space="preserve"> or </w:t>
      </w:r>
      <w:r w:rsidRPr="004923CB">
        <w:rPr>
          <w:rStyle w:val="1"/>
          <w:rFonts w:asciiTheme="majorBidi" w:hAnsiTheme="majorBidi" w:cstheme="majorBidi"/>
          <w:i/>
          <w:iCs/>
        </w:rPr>
        <w:t>Cx3cr1</w:t>
      </w:r>
      <w:r w:rsidRPr="004923CB">
        <w:rPr>
          <w:rStyle w:val="1"/>
          <w:rFonts w:asciiTheme="majorBidi" w:hAnsiTheme="majorBidi" w:cstheme="majorBidi"/>
          <w:vertAlign w:val="superscript"/>
        </w:rPr>
        <w:t>Δ</w:t>
      </w:r>
      <w:r w:rsidRPr="004923CB">
        <w:rPr>
          <w:rStyle w:val="1"/>
          <w:rFonts w:asciiTheme="majorBidi" w:hAnsiTheme="majorBidi" w:cstheme="majorBidi"/>
          <w:i/>
          <w:iCs/>
          <w:vertAlign w:val="superscript"/>
        </w:rPr>
        <w:t>Commd10</w:t>
      </w:r>
      <w:r w:rsidRPr="004923CB">
        <w:rPr>
          <w:rStyle w:val="1"/>
          <w:rFonts w:asciiTheme="majorBidi" w:hAnsiTheme="majorBidi" w:cstheme="majorBidi"/>
        </w:rPr>
        <w:t xml:space="preserve"> mice were treated with DSS (1.5% in drinking water) for 7 days. </w:t>
      </w:r>
      <w:r>
        <w:rPr>
          <w:rStyle w:val="1"/>
          <w:rFonts w:asciiTheme="majorBidi" w:hAnsiTheme="majorBidi" w:cstheme="majorBidi"/>
        </w:rPr>
        <w:t>C</w:t>
      </w:r>
      <w:r w:rsidRPr="004923CB">
        <w:rPr>
          <w:rStyle w:val="1"/>
          <w:rFonts w:asciiTheme="majorBidi" w:hAnsiTheme="majorBidi" w:cstheme="majorBidi"/>
        </w:rPr>
        <w:t>olonoscopy movie</w:t>
      </w:r>
      <w:r w:rsidRPr="004923CB">
        <w:rPr>
          <w:rFonts w:asciiTheme="majorBidi" w:hAnsiTheme="majorBidi" w:cstheme="majorBidi"/>
          <w:szCs w:val="24"/>
        </w:rPr>
        <w:t xml:space="preserve"> </w:t>
      </w:r>
      <w:r w:rsidR="007837A3">
        <w:rPr>
          <w:rFonts w:asciiTheme="majorBidi" w:hAnsiTheme="majorBidi" w:cstheme="majorBidi"/>
          <w:szCs w:val="24"/>
        </w:rPr>
        <w:t xml:space="preserve">showing </w:t>
      </w:r>
      <w:r>
        <w:rPr>
          <w:rStyle w:val="1"/>
          <w:rFonts w:asciiTheme="majorBidi" w:hAnsiTheme="majorBidi" w:cstheme="majorBidi"/>
        </w:rPr>
        <w:t>r</w:t>
      </w:r>
      <w:r w:rsidRPr="004923CB">
        <w:rPr>
          <w:rStyle w:val="1"/>
          <w:rFonts w:asciiTheme="majorBidi" w:hAnsiTheme="majorBidi" w:cstheme="majorBidi"/>
        </w:rPr>
        <w:t>epresentative</w:t>
      </w:r>
      <w:r>
        <w:rPr>
          <w:rFonts w:asciiTheme="majorBidi" w:hAnsiTheme="majorBidi" w:cstheme="majorBidi"/>
          <w:szCs w:val="24"/>
        </w:rPr>
        <w:t xml:space="preserve"> </w:t>
      </w:r>
      <w:r w:rsidR="007837A3">
        <w:rPr>
          <w:rFonts w:asciiTheme="majorBidi" w:hAnsiTheme="majorBidi" w:cstheme="majorBidi"/>
          <w:szCs w:val="24"/>
        </w:rPr>
        <w:t xml:space="preserve">captures of </w:t>
      </w:r>
      <w:r>
        <w:rPr>
          <w:rFonts w:asciiTheme="majorBidi" w:hAnsiTheme="majorBidi" w:cstheme="majorBidi"/>
          <w:szCs w:val="24"/>
        </w:rPr>
        <w:t>the</w:t>
      </w:r>
      <w:r w:rsidRPr="00C57BDD">
        <w:rPr>
          <w:rFonts w:asciiTheme="majorBidi" w:hAnsiTheme="majorBidi" w:cstheme="majorBidi"/>
          <w:szCs w:val="24"/>
        </w:rPr>
        <w:t xml:space="preserve"> five</w:t>
      </w:r>
      <w:r w:rsidRPr="00CD770B">
        <w:rPr>
          <w:rFonts w:asciiTheme="majorBidi" w:hAnsiTheme="majorBidi" w:cstheme="majorBidi"/>
          <w:szCs w:val="24"/>
        </w:rPr>
        <w:t xml:space="preserve"> parameters</w:t>
      </w:r>
      <w:r>
        <w:rPr>
          <w:rFonts w:asciiTheme="majorBidi" w:hAnsiTheme="majorBidi" w:cstheme="majorBidi"/>
          <w:szCs w:val="24"/>
        </w:rPr>
        <w:t xml:space="preserve"> which indicate </w:t>
      </w:r>
      <w:r w:rsidRPr="00CD770B">
        <w:rPr>
          <w:rFonts w:asciiTheme="majorBidi" w:hAnsiTheme="majorBidi" w:cstheme="majorBidi"/>
          <w:szCs w:val="24"/>
        </w:rPr>
        <w:t xml:space="preserve">colitis severity </w:t>
      </w:r>
      <w:r>
        <w:rPr>
          <w:rFonts w:asciiTheme="majorBidi" w:hAnsiTheme="majorBidi" w:cstheme="majorBidi"/>
          <w:szCs w:val="24"/>
        </w:rPr>
        <w:t>grade</w:t>
      </w:r>
      <w:r w:rsidRPr="00CD770B">
        <w:rPr>
          <w:rFonts w:asciiTheme="majorBidi" w:hAnsiTheme="majorBidi" w:cstheme="majorBidi"/>
          <w:szCs w:val="24"/>
        </w:rPr>
        <w:t>: thickening of the colon wall, changes in the normal vascular pattern, presence of fibrin, mucosal granularity and stool consistency</w:t>
      </w:r>
      <w:r>
        <w:rPr>
          <w:rFonts w:asciiTheme="majorBidi" w:hAnsiTheme="majorBidi" w:cstheme="majorBidi"/>
          <w:b/>
          <w:bCs/>
          <w:szCs w:val="24"/>
        </w:rPr>
        <w:t xml:space="preserve">. </w:t>
      </w:r>
    </w:p>
    <w:p w14:paraId="6D5F6C21" w14:textId="1149CC64" w:rsidR="00602F46" w:rsidRPr="0033731C" w:rsidRDefault="00602F46" w:rsidP="0033731C">
      <w:pPr>
        <w:spacing w:before="0" w:after="200" w:line="276" w:lineRule="auto"/>
        <w:rPr>
          <w:rFonts w:asciiTheme="majorBidi" w:hAnsiTheme="majorBidi" w:cstheme="majorBidi"/>
          <w:b/>
          <w:bCs/>
          <w:szCs w:val="24"/>
        </w:rPr>
      </w:pPr>
    </w:p>
    <w:p w14:paraId="0AC45E4E" w14:textId="77777777" w:rsidR="00602F46" w:rsidRDefault="00602F46">
      <w:pPr>
        <w:spacing w:before="0" w:after="200" w:line="276" w:lineRule="auto"/>
        <w:rPr>
          <w:rFonts w:asciiTheme="majorBidi" w:hAnsiTheme="majorBidi" w:cstheme="majorBidi"/>
          <w:b/>
          <w:bCs/>
          <w:szCs w:val="24"/>
        </w:rPr>
      </w:pPr>
    </w:p>
    <w:p w14:paraId="58826321" w14:textId="37F137CA" w:rsidR="00602F46" w:rsidRPr="00CC00C4" w:rsidRDefault="00602F46" w:rsidP="00CC00C4">
      <w:pPr>
        <w:spacing w:before="0" w:after="200" w:line="276" w:lineRule="auto"/>
        <w:rPr>
          <w:rFonts w:asciiTheme="majorBidi" w:hAnsiTheme="majorBidi" w:cstheme="majorBidi"/>
          <w:b/>
          <w:bCs/>
          <w:szCs w:val="24"/>
        </w:rPr>
      </w:pPr>
    </w:p>
    <w:sectPr w:rsidR="00602F46" w:rsidRPr="00CC00C4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DD909" w14:textId="77777777" w:rsidR="00407C44" w:rsidRDefault="00407C44" w:rsidP="00117666">
      <w:pPr>
        <w:spacing w:after="0"/>
      </w:pPr>
      <w:r>
        <w:separator/>
      </w:r>
    </w:p>
  </w:endnote>
  <w:endnote w:type="continuationSeparator" w:id="0">
    <w:p w14:paraId="68EAAA61" w14:textId="77777777" w:rsidR="00407C44" w:rsidRDefault="00407C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E2B0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E2B0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E2B0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E2B0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8805FF" w14:textId="77777777" w:rsidR="00407C44" w:rsidRDefault="00407C44" w:rsidP="00117666">
      <w:pPr>
        <w:spacing w:after="0"/>
      </w:pPr>
      <w:r>
        <w:separator/>
      </w:r>
    </w:p>
  </w:footnote>
  <w:footnote w:type="continuationSeparator" w:id="0">
    <w:p w14:paraId="768C9069" w14:textId="77777777" w:rsidR="00407C44" w:rsidRDefault="00407C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bidi="he-I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5A03"/>
    <w:rsid w:val="000D6E31"/>
    <w:rsid w:val="000E2B01"/>
    <w:rsid w:val="000E65D8"/>
    <w:rsid w:val="00105FD9"/>
    <w:rsid w:val="00117666"/>
    <w:rsid w:val="001549D3"/>
    <w:rsid w:val="00160065"/>
    <w:rsid w:val="00177D84"/>
    <w:rsid w:val="00185A1B"/>
    <w:rsid w:val="001E6FA5"/>
    <w:rsid w:val="00204F66"/>
    <w:rsid w:val="00267D18"/>
    <w:rsid w:val="002713CC"/>
    <w:rsid w:val="002868E2"/>
    <w:rsid w:val="002869C3"/>
    <w:rsid w:val="002936E4"/>
    <w:rsid w:val="002B4A57"/>
    <w:rsid w:val="002C6D03"/>
    <w:rsid w:val="002C74CA"/>
    <w:rsid w:val="0032396D"/>
    <w:rsid w:val="0033731C"/>
    <w:rsid w:val="003544FB"/>
    <w:rsid w:val="00381F94"/>
    <w:rsid w:val="003D2F2D"/>
    <w:rsid w:val="003F3704"/>
    <w:rsid w:val="00401590"/>
    <w:rsid w:val="00407C44"/>
    <w:rsid w:val="0042600A"/>
    <w:rsid w:val="0043121C"/>
    <w:rsid w:val="0043509B"/>
    <w:rsid w:val="00447801"/>
    <w:rsid w:val="00452E9C"/>
    <w:rsid w:val="004735C8"/>
    <w:rsid w:val="004947A6"/>
    <w:rsid w:val="004961FF"/>
    <w:rsid w:val="004F21EC"/>
    <w:rsid w:val="00501134"/>
    <w:rsid w:val="00517A89"/>
    <w:rsid w:val="005250F2"/>
    <w:rsid w:val="0056774F"/>
    <w:rsid w:val="00576C2D"/>
    <w:rsid w:val="00586D22"/>
    <w:rsid w:val="00593EEA"/>
    <w:rsid w:val="005A5EEE"/>
    <w:rsid w:val="005C4137"/>
    <w:rsid w:val="0060246D"/>
    <w:rsid w:val="00602F4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24D0"/>
    <w:rsid w:val="007837A3"/>
    <w:rsid w:val="00790BB3"/>
    <w:rsid w:val="007C206C"/>
    <w:rsid w:val="00817DD6"/>
    <w:rsid w:val="0083759F"/>
    <w:rsid w:val="0084111E"/>
    <w:rsid w:val="008815DD"/>
    <w:rsid w:val="00885156"/>
    <w:rsid w:val="009151AA"/>
    <w:rsid w:val="00922616"/>
    <w:rsid w:val="0093429D"/>
    <w:rsid w:val="00943573"/>
    <w:rsid w:val="00943963"/>
    <w:rsid w:val="00944CCA"/>
    <w:rsid w:val="00970F7D"/>
    <w:rsid w:val="00994A3D"/>
    <w:rsid w:val="009C2B12"/>
    <w:rsid w:val="00A174D9"/>
    <w:rsid w:val="00A57D05"/>
    <w:rsid w:val="00AA4D24"/>
    <w:rsid w:val="00AB6715"/>
    <w:rsid w:val="00AF769B"/>
    <w:rsid w:val="00B163F2"/>
    <w:rsid w:val="00B1671E"/>
    <w:rsid w:val="00B25EB8"/>
    <w:rsid w:val="00B37F4D"/>
    <w:rsid w:val="00C47779"/>
    <w:rsid w:val="00C52A7B"/>
    <w:rsid w:val="00C5506A"/>
    <w:rsid w:val="00C56BAF"/>
    <w:rsid w:val="00C679AA"/>
    <w:rsid w:val="00C75972"/>
    <w:rsid w:val="00C9069C"/>
    <w:rsid w:val="00CC00C4"/>
    <w:rsid w:val="00CD066B"/>
    <w:rsid w:val="00CE4FEE"/>
    <w:rsid w:val="00D84221"/>
    <w:rsid w:val="00D90C59"/>
    <w:rsid w:val="00DA0119"/>
    <w:rsid w:val="00DB59C3"/>
    <w:rsid w:val="00DC259A"/>
    <w:rsid w:val="00DE23E8"/>
    <w:rsid w:val="00E358E8"/>
    <w:rsid w:val="00E52377"/>
    <w:rsid w:val="00E64E17"/>
    <w:rsid w:val="00E866C9"/>
    <w:rsid w:val="00E9371E"/>
    <w:rsid w:val="00EA3D3C"/>
    <w:rsid w:val="00EC090A"/>
    <w:rsid w:val="00ED20B5"/>
    <w:rsid w:val="00EF1065"/>
    <w:rsid w:val="00F06A20"/>
    <w:rsid w:val="00F35F7F"/>
    <w:rsid w:val="00F46900"/>
    <w:rsid w:val="00F61D89"/>
    <w:rsid w:val="00FC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1">
    <w:name w:val="גופן ברירת המחדל של פיסקה1"/>
    <w:rsid w:val="00602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1">
    <w:name w:val="גופן ברירת המחדל של פיסקה1"/>
    <w:rsid w:val="00602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nathang@tlvmc.gov.i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henv@tlvmc.gov.il" TargetMode="Externa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C19718-F599-4AA5-A1D6-67804DD2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5</Pages>
  <Words>623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TASMC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odelya mohadev</dc:creator>
  <cp:lastModifiedBy>user</cp:lastModifiedBy>
  <cp:revision>10</cp:revision>
  <cp:lastPrinted>2013-10-03T12:51:00Z</cp:lastPrinted>
  <dcterms:created xsi:type="dcterms:W3CDTF">2018-11-01T13:38:00Z</dcterms:created>
  <dcterms:modified xsi:type="dcterms:W3CDTF">2018-11-01T13:55:00Z</dcterms:modified>
</cp:coreProperties>
</file>