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</w:t>
      </w:r>
      <w:r>
        <w:rPr>
          <w:rFonts w:hint="default"/>
          <w:lang w:val="en-US" w:eastAsia="zh-CN"/>
        </w:rPr>
        <w:t>upplementary</w:t>
      </w:r>
      <w:r>
        <w:rPr>
          <w:rFonts w:hint="eastAsia"/>
          <w:lang w:val="en-US" w:eastAsia="zh-CN"/>
        </w:rPr>
        <w:t xml:space="preserve"> Table 1. Detailed information of virus used in the present paper.</w:t>
      </w:r>
    </w:p>
    <w:tbl>
      <w:tblPr>
        <w:tblStyle w:val="4"/>
        <w:tblpPr w:leftFromText="180" w:rightFromText="180" w:vertAnchor="text" w:horzAnchor="page" w:tblpX="1862" w:tblpY="302"/>
        <w:tblOverlap w:val="never"/>
        <w:tblW w:w="7361" w:type="dxa"/>
        <w:tblInd w:w="0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3909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52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Name</w:t>
            </w:r>
          </w:p>
        </w:tc>
        <w:tc>
          <w:tcPr>
            <w:tcW w:w="3909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Titer (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genomix copies /ml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AAV-CAG-Dio-TVA-GFP</w:t>
            </w:r>
          </w:p>
        </w:tc>
        <w:tc>
          <w:tcPr>
            <w:tcW w:w="3909" w:type="dxa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5×10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perscript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AAV-CAG-Dio-RVG </w:t>
            </w:r>
          </w:p>
        </w:tc>
        <w:tc>
          <w:tcPr>
            <w:tcW w:w="39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6.8×10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perscript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RV-Enva-dsRed  </w:t>
            </w:r>
          </w:p>
        </w:tc>
        <w:tc>
          <w:tcPr>
            <w:tcW w:w="39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5.0×10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superscript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452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VSV-mCherry </w:t>
            </w:r>
          </w:p>
        </w:tc>
        <w:tc>
          <w:tcPr>
            <w:tcW w:w="3909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5.0×10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"/>
              </w:rPr>
              <w:t>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</w:t>
      </w:r>
      <w:r>
        <w:rPr>
          <w:rFonts w:hint="default"/>
          <w:lang w:val="en-US" w:eastAsia="zh-CN"/>
        </w:rPr>
        <w:t xml:space="preserve">upplementary Table 2 Comparison of olfactory system afferent </w:t>
      </w:r>
      <w:r>
        <w:rPr>
          <w:rFonts w:hint="eastAsia"/>
          <w:lang w:val="en-US" w:eastAsia="zh-CN"/>
        </w:rPr>
        <w:t>to</w:t>
      </w:r>
      <w:r>
        <w:rPr>
          <w:rFonts w:hint="default"/>
          <w:lang w:val="en-US" w:eastAsia="zh-CN"/>
        </w:rPr>
        <w:t xml:space="preserve"> the subpopulation of BFCNs.    </w:t>
      </w:r>
    </w:p>
    <w:tbl>
      <w:tblPr>
        <w:tblStyle w:val="4"/>
        <w:tblpPr w:leftFromText="180" w:rightFromText="180" w:vertAnchor="text" w:horzAnchor="page" w:tblpX="1826" w:tblpY="249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1436"/>
        <w:gridCol w:w="1482"/>
        <w:gridCol w:w="1600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vMerge w:val="restart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Brain areas</w:t>
            </w:r>
          </w:p>
        </w:tc>
        <w:tc>
          <w:tcPr>
            <w:tcW w:w="1436" w:type="dxa"/>
            <w:vMerge w:val="restart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Abbreviations</w:t>
            </w:r>
          </w:p>
        </w:tc>
        <w:tc>
          <w:tcPr>
            <w:tcW w:w="4345" w:type="dxa"/>
            <w:gridSpan w:val="3"/>
            <w:tcBorders>
              <w:top w:val="single" w:color="000000" w:themeColor="text1" w:sz="12" w:space="0"/>
              <w:bottom w:val="single" w:color="000000" w:themeColor="text1" w:sz="12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 w:firstLine="840" w:firstLineChars="40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Comparison of olfactory inputs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vMerge w:val="continue"/>
            <w:tcBorders>
              <w:top w:val="nil"/>
              <w:bottom w:val="single" w:color="000000" w:themeColor="text1" w:sz="12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Merge w:val="continue"/>
            <w:tcBorders>
              <w:top w:val="nil"/>
              <w:bottom w:val="single" w:color="000000" w:themeColor="text1" w:sz="12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themeColor="text1" w:sz="12" w:space="0"/>
              <w:bottom w:val="single" w:color="000000" w:themeColor="text1" w:sz="12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MS/vDB: SI</w:t>
            </w:r>
          </w:p>
        </w:tc>
        <w:tc>
          <w:tcPr>
            <w:tcW w:w="160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MS/vDB: NBM</w:t>
            </w:r>
          </w:p>
        </w:tc>
        <w:tc>
          <w:tcPr>
            <w:tcW w:w="1263" w:type="dxa"/>
            <w:tcBorders>
              <w:top w:val="single" w:color="000000" w:themeColor="text1" w:sz="12" w:space="0"/>
              <w:bottom w:val="single" w:color="000000" w:themeColor="text1" w:sz="12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SI:NBM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Anterior amygdalar area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AAA</w:t>
            </w:r>
          </w:p>
        </w:tc>
        <w:tc>
          <w:tcPr>
            <w:tcW w:w="1482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P&lt;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0.05</w:t>
            </w:r>
          </w:p>
        </w:tc>
        <w:tc>
          <w:tcPr>
            <w:tcW w:w="126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lightGray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Anterior olfactory nucleus</w:t>
            </w:r>
          </w:p>
        </w:tc>
        <w:tc>
          <w:tcPr>
            <w:tcW w:w="143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lightGray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AON</w:t>
            </w:r>
          </w:p>
        </w:tc>
        <w:tc>
          <w:tcPr>
            <w:tcW w:w="148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=0.002</w:t>
            </w:r>
          </w:p>
        </w:tc>
        <w:tc>
          <w:tcPr>
            <w:tcW w:w="160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Basolateral amygdalar area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BLA</w:t>
            </w:r>
          </w:p>
        </w:tc>
        <w:tc>
          <w:tcPr>
            <w:tcW w:w="1482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&gt;0.05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Central amygdalar nucleus</w:t>
            </w:r>
          </w:p>
        </w:tc>
        <w:tc>
          <w:tcPr>
            <w:tcW w:w="143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CEA</w:t>
            </w:r>
          </w:p>
        </w:tc>
        <w:tc>
          <w:tcPr>
            <w:tcW w:w="148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=0.002</w:t>
            </w:r>
          </w:p>
        </w:tc>
        <w:tc>
          <w:tcPr>
            <w:tcW w:w="126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Cortical amygdalar area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COA</w:t>
            </w:r>
          </w:p>
        </w:tc>
        <w:tc>
          <w:tcPr>
            <w:tcW w:w="1482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Dorsal peduncular area</w:t>
            </w:r>
          </w:p>
        </w:tc>
        <w:tc>
          <w:tcPr>
            <w:tcW w:w="143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DP</w:t>
            </w:r>
          </w:p>
        </w:tc>
        <w:tc>
          <w:tcPr>
            <w:tcW w:w="148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&gt;0.05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Hippocampus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HIP</w:t>
            </w:r>
          </w:p>
        </w:tc>
        <w:tc>
          <w:tcPr>
            <w:tcW w:w="1482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=0.003</w:t>
            </w:r>
          </w:p>
        </w:tc>
        <w:tc>
          <w:tcPr>
            <w:tcW w:w="126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=0.002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Olfactory bulb</w:t>
            </w:r>
          </w:p>
        </w:tc>
        <w:tc>
          <w:tcPr>
            <w:tcW w:w="143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OB</w:t>
            </w:r>
          </w:p>
        </w:tc>
        <w:tc>
          <w:tcPr>
            <w:tcW w:w="148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=0.002</w:t>
            </w:r>
          </w:p>
        </w:tc>
        <w:tc>
          <w:tcPr>
            <w:tcW w:w="160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Olfactory tubercle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OT</w:t>
            </w:r>
          </w:p>
        </w:tc>
        <w:tc>
          <w:tcPr>
            <w:tcW w:w="1482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Piriform-amygdalar area</w:t>
            </w:r>
          </w:p>
        </w:tc>
        <w:tc>
          <w:tcPr>
            <w:tcW w:w="143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PAA</w:t>
            </w:r>
          </w:p>
        </w:tc>
        <w:tc>
          <w:tcPr>
            <w:tcW w:w="148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  <w:tc>
          <w:tcPr>
            <w:tcW w:w="160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Piriform area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PIR</w:t>
            </w:r>
          </w:p>
        </w:tc>
        <w:tc>
          <w:tcPr>
            <w:tcW w:w="1482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=0.001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Retrohippocampal area</w:t>
            </w:r>
          </w:p>
        </w:tc>
        <w:tc>
          <w:tcPr>
            <w:tcW w:w="1436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RHP</w:t>
            </w:r>
          </w:p>
        </w:tc>
        <w:tc>
          <w:tcPr>
            <w:tcW w:w="148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263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Taenia tecta</w:t>
            </w:r>
          </w:p>
        </w:tc>
        <w:tc>
          <w:tcPr>
            <w:tcW w:w="1436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TT</w:t>
            </w:r>
          </w:p>
        </w:tc>
        <w:tc>
          <w:tcPr>
            <w:tcW w:w="1482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&gt;0.05</w:t>
            </w:r>
          </w:p>
        </w:tc>
        <w:tc>
          <w:tcPr>
            <w:tcW w:w="1600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&gt;0.01</w:t>
            </w:r>
          </w:p>
        </w:tc>
        <w:tc>
          <w:tcPr>
            <w:tcW w:w="1263" w:type="dxa"/>
            <w:tcBorders>
              <w:bottom w:val="single" w:color="000000" w:themeColor="text1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0"/>
              </w:tabs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=0.002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Note: *</w:t>
      </w:r>
      <w:r>
        <w:rPr>
          <w:rFonts w:hint="default"/>
          <w:i/>
          <w:iCs/>
          <w:lang w:val="en-US" w:eastAsia="zh-CN"/>
        </w:rPr>
        <w:t>P</w:t>
      </w:r>
      <w:r>
        <w:rPr>
          <w:rFonts w:hint="default"/>
          <w:lang w:val="en-US" w:eastAsia="zh-CN"/>
        </w:rPr>
        <w:t>&lt;0.05, **</w:t>
      </w:r>
      <w:r>
        <w:rPr>
          <w:rFonts w:hint="default"/>
          <w:i/>
          <w:iCs/>
          <w:lang w:val="en-US" w:eastAsia="zh-CN"/>
        </w:rPr>
        <w:t>P</w:t>
      </w:r>
      <w:r>
        <w:rPr>
          <w:rFonts w:hint="default"/>
          <w:lang w:val="en-US" w:eastAsia="zh-CN"/>
        </w:rPr>
        <w:t>&lt;0.01 and ***</w:t>
      </w:r>
      <w:r>
        <w:rPr>
          <w:rFonts w:hint="default"/>
          <w:i/>
          <w:iCs/>
          <w:lang w:val="en-US" w:eastAsia="zh-CN"/>
        </w:rPr>
        <w:t>P</w:t>
      </w:r>
      <w:r>
        <w:rPr>
          <w:rFonts w:hint="default"/>
          <w:lang w:val="en-US" w:eastAsia="zh-CN"/>
        </w:rPr>
        <w:t>&lt;0.001; one-way ANOVA was used.</w:t>
      </w:r>
    </w:p>
    <w:p>
      <w:pPr>
        <w:tabs>
          <w:tab w:val="left" w:pos="480"/>
        </w:tabs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ab/>
      </w:r>
    </w:p>
    <w:p>
      <w:pPr>
        <w:tabs>
          <w:tab w:val="left" w:pos="480"/>
        </w:tabs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11599"/>
    <w:rsid w:val="11F72B8B"/>
    <w:rsid w:val="18DC0068"/>
    <w:rsid w:val="20F7250E"/>
    <w:rsid w:val="361846AE"/>
    <w:rsid w:val="36591AA8"/>
    <w:rsid w:val="68A34E0A"/>
    <w:rsid w:val="6D2338E5"/>
    <w:rsid w:val="7FE84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2018-01-29T06:07:10Z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