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1104D196" w14:textId="0C2F03AF" w:rsidR="00817DD6" w:rsidRPr="001549D3" w:rsidRDefault="00422095" w:rsidP="0001436A">
      <w:pPr>
        <w:pStyle w:val="Title"/>
      </w:pPr>
      <w:r>
        <w:t>Lectin-like bacteriocins</w:t>
      </w:r>
    </w:p>
    <w:p w14:paraId="00E92DC7" w14:textId="4CF42722" w:rsidR="002868E2" w:rsidRPr="00514C25" w:rsidRDefault="00422095" w:rsidP="0001436A">
      <w:pPr>
        <w:pStyle w:val="AuthorList"/>
        <w:rPr>
          <w:vertAlign w:val="superscript"/>
        </w:rPr>
      </w:pPr>
      <w:r w:rsidRPr="00514C25">
        <w:t>Maarten G. K. Ghequire</w:t>
      </w:r>
      <w:r w:rsidRPr="00514C25">
        <w:rPr>
          <w:vertAlign w:val="superscript"/>
        </w:rPr>
        <w:t>1</w:t>
      </w:r>
      <w:r w:rsidR="002868E2" w:rsidRPr="00514C25">
        <w:t xml:space="preserve">*, </w:t>
      </w:r>
      <w:r w:rsidRPr="00514C25">
        <w:t>Başak Öztürk</w:t>
      </w:r>
      <w:r w:rsidRPr="00514C25">
        <w:rPr>
          <w:vertAlign w:val="superscript"/>
        </w:rPr>
        <w:t>2</w:t>
      </w:r>
      <w:r w:rsidR="002868E2" w:rsidRPr="00514C25">
        <w:t xml:space="preserve">, </w:t>
      </w:r>
      <w:r w:rsidRPr="00514C25">
        <w:t>René De Mot</w:t>
      </w:r>
      <w:r w:rsidRPr="00514C25">
        <w:rPr>
          <w:vertAlign w:val="superscript"/>
        </w:rPr>
        <w:t>1</w:t>
      </w:r>
    </w:p>
    <w:p w14:paraId="5D4F6396" w14:textId="77777777" w:rsidR="00422095" w:rsidRPr="008A238D" w:rsidRDefault="00422095" w:rsidP="00422095">
      <w:pPr>
        <w:spacing w:before="240" w:after="0"/>
        <w:rPr>
          <w:rFonts w:cs="Times New Roman"/>
          <w:b/>
          <w:szCs w:val="24"/>
        </w:rPr>
      </w:pPr>
      <w:r w:rsidRPr="008A238D">
        <w:rPr>
          <w:szCs w:val="24"/>
          <w:vertAlign w:val="superscript"/>
        </w:rPr>
        <w:t>1</w:t>
      </w:r>
      <w:r w:rsidRPr="008A238D">
        <w:rPr>
          <w:szCs w:val="24"/>
        </w:rPr>
        <w:t>Centre of Microbial and Plant Genetics, KU Leuven, Kasteelpark Arenberg 20 bus 2460, 3001 Heverlee, Belgium</w:t>
      </w:r>
    </w:p>
    <w:p w14:paraId="49AC4D81" w14:textId="77777777" w:rsidR="00422095" w:rsidRPr="008A238D" w:rsidRDefault="00422095" w:rsidP="00422095">
      <w:pPr>
        <w:spacing w:after="0"/>
        <w:rPr>
          <w:rFonts w:cs="Times New Roman"/>
          <w:b/>
          <w:szCs w:val="24"/>
          <w:lang w:val="nl-BE"/>
        </w:rPr>
      </w:pPr>
      <w:r w:rsidRPr="008A238D">
        <w:rPr>
          <w:rFonts w:cs="Times New Roman"/>
          <w:szCs w:val="24"/>
          <w:vertAlign w:val="superscript"/>
          <w:lang w:val="nl-BE"/>
        </w:rPr>
        <w:t>2</w:t>
      </w:r>
      <w:r w:rsidRPr="008A238D">
        <w:rPr>
          <w:szCs w:val="24"/>
          <w:lang w:val="nl-BE"/>
        </w:rPr>
        <w:t>Leibniz-Institut DSMZ-Deutsche Sammlung von Mikroorganismen und Zellkulturen, Braunschweig, Germany</w:t>
      </w:r>
    </w:p>
    <w:p w14:paraId="1F33D74E" w14:textId="77777777" w:rsidR="00422095" w:rsidRDefault="00422095" w:rsidP="00422095">
      <w:pPr>
        <w:spacing w:before="240" w:after="0"/>
        <w:rPr>
          <w:rFonts w:cs="Times New Roman"/>
        </w:rPr>
      </w:pPr>
      <w:r w:rsidRPr="00994A3D">
        <w:rPr>
          <w:rFonts w:cs="Times New Roman"/>
          <w:b/>
        </w:rPr>
        <w:t xml:space="preserve">* Correspondence: </w:t>
      </w:r>
      <w:r w:rsidRPr="00994A3D">
        <w:rPr>
          <w:rFonts w:cs="Times New Roman"/>
        </w:rPr>
        <w:t xml:space="preserve">Corresponding Author: </w:t>
      </w:r>
      <w:r>
        <w:rPr>
          <w:rFonts w:cs="Times New Roman"/>
        </w:rPr>
        <w:t>maarten.ghequire@ kuleuven.be</w:t>
      </w:r>
    </w:p>
    <w:p w14:paraId="4D12979E" w14:textId="183FE5F3" w:rsidR="00422095" w:rsidRDefault="00422095" w:rsidP="00994A3D">
      <w:pPr>
        <w:spacing w:before="240" w:after="0"/>
        <w:rPr>
          <w:rFonts w:cs="Times New Roman"/>
        </w:rPr>
      </w:pPr>
    </w:p>
    <w:p w14:paraId="315904D9" w14:textId="77777777" w:rsidR="00CD1DA7" w:rsidRDefault="00CD1DA7" w:rsidP="00CD1DA7">
      <w:bookmarkStart w:id="0" w:name="_Ref525722769"/>
      <w:r w:rsidRPr="003B745E">
        <w:rPr>
          <w:b/>
        </w:rPr>
        <w:t>Supplementary Table S1</w:t>
      </w:r>
      <w:bookmarkEnd w:id="0"/>
      <w:r w:rsidRPr="003B745E">
        <w:rPr>
          <w:b/>
        </w:rPr>
        <w:t>.</w:t>
      </w:r>
      <w:r w:rsidRPr="003B745E">
        <w:t xml:space="preserve"> General overview of </w:t>
      </w:r>
      <w:r w:rsidRPr="003B745E">
        <w:rPr>
          <w:i/>
        </w:rPr>
        <w:t>Pseudomonas</w:t>
      </w:r>
      <w:r w:rsidRPr="003B745E">
        <w:t xml:space="preserve"> bacteriocin classes with key characteristics.</w:t>
      </w:r>
    </w:p>
    <w:tbl>
      <w:tblPr>
        <w:tblStyle w:val="TableGrid"/>
        <w:tblW w:w="9767" w:type="dxa"/>
        <w:tblLook w:val="04A0" w:firstRow="1" w:lastRow="0" w:firstColumn="1" w:lastColumn="0" w:noHBand="0" w:noVBand="1"/>
      </w:tblPr>
      <w:tblGrid>
        <w:gridCol w:w="1850"/>
        <w:gridCol w:w="1194"/>
        <w:gridCol w:w="1423"/>
        <w:gridCol w:w="1977"/>
        <w:gridCol w:w="1348"/>
        <w:gridCol w:w="1975"/>
      </w:tblGrid>
      <w:tr w:rsidR="00CD1DA7" w:rsidRPr="00F74E9E" w14:paraId="6587A389" w14:textId="77777777" w:rsidTr="003566A9">
        <w:trPr>
          <w:trHeight w:val="20"/>
        </w:trPr>
        <w:tc>
          <w:tcPr>
            <w:tcW w:w="1850" w:type="dxa"/>
            <w:shd w:val="clear" w:color="auto" w:fill="A6A6A6" w:themeFill="background1" w:themeFillShade="A6"/>
          </w:tcPr>
          <w:p w14:paraId="3F1BD6CB" w14:textId="77777777" w:rsidR="00CD1DA7" w:rsidRPr="00F74E9E" w:rsidRDefault="00CD1DA7" w:rsidP="003566A9">
            <w:pPr>
              <w:spacing w:before="0" w:after="0"/>
              <w:rPr>
                <w:b/>
                <w:sz w:val="20"/>
              </w:rPr>
            </w:pPr>
            <w:r w:rsidRPr="00F74E9E">
              <w:rPr>
                <w:b/>
                <w:sz w:val="20"/>
              </w:rPr>
              <w:t>Bacteriocin class</w:t>
            </w:r>
          </w:p>
        </w:tc>
        <w:tc>
          <w:tcPr>
            <w:tcW w:w="1194" w:type="dxa"/>
            <w:shd w:val="clear" w:color="auto" w:fill="A6A6A6" w:themeFill="background1" w:themeFillShade="A6"/>
          </w:tcPr>
          <w:p w14:paraId="2A0BFB0C" w14:textId="77777777" w:rsidR="00CD1DA7" w:rsidRPr="00F74E9E" w:rsidRDefault="00CD1DA7" w:rsidP="003566A9">
            <w:pPr>
              <w:spacing w:before="0" w:after="0"/>
              <w:rPr>
                <w:b/>
                <w:sz w:val="20"/>
              </w:rPr>
            </w:pPr>
            <w:r w:rsidRPr="00F74E9E">
              <w:rPr>
                <w:b/>
                <w:sz w:val="20"/>
              </w:rPr>
              <w:t>Subclass</w:t>
            </w:r>
          </w:p>
        </w:tc>
        <w:tc>
          <w:tcPr>
            <w:tcW w:w="1423" w:type="dxa"/>
            <w:shd w:val="clear" w:color="auto" w:fill="A6A6A6" w:themeFill="background1" w:themeFillShade="A6"/>
          </w:tcPr>
          <w:p w14:paraId="28AAB1E9" w14:textId="77777777" w:rsidR="00CD1DA7" w:rsidRPr="00F74E9E" w:rsidRDefault="00CD1DA7" w:rsidP="003566A9">
            <w:pPr>
              <w:spacing w:before="0" w:after="0"/>
              <w:rPr>
                <w:b/>
                <w:sz w:val="20"/>
              </w:rPr>
            </w:pPr>
            <w:r w:rsidRPr="00F74E9E">
              <w:rPr>
                <w:b/>
                <w:sz w:val="20"/>
              </w:rPr>
              <w:t>Molecular weight (kDa)</w:t>
            </w:r>
          </w:p>
        </w:tc>
        <w:tc>
          <w:tcPr>
            <w:tcW w:w="1977" w:type="dxa"/>
            <w:shd w:val="clear" w:color="auto" w:fill="A6A6A6" w:themeFill="background1" w:themeFillShade="A6"/>
          </w:tcPr>
          <w:p w14:paraId="3777F41D" w14:textId="77777777" w:rsidR="00CD1DA7" w:rsidRPr="00F74E9E" w:rsidRDefault="00CD1DA7" w:rsidP="003566A9">
            <w:pPr>
              <w:spacing w:before="0" w:after="0"/>
              <w:rPr>
                <w:b/>
                <w:sz w:val="20"/>
              </w:rPr>
            </w:pPr>
            <w:r w:rsidRPr="00F74E9E">
              <w:rPr>
                <w:b/>
                <w:sz w:val="20"/>
              </w:rPr>
              <w:t>Outer-membrane receptor</w:t>
            </w:r>
          </w:p>
        </w:tc>
        <w:tc>
          <w:tcPr>
            <w:tcW w:w="1348" w:type="dxa"/>
            <w:shd w:val="clear" w:color="auto" w:fill="A6A6A6" w:themeFill="background1" w:themeFillShade="A6"/>
          </w:tcPr>
          <w:p w14:paraId="0FDCC66B" w14:textId="77777777" w:rsidR="00CD1DA7" w:rsidRPr="00F74E9E" w:rsidRDefault="00CD1DA7" w:rsidP="003566A9">
            <w:pPr>
              <w:spacing w:before="0" w:after="0"/>
              <w:rPr>
                <w:b/>
                <w:sz w:val="20"/>
              </w:rPr>
            </w:pPr>
            <w:r w:rsidRPr="00F74E9E">
              <w:rPr>
                <w:b/>
                <w:sz w:val="20"/>
              </w:rPr>
              <w:t>Self-immunity mechanism</w:t>
            </w:r>
          </w:p>
        </w:tc>
        <w:tc>
          <w:tcPr>
            <w:tcW w:w="1975" w:type="dxa"/>
            <w:shd w:val="clear" w:color="auto" w:fill="A6A6A6" w:themeFill="background1" w:themeFillShade="A6"/>
          </w:tcPr>
          <w:p w14:paraId="23B4AE18" w14:textId="77777777" w:rsidR="00CD1DA7" w:rsidRPr="00F74E9E" w:rsidRDefault="00CD1DA7" w:rsidP="003566A9">
            <w:pPr>
              <w:spacing w:before="0" w:after="0"/>
              <w:rPr>
                <w:b/>
                <w:sz w:val="20"/>
              </w:rPr>
            </w:pPr>
            <w:r w:rsidRPr="00F74E9E">
              <w:rPr>
                <w:b/>
                <w:sz w:val="20"/>
              </w:rPr>
              <w:t>Mechanism of action</w:t>
            </w:r>
          </w:p>
        </w:tc>
      </w:tr>
      <w:tr w:rsidR="00CD1DA7" w:rsidRPr="00F74E9E" w14:paraId="147AE04B" w14:textId="77777777" w:rsidTr="003566A9">
        <w:trPr>
          <w:trHeight w:val="20"/>
        </w:trPr>
        <w:tc>
          <w:tcPr>
            <w:tcW w:w="1850" w:type="dxa"/>
            <w:vMerge w:val="restart"/>
          </w:tcPr>
          <w:p w14:paraId="1F99B04A" w14:textId="77777777" w:rsidR="00CD1DA7" w:rsidRPr="00F74E9E" w:rsidRDefault="00CD1DA7" w:rsidP="003566A9">
            <w:pPr>
              <w:spacing w:before="0" w:after="0"/>
              <w:rPr>
                <w:sz w:val="20"/>
              </w:rPr>
            </w:pPr>
            <w:r w:rsidRPr="00F74E9E">
              <w:rPr>
                <w:sz w:val="20"/>
              </w:rPr>
              <w:t>Tailocins</w:t>
            </w:r>
          </w:p>
        </w:tc>
        <w:tc>
          <w:tcPr>
            <w:tcW w:w="1194" w:type="dxa"/>
          </w:tcPr>
          <w:p w14:paraId="660CC17A" w14:textId="77777777" w:rsidR="00CD1DA7" w:rsidRPr="00F74E9E" w:rsidRDefault="00CD1DA7" w:rsidP="003566A9">
            <w:pPr>
              <w:spacing w:before="0" w:after="0"/>
              <w:rPr>
                <w:sz w:val="20"/>
              </w:rPr>
            </w:pPr>
            <w:r w:rsidRPr="00F74E9E">
              <w:rPr>
                <w:sz w:val="20"/>
              </w:rPr>
              <w:t>R-type (contractile)</w:t>
            </w:r>
          </w:p>
        </w:tc>
        <w:tc>
          <w:tcPr>
            <w:tcW w:w="1423" w:type="dxa"/>
            <w:vMerge w:val="restart"/>
          </w:tcPr>
          <w:p w14:paraId="126740D0" w14:textId="77777777" w:rsidR="00CD1DA7" w:rsidRPr="00F74E9E" w:rsidRDefault="00CD1DA7" w:rsidP="003566A9">
            <w:pPr>
              <w:spacing w:before="0" w:after="0"/>
              <w:rPr>
                <w:sz w:val="20"/>
                <w:vertAlign w:val="superscript"/>
              </w:rPr>
            </w:pPr>
            <w:r w:rsidRPr="00F74E9E">
              <w:rPr>
                <w:sz w:val="20"/>
              </w:rPr>
              <w:t>2.10</w:t>
            </w:r>
            <w:r w:rsidRPr="00F74E9E">
              <w:rPr>
                <w:sz w:val="20"/>
                <w:vertAlign w:val="superscript"/>
              </w:rPr>
              <w:t>6</w:t>
            </w:r>
            <w:r w:rsidRPr="00F74E9E">
              <w:rPr>
                <w:sz w:val="20"/>
              </w:rPr>
              <w:t xml:space="preserve"> – 10</w:t>
            </w:r>
            <w:r w:rsidRPr="00F74E9E">
              <w:rPr>
                <w:sz w:val="20"/>
                <w:vertAlign w:val="superscript"/>
              </w:rPr>
              <w:t>7</w:t>
            </w:r>
          </w:p>
        </w:tc>
        <w:tc>
          <w:tcPr>
            <w:tcW w:w="1977" w:type="dxa"/>
          </w:tcPr>
          <w:p w14:paraId="1E2E16B9" w14:textId="77777777" w:rsidR="00CD1DA7" w:rsidRPr="00F74E9E" w:rsidRDefault="00CD1DA7" w:rsidP="003566A9">
            <w:pPr>
              <w:spacing w:before="0" w:after="0"/>
              <w:rPr>
                <w:sz w:val="20"/>
              </w:rPr>
            </w:pPr>
            <w:r w:rsidRPr="00F74E9E">
              <w:rPr>
                <w:sz w:val="20"/>
              </w:rPr>
              <w:t>Lipopolysaccharide</w:t>
            </w:r>
          </w:p>
        </w:tc>
        <w:tc>
          <w:tcPr>
            <w:tcW w:w="1348" w:type="dxa"/>
            <w:vMerge w:val="restart"/>
          </w:tcPr>
          <w:p w14:paraId="692A82A8" w14:textId="77777777" w:rsidR="00CD1DA7" w:rsidRPr="00F74E9E" w:rsidRDefault="00CD1DA7" w:rsidP="003566A9">
            <w:pPr>
              <w:spacing w:before="0" w:after="0"/>
              <w:rPr>
                <w:sz w:val="20"/>
              </w:rPr>
            </w:pPr>
            <w:r w:rsidRPr="00F74E9E">
              <w:rPr>
                <w:sz w:val="20"/>
              </w:rPr>
              <w:t>No</w:t>
            </w:r>
          </w:p>
        </w:tc>
        <w:tc>
          <w:tcPr>
            <w:tcW w:w="1975" w:type="dxa"/>
          </w:tcPr>
          <w:p w14:paraId="1EE363DD" w14:textId="77777777" w:rsidR="00CD1DA7" w:rsidRPr="00F74E9E" w:rsidRDefault="00CD1DA7" w:rsidP="003566A9">
            <w:pPr>
              <w:spacing w:before="0" w:after="0"/>
              <w:rPr>
                <w:sz w:val="20"/>
              </w:rPr>
            </w:pPr>
            <w:r w:rsidRPr="00F74E9E">
              <w:rPr>
                <w:sz w:val="20"/>
              </w:rPr>
              <w:t>Membrane perforation</w:t>
            </w:r>
          </w:p>
        </w:tc>
      </w:tr>
      <w:tr w:rsidR="00CD1DA7" w:rsidRPr="00F74E9E" w14:paraId="20498CAA" w14:textId="77777777" w:rsidTr="003566A9">
        <w:trPr>
          <w:trHeight w:val="20"/>
        </w:trPr>
        <w:tc>
          <w:tcPr>
            <w:tcW w:w="1850" w:type="dxa"/>
            <w:vMerge/>
          </w:tcPr>
          <w:p w14:paraId="48FB49E7" w14:textId="77777777" w:rsidR="00CD1DA7" w:rsidRPr="00F74E9E" w:rsidRDefault="00CD1DA7" w:rsidP="003566A9">
            <w:pPr>
              <w:spacing w:before="0" w:after="0"/>
              <w:rPr>
                <w:sz w:val="20"/>
              </w:rPr>
            </w:pPr>
          </w:p>
        </w:tc>
        <w:tc>
          <w:tcPr>
            <w:tcW w:w="1194" w:type="dxa"/>
          </w:tcPr>
          <w:p w14:paraId="6B4F06A5" w14:textId="77777777" w:rsidR="00CD1DA7" w:rsidRPr="00F74E9E" w:rsidRDefault="00CD1DA7" w:rsidP="003566A9">
            <w:pPr>
              <w:spacing w:before="0" w:after="0"/>
              <w:rPr>
                <w:sz w:val="20"/>
              </w:rPr>
            </w:pPr>
            <w:r w:rsidRPr="00F74E9E">
              <w:rPr>
                <w:sz w:val="20"/>
              </w:rPr>
              <w:t>F-type (flexible)</w:t>
            </w:r>
          </w:p>
        </w:tc>
        <w:tc>
          <w:tcPr>
            <w:tcW w:w="1423" w:type="dxa"/>
            <w:vMerge/>
          </w:tcPr>
          <w:p w14:paraId="51BEDF14" w14:textId="77777777" w:rsidR="00CD1DA7" w:rsidRPr="00F74E9E" w:rsidRDefault="00CD1DA7" w:rsidP="003566A9">
            <w:pPr>
              <w:spacing w:before="0" w:after="0"/>
              <w:rPr>
                <w:sz w:val="20"/>
              </w:rPr>
            </w:pPr>
          </w:p>
        </w:tc>
        <w:tc>
          <w:tcPr>
            <w:tcW w:w="1977" w:type="dxa"/>
          </w:tcPr>
          <w:p w14:paraId="2280D4EA" w14:textId="77777777" w:rsidR="00CD1DA7" w:rsidRPr="00F74E9E" w:rsidRDefault="00CD1DA7" w:rsidP="003566A9">
            <w:pPr>
              <w:spacing w:before="0" w:after="0"/>
              <w:rPr>
                <w:sz w:val="20"/>
              </w:rPr>
            </w:pPr>
            <w:r w:rsidRPr="00F74E9E">
              <w:rPr>
                <w:sz w:val="20"/>
              </w:rPr>
              <w:t>?</w:t>
            </w:r>
          </w:p>
        </w:tc>
        <w:tc>
          <w:tcPr>
            <w:tcW w:w="1348" w:type="dxa"/>
            <w:vMerge/>
          </w:tcPr>
          <w:p w14:paraId="4374D5E5" w14:textId="77777777" w:rsidR="00CD1DA7" w:rsidRPr="00F74E9E" w:rsidRDefault="00CD1DA7" w:rsidP="003566A9">
            <w:pPr>
              <w:spacing w:before="0" w:after="0"/>
              <w:rPr>
                <w:sz w:val="20"/>
              </w:rPr>
            </w:pPr>
          </w:p>
        </w:tc>
        <w:tc>
          <w:tcPr>
            <w:tcW w:w="1975" w:type="dxa"/>
          </w:tcPr>
          <w:p w14:paraId="743E9791" w14:textId="77777777" w:rsidR="00CD1DA7" w:rsidRPr="00F74E9E" w:rsidRDefault="00CD1DA7" w:rsidP="003566A9">
            <w:pPr>
              <w:spacing w:before="0" w:after="0"/>
              <w:rPr>
                <w:sz w:val="20"/>
              </w:rPr>
            </w:pPr>
            <w:r w:rsidRPr="00F74E9E">
              <w:rPr>
                <w:sz w:val="20"/>
              </w:rPr>
              <w:t>?</w:t>
            </w:r>
          </w:p>
        </w:tc>
      </w:tr>
      <w:tr w:rsidR="00CD1DA7" w:rsidRPr="00F74E9E" w14:paraId="1E31D253" w14:textId="77777777" w:rsidTr="003566A9">
        <w:trPr>
          <w:trHeight w:val="20"/>
        </w:trPr>
        <w:tc>
          <w:tcPr>
            <w:tcW w:w="1850" w:type="dxa"/>
          </w:tcPr>
          <w:p w14:paraId="40A61A51" w14:textId="77777777" w:rsidR="00CD1DA7" w:rsidRPr="00F74E9E" w:rsidRDefault="00CD1DA7" w:rsidP="003566A9">
            <w:pPr>
              <w:spacing w:before="0" w:after="0"/>
              <w:rPr>
                <w:sz w:val="20"/>
              </w:rPr>
            </w:pPr>
            <w:r w:rsidRPr="00F74E9E">
              <w:rPr>
                <w:sz w:val="20"/>
              </w:rPr>
              <w:t>Modular (S-type) bacteriocins</w:t>
            </w:r>
          </w:p>
        </w:tc>
        <w:tc>
          <w:tcPr>
            <w:tcW w:w="1194" w:type="dxa"/>
          </w:tcPr>
          <w:p w14:paraId="3F4C76FC" w14:textId="77777777" w:rsidR="00CD1DA7" w:rsidRPr="00F74E9E" w:rsidRDefault="00CD1DA7" w:rsidP="003566A9">
            <w:pPr>
              <w:spacing w:before="0" w:after="0"/>
              <w:rPr>
                <w:sz w:val="20"/>
              </w:rPr>
            </w:pPr>
            <w:r>
              <w:rPr>
                <w:sz w:val="20"/>
              </w:rPr>
              <w:t>/</w:t>
            </w:r>
          </w:p>
        </w:tc>
        <w:tc>
          <w:tcPr>
            <w:tcW w:w="1423" w:type="dxa"/>
          </w:tcPr>
          <w:p w14:paraId="737D680D" w14:textId="77777777" w:rsidR="00CD1DA7" w:rsidRPr="00F74E9E" w:rsidRDefault="00CD1DA7" w:rsidP="003566A9">
            <w:pPr>
              <w:spacing w:before="0" w:after="0"/>
              <w:rPr>
                <w:sz w:val="20"/>
              </w:rPr>
            </w:pPr>
            <w:r w:rsidRPr="00F74E9E">
              <w:rPr>
                <w:sz w:val="20"/>
              </w:rPr>
              <w:t>32 – 90</w:t>
            </w:r>
          </w:p>
        </w:tc>
        <w:tc>
          <w:tcPr>
            <w:tcW w:w="1977" w:type="dxa"/>
          </w:tcPr>
          <w:p w14:paraId="2D0DB801" w14:textId="77777777" w:rsidR="00CD1DA7" w:rsidRPr="00F74E9E" w:rsidRDefault="00CD1DA7" w:rsidP="003566A9">
            <w:pPr>
              <w:spacing w:before="0" w:after="0"/>
              <w:rPr>
                <w:sz w:val="20"/>
              </w:rPr>
            </w:pPr>
            <w:r w:rsidRPr="00F74E9E">
              <w:rPr>
                <w:sz w:val="20"/>
              </w:rPr>
              <w:t>TonB-dependent transporters (FpvAI, FptA, HxuC, etc.)</w:t>
            </w:r>
          </w:p>
        </w:tc>
        <w:tc>
          <w:tcPr>
            <w:tcW w:w="1348" w:type="dxa"/>
          </w:tcPr>
          <w:p w14:paraId="0258CCD1" w14:textId="77777777" w:rsidR="00CD1DA7" w:rsidRPr="00F74E9E" w:rsidRDefault="00CD1DA7" w:rsidP="003566A9">
            <w:pPr>
              <w:spacing w:before="0" w:after="0"/>
              <w:rPr>
                <w:sz w:val="20"/>
              </w:rPr>
            </w:pPr>
            <w:r w:rsidRPr="00F74E9E">
              <w:rPr>
                <w:sz w:val="20"/>
              </w:rPr>
              <w:t>Yes</w:t>
            </w:r>
          </w:p>
        </w:tc>
        <w:tc>
          <w:tcPr>
            <w:tcW w:w="1975" w:type="dxa"/>
          </w:tcPr>
          <w:p w14:paraId="23B62839" w14:textId="40EA1606" w:rsidR="00CD1DA7" w:rsidRPr="00F74E9E" w:rsidRDefault="00CD1DA7" w:rsidP="003566A9">
            <w:pPr>
              <w:spacing w:before="0" w:after="0"/>
              <w:rPr>
                <w:sz w:val="20"/>
              </w:rPr>
            </w:pPr>
            <w:r w:rsidRPr="00F74E9E">
              <w:rPr>
                <w:sz w:val="20"/>
              </w:rPr>
              <w:t xml:space="preserve">Pore-formation, lipid-II degradation, </w:t>
            </w:r>
            <w:r w:rsidR="007C73D6">
              <w:rPr>
                <w:sz w:val="20"/>
              </w:rPr>
              <w:t xml:space="preserve">or </w:t>
            </w:r>
            <w:r w:rsidRPr="00F74E9E">
              <w:rPr>
                <w:sz w:val="20"/>
              </w:rPr>
              <w:t>nuclease activity</w:t>
            </w:r>
          </w:p>
        </w:tc>
      </w:tr>
      <w:tr w:rsidR="00CD1DA7" w:rsidRPr="00F74E9E" w14:paraId="75BD7BF5" w14:textId="77777777" w:rsidTr="003566A9">
        <w:trPr>
          <w:trHeight w:val="20"/>
        </w:trPr>
        <w:tc>
          <w:tcPr>
            <w:tcW w:w="1850" w:type="dxa"/>
          </w:tcPr>
          <w:p w14:paraId="785E8CCC" w14:textId="77777777" w:rsidR="00CD1DA7" w:rsidRPr="00F74E9E" w:rsidRDefault="00CD1DA7" w:rsidP="003566A9">
            <w:pPr>
              <w:spacing w:before="0" w:after="0"/>
              <w:rPr>
                <w:sz w:val="20"/>
              </w:rPr>
            </w:pPr>
            <w:r w:rsidRPr="00F74E9E">
              <w:rPr>
                <w:sz w:val="20"/>
              </w:rPr>
              <w:t>B-type microcins</w:t>
            </w:r>
          </w:p>
        </w:tc>
        <w:tc>
          <w:tcPr>
            <w:tcW w:w="1194" w:type="dxa"/>
          </w:tcPr>
          <w:p w14:paraId="5E4C555C" w14:textId="77777777" w:rsidR="00CD1DA7" w:rsidRPr="00F74E9E" w:rsidRDefault="00CD1DA7" w:rsidP="003566A9">
            <w:pPr>
              <w:spacing w:before="0" w:after="0"/>
              <w:rPr>
                <w:sz w:val="20"/>
              </w:rPr>
            </w:pPr>
            <w:r>
              <w:rPr>
                <w:sz w:val="20"/>
              </w:rPr>
              <w:t>/</w:t>
            </w:r>
          </w:p>
        </w:tc>
        <w:tc>
          <w:tcPr>
            <w:tcW w:w="1423" w:type="dxa"/>
          </w:tcPr>
          <w:p w14:paraId="31738FF3" w14:textId="77777777" w:rsidR="00CD1DA7" w:rsidRPr="00F74E9E" w:rsidRDefault="00CD1DA7" w:rsidP="003566A9">
            <w:pPr>
              <w:spacing w:before="0" w:after="0"/>
              <w:rPr>
                <w:sz w:val="20"/>
              </w:rPr>
            </w:pPr>
            <w:r>
              <w:rPr>
                <w:sz w:val="20"/>
              </w:rPr>
              <w:t>~3.5</w:t>
            </w:r>
          </w:p>
        </w:tc>
        <w:tc>
          <w:tcPr>
            <w:tcW w:w="1977" w:type="dxa"/>
          </w:tcPr>
          <w:p w14:paraId="39663BD6" w14:textId="77777777" w:rsidR="00CD1DA7" w:rsidRPr="00F74E9E" w:rsidRDefault="00CD1DA7" w:rsidP="003566A9">
            <w:pPr>
              <w:spacing w:before="0" w:after="0"/>
              <w:rPr>
                <w:sz w:val="20"/>
              </w:rPr>
            </w:pPr>
            <w:r w:rsidRPr="00F74E9E">
              <w:rPr>
                <w:sz w:val="20"/>
              </w:rPr>
              <w:t>?</w:t>
            </w:r>
          </w:p>
        </w:tc>
        <w:tc>
          <w:tcPr>
            <w:tcW w:w="1348" w:type="dxa"/>
          </w:tcPr>
          <w:p w14:paraId="2212636D" w14:textId="77777777" w:rsidR="00CD1DA7" w:rsidRPr="00F74E9E" w:rsidRDefault="00CD1DA7" w:rsidP="003566A9">
            <w:pPr>
              <w:spacing w:before="0" w:after="0"/>
              <w:rPr>
                <w:sz w:val="20"/>
              </w:rPr>
            </w:pPr>
            <w:r w:rsidRPr="00F74E9E">
              <w:rPr>
                <w:sz w:val="20"/>
              </w:rPr>
              <w:t>Yes</w:t>
            </w:r>
          </w:p>
        </w:tc>
        <w:tc>
          <w:tcPr>
            <w:tcW w:w="1975" w:type="dxa"/>
          </w:tcPr>
          <w:p w14:paraId="367D088B" w14:textId="77777777" w:rsidR="00CD1DA7" w:rsidRPr="00F74E9E" w:rsidRDefault="00CD1DA7" w:rsidP="003566A9">
            <w:pPr>
              <w:spacing w:before="0" w:after="0"/>
              <w:rPr>
                <w:sz w:val="20"/>
              </w:rPr>
            </w:pPr>
            <w:r>
              <w:rPr>
                <w:sz w:val="20"/>
              </w:rPr>
              <w:t>DNA gyrase inhibitor</w:t>
            </w:r>
          </w:p>
        </w:tc>
      </w:tr>
      <w:tr w:rsidR="00CD1DA7" w:rsidRPr="00F74E9E" w14:paraId="4C090C91" w14:textId="77777777" w:rsidTr="003566A9">
        <w:trPr>
          <w:trHeight w:val="20"/>
        </w:trPr>
        <w:tc>
          <w:tcPr>
            <w:tcW w:w="1850" w:type="dxa"/>
            <w:vMerge w:val="restart"/>
          </w:tcPr>
          <w:p w14:paraId="01496071" w14:textId="77777777" w:rsidR="00CD1DA7" w:rsidRPr="00F74E9E" w:rsidRDefault="00CD1DA7" w:rsidP="003566A9">
            <w:pPr>
              <w:spacing w:before="0" w:after="0"/>
              <w:rPr>
                <w:sz w:val="20"/>
              </w:rPr>
            </w:pPr>
            <w:r w:rsidRPr="00F74E9E">
              <w:rPr>
                <w:sz w:val="20"/>
              </w:rPr>
              <w:t>Lectin-like bacteriocins</w:t>
            </w:r>
          </w:p>
        </w:tc>
        <w:tc>
          <w:tcPr>
            <w:tcW w:w="1194" w:type="dxa"/>
          </w:tcPr>
          <w:p w14:paraId="77057B08" w14:textId="77777777" w:rsidR="00CD1DA7" w:rsidRPr="00F74E9E" w:rsidRDefault="00CD1DA7" w:rsidP="003566A9">
            <w:pPr>
              <w:spacing w:before="0" w:after="0"/>
              <w:rPr>
                <w:sz w:val="20"/>
              </w:rPr>
            </w:pPr>
            <w:r w:rsidRPr="00F74E9E">
              <w:rPr>
                <w:sz w:val="20"/>
              </w:rPr>
              <w:t>LlpA</w:t>
            </w:r>
          </w:p>
        </w:tc>
        <w:tc>
          <w:tcPr>
            <w:tcW w:w="1423" w:type="dxa"/>
          </w:tcPr>
          <w:p w14:paraId="284DD3A6" w14:textId="77777777" w:rsidR="00CD1DA7" w:rsidRPr="00F74E9E" w:rsidRDefault="00CD1DA7" w:rsidP="003566A9">
            <w:pPr>
              <w:spacing w:before="0" w:after="0"/>
              <w:rPr>
                <w:sz w:val="20"/>
              </w:rPr>
            </w:pPr>
            <w:r>
              <w:rPr>
                <w:sz w:val="20"/>
              </w:rPr>
              <w:t>~30</w:t>
            </w:r>
          </w:p>
        </w:tc>
        <w:tc>
          <w:tcPr>
            <w:tcW w:w="1977" w:type="dxa"/>
          </w:tcPr>
          <w:p w14:paraId="4CBD6258" w14:textId="4F9409B1" w:rsidR="00CD1DA7" w:rsidRPr="00F74E9E" w:rsidRDefault="00CD1DA7" w:rsidP="003566A9">
            <w:pPr>
              <w:spacing w:before="0" w:after="0"/>
              <w:rPr>
                <w:sz w:val="20"/>
              </w:rPr>
            </w:pPr>
            <w:r w:rsidRPr="00F74E9E">
              <w:rPr>
                <w:sz w:val="20"/>
              </w:rPr>
              <w:t>BamA</w:t>
            </w:r>
            <w:r w:rsidR="00C26A3E">
              <w:rPr>
                <w:sz w:val="20"/>
              </w:rPr>
              <w:t>, CPA</w:t>
            </w:r>
            <w:bookmarkStart w:id="1" w:name="_GoBack"/>
            <w:bookmarkEnd w:id="1"/>
          </w:p>
        </w:tc>
        <w:tc>
          <w:tcPr>
            <w:tcW w:w="1348" w:type="dxa"/>
            <w:vMerge w:val="restart"/>
          </w:tcPr>
          <w:p w14:paraId="1872980C" w14:textId="77777777" w:rsidR="00CD1DA7" w:rsidRPr="00F74E9E" w:rsidRDefault="00CD1DA7" w:rsidP="003566A9">
            <w:pPr>
              <w:spacing w:before="0" w:after="0"/>
              <w:rPr>
                <w:sz w:val="20"/>
              </w:rPr>
            </w:pPr>
            <w:r w:rsidRPr="00F74E9E">
              <w:rPr>
                <w:sz w:val="20"/>
              </w:rPr>
              <w:t>No</w:t>
            </w:r>
          </w:p>
        </w:tc>
        <w:tc>
          <w:tcPr>
            <w:tcW w:w="1975" w:type="dxa"/>
          </w:tcPr>
          <w:p w14:paraId="7F3FC22C" w14:textId="77777777" w:rsidR="00CD1DA7" w:rsidRPr="00F74E9E" w:rsidRDefault="00CD1DA7" w:rsidP="003566A9">
            <w:pPr>
              <w:spacing w:before="0" w:after="0"/>
              <w:rPr>
                <w:sz w:val="20"/>
              </w:rPr>
            </w:pPr>
            <w:r w:rsidRPr="00F74E9E">
              <w:rPr>
                <w:sz w:val="20"/>
              </w:rPr>
              <w:t>?</w:t>
            </w:r>
          </w:p>
        </w:tc>
      </w:tr>
      <w:tr w:rsidR="00CD1DA7" w:rsidRPr="00F74E9E" w14:paraId="31002251" w14:textId="77777777" w:rsidTr="003566A9">
        <w:trPr>
          <w:trHeight w:val="20"/>
        </w:trPr>
        <w:tc>
          <w:tcPr>
            <w:tcW w:w="1850" w:type="dxa"/>
            <w:vMerge/>
          </w:tcPr>
          <w:p w14:paraId="1233F6D0" w14:textId="77777777" w:rsidR="00CD1DA7" w:rsidRPr="00F74E9E" w:rsidRDefault="00CD1DA7" w:rsidP="003566A9">
            <w:pPr>
              <w:spacing w:before="0" w:after="0"/>
              <w:rPr>
                <w:sz w:val="20"/>
              </w:rPr>
            </w:pPr>
          </w:p>
        </w:tc>
        <w:tc>
          <w:tcPr>
            <w:tcW w:w="1194" w:type="dxa"/>
          </w:tcPr>
          <w:p w14:paraId="6E903EC2" w14:textId="77777777" w:rsidR="00CD1DA7" w:rsidRPr="00F74E9E" w:rsidRDefault="00CD1DA7" w:rsidP="003566A9">
            <w:pPr>
              <w:spacing w:before="0" w:after="0"/>
              <w:rPr>
                <w:sz w:val="20"/>
              </w:rPr>
            </w:pPr>
            <w:r w:rsidRPr="00F74E9E">
              <w:rPr>
                <w:sz w:val="20"/>
              </w:rPr>
              <w:t>LlpB</w:t>
            </w:r>
          </w:p>
        </w:tc>
        <w:tc>
          <w:tcPr>
            <w:tcW w:w="1423" w:type="dxa"/>
          </w:tcPr>
          <w:p w14:paraId="2EC49755" w14:textId="77777777" w:rsidR="00CD1DA7" w:rsidRPr="00F74E9E" w:rsidRDefault="00CD1DA7" w:rsidP="003566A9">
            <w:pPr>
              <w:spacing w:before="0" w:after="0"/>
              <w:rPr>
                <w:sz w:val="20"/>
              </w:rPr>
            </w:pPr>
            <w:r>
              <w:rPr>
                <w:sz w:val="20"/>
              </w:rPr>
              <w:t>~19</w:t>
            </w:r>
          </w:p>
        </w:tc>
        <w:tc>
          <w:tcPr>
            <w:tcW w:w="1977" w:type="dxa"/>
          </w:tcPr>
          <w:p w14:paraId="46EE5F49" w14:textId="77777777" w:rsidR="00CD1DA7" w:rsidRPr="00F74E9E" w:rsidRDefault="00CD1DA7" w:rsidP="003566A9">
            <w:pPr>
              <w:spacing w:before="0" w:after="0"/>
              <w:rPr>
                <w:sz w:val="20"/>
              </w:rPr>
            </w:pPr>
            <w:r w:rsidRPr="00F74E9E">
              <w:rPr>
                <w:sz w:val="20"/>
              </w:rPr>
              <w:t>?</w:t>
            </w:r>
          </w:p>
        </w:tc>
        <w:tc>
          <w:tcPr>
            <w:tcW w:w="1348" w:type="dxa"/>
            <w:vMerge/>
          </w:tcPr>
          <w:p w14:paraId="41CA5154" w14:textId="77777777" w:rsidR="00CD1DA7" w:rsidRPr="00F74E9E" w:rsidRDefault="00CD1DA7" w:rsidP="003566A9">
            <w:pPr>
              <w:spacing w:before="0" w:after="0"/>
              <w:rPr>
                <w:sz w:val="20"/>
              </w:rPr>
            </w:pPr>
          </w:p>
        </w:tc>
        <w:tc>
          <w:tcPr>
            <w:tcW w:w="1975" w:type="dxa"/>
          </w:tcPr>
          <w:p w14:paraId="099EED3E" w14:textId="77777777" w:rsidR="00CD1DA7" w:rsidRPr="00F74E9E" w:rsidRDefault="00CD1DA7" w:rsidP="003566A9">
            <w:pPr>
              <w:spacing w:before="0" w:after="0"/>
              <w:rPr>
                <w:sz w:val="20"/>
              </w:rPr>
            </w:pPr>
            <w:r w:rsidRPr="00F74E9E">
              <w:rPr>
                <w:sz w:val="20"/>
              </w:rPr>
              <w:t>?</w:t>
            </w:r>
          </w:p>
        </w:tc>
      </w:tr>
    </w:tbl>
    <w:p w14:paraId="3B132647" w14:textId="6B56988E" w:rsidR="001A7869" w:rsidRDefault="001A7869" w:rsidP="00994A3D">
      <w:pPr>
        <w:spacing w:before="240" w:after="0"/>
        <w:rPr>
          <w:rFonts w:cs="Times New Roman"/>
        </w:rPr>
      </w:pPr>
    </w:p>
    <w:p w14:paraId="742768A2" w14:textId="77777777" w:rsidR="00CD1DA7" w:rsidRPr="00422095" w:rsidRDefault="00CD1DA7" w:rsidP="00994A3D">
      <w:pPr>
        <w:spacing w:before="240" w:after="0"/>
        <w:rPr>
          <w:rFonts w:cs="Times New Roman"/>
        </w:rPr>
      </w:pPr>
    </w:p>
    <w:p w14:paraId="7A22C84A" w14:textId="00A4418E" w:rsidR="00422095" w:rsidRDefault="00422095" w:rsidP="00422095">
      <w:bookmarkStart w:id="2" w:name="_Ref516826823"/>
      <w:r w:rsidRPr="00422095">
        <w:rPr>
          <w:b/>
        </w:rPr>
        <w:t>Supplementary Figure S1.</w:t>
      </w:r>
      <w:bookmarkEnd w:id="2"/>
      <w:r w:rsidRPr="00BC2659">
        <w:t xml:space="preserve"> Maximum likelihood phylogenetic tree of individual B-lectin modules from </w:t>
      </w:r>
      <w:r w:rsidRPr="00BC2659">
        <w:rPr>
          <w:i/>
        </w:rPr>
        <w:t xml:space="preserve">Pseudomonas </w:t>
      </w:r>
      <w:r w:rsidRPr="00BC2659">
        <w:t xml:space="preserve">LlpAs and LlpBs, depicted in </w:t>
      </w:r>
      <w:r>
        <w:t>Figure 2</w:t>
      </w:r>
      <w:r w:rsidRPr="00BC2659">
        <w:fldChar w:fldCharType="begin"/>
      </w:r>
      <w:r w:rsidRPr="00BC2659">
        <w:instrText xml:space="preserve"> REF _Ref493594374 \h </w:instrText>
      </w:r>
      <w:r>
        <w:instrText xml:space="preserve"> \* MERGEFORMAT </w:instrText>
      </w:r>
      <w:r w:rsidRPr="00BC2659">
        <w:fldChar w:fldCharType="end"/>
      </w:r>
      <w:r w:rsidRPr="00BC2659">
        <w:t xml:space="preserve"> with species-strain annotations. Amino-terminal domains and carboxy-terminal domains of LlpAs are marked with (N) and (C), respectively. MMBL domains of LlpBs are preceded by “B_” and highlighted in orange. Scale bar represents 0.6 substitutions per site, and bootstrap values (percentages of 1000 replicates) are shown at the branches. Species abbreviations: Paer, </w:t>
      </w:r>
      <w:r w:rsidRPr="00BC2659">
        <w:rPr>
          <w:i/>
        </w:rPr>
        <w:t>Pseudomonas aeruginosa</w:t>
      </w:r>
      <w:r w:rsidRPr="00BC2659">
        <w:t xml:space="preserve">; Pamy aes, </w:t>
      </w:r>
      <w:r w:rsidRPr="00BC2659">
        <w:rPr>
          <w:i/>
        </w:rPr>
        <w:t xml:space="preserve">Pseudomonas amygdali </w:t>
      </w:r>
      <w:r w:rsidRPr="00BC2659">
        <w:t xml:space="preserve">pv. aesculi; Pbra, </w:t>
      </w:r>
      <w:r w:rsidRPr="00BC2659">
        <w:rPr>
          <w:i/>
        </w:rPr>
        <w:t>Pseudomonas brassicacearum</w:t>
      </w:r>
      <w:r w:rsidRPr="00BC2659">
        <w:t xml:space="preserve">; Pcas, </w:t>
      </w:r>
      <w:r w:rsidRPr="00BC2659">
        <w:rPr>
          <w:i/>
        </w:rPr>
        <w:t>Pseudomonas caspiana</w:t>
      </w:r>
      <w:r w:rsidRPr="00BC2659">
        <w:t>;</w:t>
      </w:r>
      <w:r w:rsidRPr="00BC2659">
        <w:rPr>
          <w:i/>
        </w:rPr>
        <w:t xml:space="preserve"> </w:t>
      </w:r>
      <w:r w:rsidRPr="00BC2659">
        <w:t xml:space="preserve">Pchl, </w:t>
      </w:r>
      <w:r w:rsidRPr="00BC2659">
        <w:rPr>
          <w:i/>
        </w:rPr>
        <w:t>Pseudomonas chlororaphis</w:t>
      </w:r>
      <w:r w:rsidRPr="00BC2659">
        <w:t xml:space="preserve">; Pcon, </w:t>
      </w:r>
      <w:r w:rsidRPr="00BC2659">
        <w:rPr>
          <w:i/>
        </w:rPr>
        <w:t>Pseudomonas congelans</w:t>
      </w:r>
      <w:r w:rsidRPr="00BC2659">
        <w:t xml:space="preserve">; Pflo, </w:t>
      </w:r>
      <w:r w:rsidRPr="00BC2659">
        <w:rPr>
          <w:i/>
        </w:rPr>
        <w:t>Pseudomonas floridensis</w:t>
      </w:r>
      <w:r w:rsidRPr="00BC2659">
        <w:t xml:space="preserve">; Pflu, </w:t>
      </w:r>
      <w:r w:rsidRPr="00BC2659">
        <w:rPr>
          <w:i/>
        </w:rPr>
        <w:t>Pseudomonas fluorescens</w:t>
      </w:r>
      <w:r w:rsidRPr="00BC2659">
        <w:t xml:space="preserve">; Pfre, </w:t>
      </w:r>
      <w:r w:rsidRPr="00BC2659">
        <w:rPr>
          <w:i/>
        </w:rPr>
        <w:t>Pseudomonas frederiksbergensis</w:t>
      </w:r>
      <w:r w:rsidRPr="00BC2659">
        <w:t xml:space="preserve">; Pgra, </w:t>
      </w:r>
      <w:r w:rsidRPr="00BC2659">
        <w:rPr>
          <w:i/>
        </w:rPr>
        <w:t>Pseudomonas graminis</w:t>
      </w:r>
      <w:r w:rsidRPr="00BC2659">
        <w:t xml:space="preserve">; Pmos, </w:t>
      </w:r>
      <w:r w:rsidRPr="00BC2659">
        <w:rPr>
          <w:i/>
        </w:rPr>
        <w:t xml:space="preserve">Pseudomonas </w:t>
      </w:r>
      <w:r w:rsidRPr="00BC2659">
        <w:t xml:space="preserve">mosselii; Pory, </w:t>
      </w:r>
      <w:r w:rsidRPr="00BC2659">
        <w:rPr>
          <w:i/>
        </w:rPr>
        <w:t>Pseudomonas oryzihabitans</w:t>
      </w:r>
      <w:r w:rsidRPr="00BC2659">
        <w:t xml:space="preserve">; Ppro, </w:t>
      </w:r>
      <w:r w:rsidRPr="00BC2659">
        <w:rPr>
          <w:i/>
        </w:rPr>
        <w:t>Pseudomonas protegens</w:t>
      </w:r>
      <w:r w:rsidRPr="00BC2659">
        <w:t xml:space="preserve">; Pput, </w:t>
      </w:r>
      <w:r w:rsidRPr="00BC2659">
        <w:rPr>
          <w:i/>
        </w:rPr>
        <w:t>Pseudomonas putida</w:t>
      </w:r>
      <w:r w:rsidRPr="00BC2659">
        <w:t>;</w:t>
      </w:r>
      <w:r w:rsidRPr="00BC2659">
        <w:rPr>
          <w:i/>
        </w:rPr>
        <w:t xml:space="preserve"> </w:t>
      </w:r>
      <w:r w:rsidRPr="00BC2659">
        <w:t xml:space="preserve">Psp, </w:t>
      </w:r>
      <w:r w:rsidRPr="00BC2659">
        <w:rPr>
          <w:i/>
        </w:rPr>
        <w:t xml:space="preserve">Pseudomonas </w:t>
      </w:r>
      <w:r w:rsidRPr="00BC2659">
        <w:t xml:space="preserve">sp.; Psyr (syr), </w:t>
      </w:r>
      <w:r w:rsidRPr="00BC2659">
        <w:rPr>
          <w:i/>
        </w:rPr>
        <w:t>Pseudomonas syringae</w:t>
      </w:r>
      <w:r w:rsidRPr="00BC2659">
        <w:t xml:space="preserve"> (pv. syringae); Pvir, </w:t>
      </w:r>
      <w:r w:rsidRPr="00BC2659">
        <w:rPr>
          <w:i/>
        </w:rPr>
        <w:t>Pseudomonas viridiflava</w:t>
      </w:r>
      <w:r w:rsidRPr="00BC2659">
        <w:t>.</w:t>
      </w:r>
    </w:p>
    <w:p w14:paraId="38738914" w14:textId="30AB34EC" w:rsidR="00422095" w:rsidRPr="00BC2659" w:rsidRDefault="00514C25" w:rsidP="00422095">
      <w:pPr>
        <w:jc w:val="center"/>
      </w:pPr>
      <w:r>
        <w:rPr>
          <w:noProof/>
        </w:rPr>
        <w:lastRenderedPageBreak/>
        <w:drawing>
          <wp:inline distT="0" distB="0" distL="0" distR="0" wp14:anchorId="331A0D1D" wp14:editId="3548B214">
            <wp:extent cx="6208395" cy="8305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1_2018100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8305800"/>
                    </a:xfrm>
                    <a:prstGeom prst="rect">
                      <a:avLst/>
                    </a:prstGeom>
                  </pic:spPr>
                </pic:pic>
              </a:graphicData>
            </a:graphic>
          </wp:inline>
        </w:drawing>
      </w:r>
    </w:p>
    <w:p w14:paraId="236AC4DB" w14:textId="3BA345E9" w:rsidR="00422095" w:rsidRDefault="00422095" w:rsidP="00422095">
      <w:bookmarkStart w:id="3" w:name="_Ref512512185"/>
      <w:r w:rsidRPr="00422095">
        <w:rPr>
          <w:b/>
        </w:rPr>
        <w:lastRenderedPageBreak/>
        <w:t>Supplementary Figure S2</w:t>
      </w:r>
      <w:bookmarkEnd w:id="3"/>
      <w:r w:rsidRPr="00422095">
        <w:rPr>
          <w:b/>
        </w:rPr>
        <w:t>.</w:t>
      </w:r>
      <w:r w:rsidRPr="00BC2659">
        <w:t xml:space="preserve"> Maximum likelihood phylogenetic tree of </w:t>
      </w:r>
      <w:r w:rsidRPr="00BC2659">
        <w:rPr>
          <w:i/>
        </w:rPr>
        <w:t xml:space="preserve">Pseudomonas </w:t>
      </w:r>
      <w:r w:rsidRPr="00BC2659">
        <w:t xml:space="preserve">LlpAs. Characterized LlpAs are blue. Highly similar sequences (&gt;95% pairwise sequence id) are included as a single representative. In case two LlpAs are present in a single strain, bacteriocins are specified with (1) and (2). Scale bar represents 0.4 substitutions per site, and bootstrap values higher than 50 (percentages of 1000 replicates) are shown at the branches. The predicted signal peptide of pyocin L3 (marked with asterisk) was omitted. Species abbreviations: Paer, </w:t>
      </w:r>
      <w:r w:rsidRPr="00BC2659">
        <w:rPr>
          <w:i/>
        </w:rPr>
        <w:t>Pseudomonas aeruginosa</w:t>
      </w:r>
      <w:r w:rsidRPr="00BC2659">
        <w:t xml:space="preserve">; Pchl, </w:t>
      </w:r>
      <w:r w:rsidRPr="00BC2659">
        <w:rPr>
          <w:i/>
        </w:rPr>
        <w:t>Pseudomonas chlororaphis</w:t>
      </w:r>
      <w:r w:rsidRPr="00BC2659">
        <w:t xml:space="preserve">; Pcon, </w:t>
      </w:r>
      <w:r w:rsidRPr="00BC2659">
        <w:rPr>
          <w:i/>
        </w:rPr>
        <w:t>Pseudomonas congelans</w:t>
      </w:r>
      <w:r w:rsidRPr="00BC2659">
        <w:t xml:space="preserve">; Pflo, </w:t>
      </w:r>
      <w:r w:rsidRPr="00BC2659">
        <w:rPr>
          <w:i/>
        </w:rPr>
        <w:t>Pseudomonas floridensis</w:t>
      </w:r>
      <w:r w:rsidRPr="00BC2659">
        <w:t xml:space="preserve">; Pflu, </w:t>
      </w:r>
      <w:r w:rsidRPr="00BC2659">
        <w:rPr>
          <w:i/>
        </w:rPr>
        <w:t>Pseudomonas fluorescens</w:t>
      </w:r>
      <w:r w:rsidRPr="00BC2659">
        <w:t xml:space="preserve">; Pfre, </w:t>
      </w:r>
      <w:r w:rsidRPr="00BC2659">
        <w:rPr>
          <w:i/>
        </w:rPr>
        <w:t>Pseudomonas frederiksbergensis</w:t>
      </w:r>
      <w:r w:rsidRPr="00BC2659">
        <w:t xml:space="preserve">; Pgra, </w:t>
      </w:r>
      <w:r w:rsidRPr="00BC2659">
        <w:rPr>
          <w:i/>
        </w:rPr>
        <w:t>Pseudomonas graminis</w:t>
      </w:r>
      <w:r w:rsidRPr="00BC2659">
        <w:t xml:space="preserve">; Pman, </w:t>
      </w:r>
      <w:r w:rsidRPr="00BC2659">
        <w:rPr>
          <w:i/>
        </w:rPr>
        <w:t>Pseudomonas mandelii</w:t>
      </w:r>
      <w:r w:rsidRPr="00BC2659">
        <w:t xml:space="preserve">; Pmos, </w:t>
      </w:r>
      <w:r w:rsidRPr="00BC2659">
        <w:rPr>
          <w:i/>
        </w:rPr>
        <w:t xml:space="preserve">Pseudomonas </w:t>
      </w:r>
      <w:r w:rsidRPr="008756C7">
        <w:rPr>
          <w:i/>
        </w:rPr>
        <w:t>mosselii</w:t>
      </w:r>
      <w:r w:rsidRPr="00BC2659">
        <w:t xml:space="preserve">; Pory, </w:t>
      </w:r>
      <w:r w:rsidRPr="00BC2659">
        <w:rPr>
          <w:i/>
        </w:rPr>
        <w:t>Pseudomonas oryzihabitans</w:t>
      </w:r>
      <w:r w:rsidRPr="00BC2659">
        <w:t xml:space="preserve">; Ppro, </w:t>
      </w:r>
      <w:r w:rsidRPr="00BC2659">
        <w:rPr>
          <w:i/>
        </w:rPr>
        <w:t>Pseudomonas protegens</w:t>
      </w:r>
      <w:r w:rsidRPr="00BC2659">
        <w:t xml:space="preserve">; Psp, </w:t>
      </w:r>
      <w:r w:rsidRPr="00BC2659">
        <w:rPr>
          <w:i/>
        </w:rPr>
        <w:t xml:space="preserve">Pseudomonas </w:t>
      </w:r>
      <w:r w:rsidRPr="00BC2659">
        <w:t xml:space="preserve">sp.; Psyr (dap/syr), </w:t>
      </w:r>
      <w:r w:rsidRPr="00BC2659">
        <w:rPr>
          <w:i/>
        </w:rPr>
        <w:t>Pseudomonas syringae</w:t>
      </w:r>
      <w:r w:rsidRPr="00BC2659">
        <w:t xml:space="preserve"> (pv. daphniphylli/syringae).</w:t>
      </w:r>
    </w:p>
    <w:p w14:paraId="60D14EAA" w14:textId="691D9301" w:rsidR="003B745E" w:rsidRDefault="00514C25" w:rsidP="003B745E">
      <w:bookmarkStart w:id="4" w:name="_Ref525638652"/>
      <w:r>
        <w:rPr>
          <w:noProof/>
        </w:rPr>
        <w:drawing>
          <wp:inline distT="0" distB="0" distL="0" distR="0" wp14:anchorId="44AA8E7B" wp14:editId="70752328">
            <wp:extent cx="6208395" cy="59080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1v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5908040"/>
                    </a:xfrm>
                    <a:prstGeom prst="rect">
                      <a:avLst/>
                    </a:prstGeom>
                  </pic:spPr>
                </pic:pic>
              </a:graphicData>
            </a:graphic>
          </wp:inline>
        </w:drawing>
      </w:r>
    </w:p>
    <w:bookmarkEnd w:id="4"/>
    <w:p w14:paraId="2DFAD2BA" w14:textId="34450819" w:rsidR="003B745E" w:rsidRDefault="003B745E" w:rsidP="003B745E"/>
    <w:p w14:paraId="57547382" w14:textId="7BC7B1B7" w:rsidR="003B745E" w:rsidRDefault="003B745E" w:rsidP="003B745E"/>
    <w:p w14:paraId="36F9B3B0" w14:textId="64BFE6E3" w:rsidR="003B745E" w:rsidRDefault="003B745E" w:rsidP="003B745E"/>
    <w:p w14:paraId="31098C99" w14:textId="56EDC7AA" w:rsidR="003B745E" w:rsidRDefault="003B745E" w:rsidP="003B745E"/>
    <w:p w14:paraId="7B119A79" w14:textId="2224FC30" w:rsidR="003B745E" w:rsidRDefault="003B745E" w:rsidP="003B745E"/>
    <w:p w14:paraId="7FEB6FDC" w14:textId="1CA83848" w:rsidR="003B745E" w:rsidRDefault="003B745E" w:rsidP="003B745E"/>
    <w:p w14:paraId="7C83DAB9" w14:textId="574D7EF3" w:rsidR="003B745E" w:rsidRDefault="003B745E" w:rsidP="003B745E"/>
    <w:p w14:paraId="530C204B" w14:textId="1190596B" w:rsidR="003B745E" w:rsidRDefault="003B745E" w:rsidP="003B745E"/>
    <w:p w14:paraId="69C317DD" w14:textId="66F0227E" w:rsidR="003B745E" w:rsidRDefault="003B745E" w:rsidP="003B745E"/>
    <w:p w14:paraId="256822E0" w14:textId="006358CE" w:rsidR="003B745E" w:rsidRDefault="003B745E" w:rsidP="003B745E"/>
    <w:p w14:paraId="7E527D0C" w14:textId="77777777" w:rsidR="003B745E" w:rsidRDefault="003B745E" w:rsidP="003B745E"/>
    <w:p w14:paraId="3C419443" w14:textId="77777777" w:rsidR="00994A3D" w:rsidRPr="001549D3" w:rsidRDefault="00994A3D" w:rsidP="00994A3D">
      <w:pPr>
        <w:keepNext/>
        <w:jc w:val="center"/>
        <w:rPr>
          <w:rFonts w:cs="Times New Roman"/>
          <w:szCs w:val="24"/>
        </w:rPr>
      </w:pPr>
      <w:r w:rsidRPr="001549D3">
        <w:rPr>
          <w:b/>
          <w:noProof/>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sectPr w:rsidR="00994A3D"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634F1" w14:textId="77777777" w:rsidR="006411EB" w:rsidRDefault="006411EB" w:rsidP="00117666">
      <w:pPr>
        <w:spacing w:after="0"/>
      </w:pPr>
      <w:r>
        <w:separator/>
      </w:r>
    </w:p>
  </w:endnote>
  <w:endnote w:type="continuationSeparator" w:id="0">
    <w:p w14:paraId="372DF330" w14:textId="77777777" w:rsidR="006411EB" w:rsidRDefault="006411E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E7DE51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26A3E">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E7DE51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26A3E">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EBCFAE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E3455">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EBCFAE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E3455">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A2BC3" w14:textId="77777777" w:rsidR="006411EB" w:rsidRDefault="006411EB" w:rsidP="00117666">
      <w:pPr>
        <w:spacing w:after="0"/>
      </w:pPr>
      <w:r>
        <w:separator/>
      </w:r>
    </w:p>
  </w:footnote>
  <w:footnote w:type="continuationSeparator" w:id="0">
    <w:p w14:paraId="23883A1B" w14:textId="77777777" w:rsidR="006411EB" w:rsidRDefault="006411E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1A7869"/>
    <w:rsid w:val="00267D18"/>
    <w:rsid w:val="002868E2"/>
    <w:rsid w:val="002869C3"/>
    <w:rsid w:val="002936E4"/>
    <w:rsid w:val="002B4A57"/>
    <w:rsid w:val="002C74CA"/>
    <w:rsid w:val="003544FB"/>
    <w:rsid w:val="003B745E"/>
    <w:rsid w:val="003D226A"/>
    <w:rsid w:val="003D2F2D"/>
    <w:rsid w:val="00401590"/>
    <w:rsid w:val="00422095"/>
    <w:rsid w:val="00447801"/>
    <w:rsid w:val="00452E9C"/>
    <w:rsid w:val="004735C8"/>
    <w:rsid w:val="004947A6"/>
    <w:rsid w:val="004961FF"/>
    <w:rsid w:val="00514C25"/>
    <w:rsid w:val="00517A89"/>
    <w:rsid w:val="005250F2"/>
    <w:rsid w:val="00593EEA"/>
    <w:rsid w:val="005A5EEE"/>
    <w:rsid w:val="006375C7"/>
    <w:rsid w:val="006411EB"/>
    <w:rsid w:val="00654E8F"/>
    <w:rsid w:val="00660D05"/>
    <w:rsid w:val="006820B1"/>
    <w:rsid w:val="006B7D14"/>
    <w:rsid w:val="006D3BDC"/>
    <w:rsid w:val="00701727"/>
    <w:rsid w:val="0070566C"/>
    <w:rsid w:val="00714C50"/>
    <w:rsid w:val="00725A7D"/>
    <w:rsid w:val="007501BE"/>
    <w:rsid w:val="00790BB3"/>
    <w:rsid w:val="007C206C"/>
    <w:rsid w:val="007C73D6"/>
    <w:rsid w:val="00817DD6"/>
    <w:rsid w:val="0083759F"/>
    <w:rsid w:val="008756C7"/>
    <w:rsid w:val="00885156"/>
    <w:rsid w:val="009151AA"/>
    <w:rsid w:val="0093429D"/>
    <w:rsid w:val="00943573"/>
    <w:rsid w:val="00970F7D"/>
    <w:rsid w:val="00994A3D"/>
    <w:rsid w:val="009C2B12"/>
    <w:rsid w:val="009D4EA1"/>
    <w:rsid w:val="00A05AD3"/>
    <w:rsid w:val="00A174D9"/>
    <w:rsid w:val="00AA4D24"/>
    <w:rsid w:val="00AB6715"/>
    <w:rsid w:val="00B1671E"/>
    <w:rsid w:val="00B25EB8"/>
    <w:rsid w:val="00B26918"/>
    <w:rsid w:val="00B37F4D"/>
    <w:rsid w:val="00C26A3E"/>
    <w:rsid w:val="00C52A7B"/>
    <w:rsid w:val="00C56BAF"/>
    <w:rsid w:val="00C679AA"/>
    <w:rsid w:val="00C75972"/>
    <w:rsid w:val="00CD066B"/>
    <w:rsid w:val="00CD1DA7"/>
    <w:rsid w:val="00CE4FEE"/>
    <w:rsid w:val="00DB59C3"/>
    <w:rsid w:val="00DC259A"/>
    <w:rsid w:val="00DE23E8"/>
    <w:rsid w:val="00E52377"/>
    <w:rsid w:val="00E64E17"/>
    <w:rsid w:val="00E866C9"/>
    <w:rsid w:val="00EA3D3C"/>
    <w:rsid w:val="00EC090A"/>
    <w:rsid w:val="00ED20B5"/>
    <w:rsid w:val="00EE3455"/>
    <w:rsid w:val="00F41C0F"/>
    <w:rsid w:val="00F46900"/>
    <w:rsid w:val="00F61D89"/>
    <w:rsid w:val="00F74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42BC8DF-1650-4C67-81A7-A95A4ADD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19</TotalTime>
  <Pages>4</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Maarten Ghequire</dc:creator>
  <cp:lastModifiedBy>Maarten Ghequire</cp:lastModifiedBy>
  <cp:revision>6</cp:revision>
  <cp:lastPrinted>2013-10-03T12:51:00Z</cp:lastPrinted>
  <dcterms:created xsi:type="dcterms:W3CDTF">2018-10-01T11:30:00Z</dcterms:created>
  <dcterms:modified xsi:type="dcterms:W3CDTF">2018-10-02T08:37:00Z</dcterms:modified>
</cp:coreProperties>
</file>