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F1E" w:rsidRPr="002B229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  <w:r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  <w:t>SUPPLEMENTARY Figure 1</w:t>
      </w:r>
    </w:p>
    <w:p w:rsidR="00F25F1E" w:rsidRPr="002B229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Pr="002B229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GB" w:eastAsia="zh-CN"/>
        </w:rPr>
        <w:drawing>
          <wp:inline distT="0" distB="0" distL="0" distR="0" wp14:anchorId="657ADA33" wp14:editId="3511C32D">
            <wp:extent cx="5731510" cy="3529965"/>
            <wp:effectExtent l="0" t="0" r="254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S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1E" w:rsidRDefault="00F25F1E" w:rsidP="00F25F1E">
      <w:pPr>
        <w:pStyle w:val="Textkrpe"/>
        <w:tabs>
          <w:tab w:val="left" w:pos="2410"/>
        </w:tabs>
        <w:spacing w:line="360" w:lineRule="auto"/>
        <w:outlineLvl w:val="0"/>
        <w:rPr>
          <w:rFonts w:ascii="Arial" w:hAnsi="Arial" w:cs="Arial"/>
          <w:sz w:val="22"/>
          <w:szCs w:val="22"/>
          <w:lang w:val="en-US"/>
        </w:rPr>
      </w:pPr>
      <w:r w:rsidRPr="002B229E">
        <w:rPr>
          <w:rFonts w:ascii="Arial" w:hAnsi="Arial" w:cs="Arial"/>
          <w:sz w:val="22"/>
          <w:szCs w:val="22"/>
          <w:lang w:val="en-US"/>
        </w:rPr>
        <w:t>FIGURE </w:t>
      </w:r>
      <w:r>
        <w:rPr>
          <w:rFonts w:ascii="Arial" w:hAnsi="Arial" w:cs="Arial"/>
          <w:sz w:val="22"/>
          <w:szCs w:val="22"/>
          <w:lang w:val="en-US"/>
        </w:rPr>
        <w:t>S1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. </w:t>
      </w:r>
      <w:r w:rsidRPr="002B229E">
        <w:rPr>
          <w:rFonts w:ascii="Arial" w:hAnsi="Arial" w:cs="Arial"/>
          <w:b/>
          <w:sz w:val="22"/>
          <w:szCs w:val="22"/>
          <w:lang w:val="en-US"/>
        </w:rPr>
        <w:t xml:space="preserve">Alignment of </w:t>
      </w:r>
      <w:r w:rsidRPr="00265EF3">
        <w:rPr>
          <w:rFonts w:ascii="Arial" w:hAnsi="Arial" w:cs="Arial"/>
          <w:b/>
          <w:i/>
          <w:sz w:val="22"/>
          <w:szCs w:val="22"/>
          <w:lang w:val="en-US"/>
        </w:rPr>
        <w:t>Kp</w:t>
      </w:r>
      <w:r>
        <w:rPr>
          <w:rFonts w:ascii="Arial" w:hAnsi="Arial" w:cs="Arial"/>
          <w:b/>
          <w:sz w:val="22"/>
          <w:szCs w:val="22"/>
          <w:lang w:val="en-US"/>
        </w:rPr>
        <w:t>Flo A domain</w:t>
      </w:r>
      <w:r w:rsidRPr="002B229E">
        <w:rPr>
          <w:rFonts w:ascii="Arial" w:hAnsi="Arial" w:cs="Arial"/>
          <w:b/>
          <w:sz w:val="22"/>
          <w:szCs w:val="22"/>
          <w:lang w:val="en-US"/>
        </w:rPr>
        <w:t xml:space="preserve"> sequence</w:t>
      </w:r>
      <w:r>
        <w:rPr>
          <w:rFonts w:ascii="Arial" w:hAnsi="Arial" w:cs="Arial"/>
          <w:b/>
          <w:sz w:val="22"/>
          <w:szCs w:val="22"/>
          <w:lang w:val="en-US"/>
        </w:rPr>
        <w:t>s</w:t>
      </w:r>
      <w:r w:rsidRPr="002B229E">
        <w:rPr>
          <w:rFonts w:ascii="Arial" w:hAnsi="Arial" w:cs="Arial"/>
          <w:b/>
          <w:sz w:val="22"/>
          <w:szCs w:val="22"/>
          <w:lang w:val="en-US"/>
        </w:rPr>
        <w:t xml:space="preserve"> with other </w:t>
      </w:r>
      <w:r>
        <w:rPr>
          <w:rFonts w:ascii="Arial" w:hAnsi="Arial" w:cs="Arial"/>
          <w:b/>
          <w:sz w:val="22"/>
          <w:szCs w:val="22"/>
          <w:lang w:val="en-US"/>
        </w:rPr>
        <w:t>PA14/Flo5-like</w:t>
      </w:r>
      <w:r w:rsidRPr="002B229E">
        <w:rPr>
          <w:rFonts w:ascii="Arial" w:hAnsi="Arial" w:cs="Arial"/>
          <w:b/>
          <w:sz w:val="22"/>
          <w:szCs w:val="22"/>
          <w:lang w:val="en-US"/>
        </w:rPr>
        <w:t xml:space="preserve"> domains. 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An alignment of </w:t>
      </w:r>
      <w:r w:rsidRPr="00E5558B">
        <w:rPr>
          <w:rFonts w:ascii="Arial" w:hAnsi="Arial" w:cs="Arial"/>
          <w:i/>
          <w:sz w:val="22"/>
          <w:szCs w:val="22"/>
          <w:lang w:val="en-US"/>
        </w:rPr>
        <w:t>Kp</w:t>
      </w:r>
      <w:r>
        <w:rPr>
          <w:rFonts w:ascii="Arial" w:hAnsi="Arial" w:cs="Arial"/>
          <w:sz w:val="22"/>
          <w:szCs w:val="22"/>
          <w:lang w:val="en-US"/>
        </w:rPr>
        <w:t>Flo1A-</w:t>
      </w:r>
      <w:r w:rsidRPr="00E5558B">
        <w:rPr>
          <w:rFonts w:ascii="Arial" w:hAnsi="Arial" w:cs="Arial"/>
          <w:i/>
          <w:sz w:val="22"/>
          <w:szCs w:val="22"/>
          <w:lang w:val="en-US"/>
        </w:rPr>
        <w:t>Kp</w:t>
      </w:r>
      <w:r>
        <w:rPr>
          <w:rFonts w:ascii="Arial" w:hAnsi="Arial" w:cs="Arial"/>
          <w:sz w:val="22"/>
          <w:szCs w:val="22"/>
          <w:lang w:val="en-US"/>
        </w:rPr>
        <w:t xml:space="preserve">Flo3A as well as of </w:t>
      </w:r>
      <w:r w:rsidRPr="00E5558B">
        <w:rPr>
          <w:rFonts w:ascii="Arial" w:hAnsi="Arial" w:cs="Arial"/>
          <w:i/>
          <w:sz w:val="22"/>
          <w:szCs w:val="22"/>
          <w:lang w:val="en-US"/>
        </w:rPr>
        <w:t>Kp</w:t>
      </w:r>
      <w:r>
        <w:rPr>
          <w:rFonts w:ascii="Arial" w:hAnsi="Arial" w:cs="Arial"/>
          <w:sz w:val="22"/>
          <w:szCs w:val="22"/>
          <w:lang w:val="en-US"/>
        </w:rPr>
        <w:t>Flo4aA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 and representatives of the </w:t>
      </w:r>
      <w:r>
        <w:rPr>
          <w:rFonts w:ascii="Arial" w:hAnsi="Arial" w:cs="Arial"/>
          <w:sz w:val="22"/>
          <w:szCs w:val="22"/>
          <w:lang w:val="en-US"/>
        </w:rPr>
        <w:t>PA14/Flo5-like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 family (Uniprot-entries: </w:t>
      </w:r>
      <w:r w:rsidRPr="008D5BDB">
        <w:rPr>
          <w:rFonts w:ascii="Arial" w:hAnsi="Arial" w:cs="Arial"/>
          <w:i/>
          <w:color w:val="000000"/>
          <w:sz w:val="22"/>
          <w:szCs w:val="22"/>
          <w:lang w:val="en-US"/>
        </w:rPr>
        <w:t>Sc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Flo5, P38894; Epa1 adhesin from </w:t>
      </w:r>
      <w:r w:rsidRPr="002B229E">
        <w:rPr>
          <w:rFonts w:ascii="Arial" w:hAnsi="Arial" w:cs="Arial"/>
          <w:i/>
          <w:sz w:val="22"/>
          <w:szCs w:val="22"/>
          <w:lang w:val="en-US"/>
        </w:rPr>
        <w:t>C. glabrata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, Q6VBJ0; LgFlo1, B3IUA8; PA-14, P13423; human </w:t>
      </w:r>
      <w:proofErr w:type="spellStart"/>
      <w:r w:rsidRPr="002B229E">
        <w:rPr>
          <w:rFonts w:ascii="Arial" w:hAnsi="Arial" w:cs="Arial"/>
          <w:sz w:val="22"/>
          <w:szCs w:val="22"/>
          <w:lang w:val="en-US"/>
        </w:rPr>
        <w:t>galactosaminyl</w:t>
      </w:r>
      <w:proofErr w:type="spellEnd"/>
      <w:r w:rsidRPr="002B229E">
        <w:rPr>
          <w:rFonts w:ascii="Arial" w:hAnsi="Arial" w:cs="Arial"/>
          <w:sz w:val="22"/>
          <w:szCs w:val="22"/>
          <w:lang w:val="en-US"/>
        </w:rPr>
        <w:t xml:space="preserve"> transferase HGT, Q8N9V0</w:t>
      </w:r>
      <w:r>
        <w:rPr>
          <w:rFonts w:ascii="Arial" w:hAnsi="Arial" w:cs="Arial"/>
          <w:sz w:val="22"/>
          <w:szCs w:val="22"/>
          <w:lang w:val="en-US"/>
        </w:rPr>
        <w:softHyphen/>
      </w:r>
      <w:r>
        <w:rPr>
          <w:rFonts w:ascii="Arial" w:hAnsi="Arial" w:cs="Arial"/>
          <w:sz w:val="22"/>
          <w:szCs w:val="22"/>
          <w:lang w:val="en-US"/>
        </w:rPr>
        <w:softHyphen/>
      </w:r>
      <w:r w:rsidRPr="002B229E">
        <w:rPr>
          <w:rFonts w:ascii="Arial" w:hAnsi="Arial" w:cs="Arial"/>
          <w:sz w:val="22"/>
          <w:szCs w:val="22"/>
          <w:lang w:val="en-US"/>
        </w:rPr>
        <w:t xml:space="preserve">) was generated using the T-Coffee-algorithm </w:t>
      </w:r>
      <w:r w:rsidRPr="002B229E">
        <w:rPr>
          <w:rFonts w:ascii="Arial" w:hAnsi="Arial" w:cs="Arial"/>
          <w:sz w:val="22"/>
          <w:szCs w:val="22"/>
          <w:lang w:val="en-US"/>
        </w:rPr>
        <w:fldChar w:fldCharType="begin"/>
      </w:r>
      <w:r>
        <w:rPr>
          <w:rFonts w:ascii="Arial" w:hAnsi="Arial" w:cs="Arial"/>
          <w:sz w:val="22"/>
          <w:szCs w:val="22"/>
          <w:lang w:val="en-US"/>
        </w:rPr>
        <w:instrText xml:space="preserve"> ADDIN EN.CITE &lt;EndNote&gt;&lt;Cite&gt;&lt;Author&gt;Notredame&lt;/Author&gt;&lt;Year&gt;2000&lt;/Year&gt;&lt;RecNum&gt;33&lt;/RecNum&gt;&lt;DisplayText&gt;(20)&lt;/DisplayText&gt;&lt;record&gt;&lt;rec-number&gt;33&lt;/rec-number&gt;&lt;foreign-keys&gt;&lt;key app="EN" db-id="xstss0swdt9p2qevvpmpz9dsvr9vav5zserw" timestamp="1527852234"&gt;33&lt;/key&gt;&lt;/foreign-keys&gt;&lt;ref-type name="Journal Article"&gt;17&lt;/ref-type&gt;&lt;contributors&gt;&lt;authors&gt;&lt;author&gt;Notredame, Cédric&lt;/author&gt;&lt;author&gt;Higgins, Desmond G.&lt;/author&gt;&lt;author&gt;Heringa, Jaap&lt;/author&gt;&lt;/authors&gt;&lt;/contributors&gt;&lt;titles&gt;&lt;title&gt;T-coffee: a novel method for fast and accurate multiple sequence alignment&lt;/title&gt;&lt;secondary-title&gt;Journal of Molecular Biology&lt;/secondary-title&gt;&lt;/titles&gt;&lt;periodical&gt;&lt;full-title&gt;Journal of Molecular Biology&lt;/full-title&gt;&lt;/periodical&gt;&lt;pages&gt;205-217&lt;/pages&gt;&lt;volume&gt;302&lt;/volume&gt;&lt;number&gt;1&lt;/number&gt;&lt;keywords&gt;&lt;keyword&gt;pair-wise alignment&lt;/keyword&gt;&lt;keyword&gt;progressive alignment&lt;/keyword&gt;&lt;keyword&gt;local alignment&lt;/keyword&gt;&lt;keyword&gt;global alignment&lt;/keyword&gt;&lt;keyword&gt;multiple sequence alignment&lt;/keyword&gt;&lt;/keywords&gt;&lt;dates&gt;&lt;year&gt;2000&lt;/year&gt;&lt;pub-dates&gt;&lt;date&gt;9/8/&lt;/date&gt;&lt;/pub-dates&gt;&lt;/dates&gt;&lt;isbn&gt;0022-2836&lt;/isbn&gt;&lt;urls&gt;&lt;related-urls&gt;&lt;url&gt;http://www.sciencedirect.com/science/article/pii/S0022283600940427&lt;/url&gt;&lt;/related-urls&gt;&lt;/urls&gt;&lt;electronic-resource-num&gt;http://dx.doi.org/10.1006/jmbi.2000.4042&lt;/electronic-resource-num&gt;&lt;/record&gt;&lt;/Cite&gt;&lt;/EndNote&gt;</w:instrText>
      </w:r>
      <w:r w:rsidRPr="002B229E">
        <w:rPr>
          <w:rFonts w:ascii="Arial" w:hAnsi="Arial" w:cs="Arial"/>
          <w:sz w:val="22"/>
          <w:szCs w:val="22"/>
          <w:lang w:val="en-US"/>
        </w:rPr>
        <w:fldChar w:fldCharType="separate"/>
      </w:r>
      <w:r>
        <w:rPr>
          <w:rFonts w:ascii="Arial" w:hAnsi="Arial" w:cs="Arial"/>
          <w:noProof/>
          <w:sz w:val="22"/>
          <w:szCs w:val="22"/>
          <w:lang w:val="en-US"/>
        </w:rPr>
        <w:t>(20)</w:t>
      </w:r>
      <w:r w:rsidRPr="002B229E">
        <w:rPr>
          <w:rFonts w:ascii="Arial" w:hAnsi="Arial" w:cs="Arial"/>
          <w:sz w:val="22"/>
          <w:szCs w:val="22"/>
          <w:lang w:val="en-US"/>
        </w:rPr>
        <w:fldChar w:fldCharType="end"/>
      </w:r>
      <w:r w:rsidRPr="002B229E">
        <w:rPr>
          <w:rFonts w:ascii="Arial" w:hAnsi="Arial" w:cs="Arial"/>
          <w:sz w:val="22"/>
          <w:szCs w:val="22"/>
          <w:lang w:val="en-US"/>
        </w:rPr>
        <w:t xml:space="preserve"> and combined with the structural annotation of the secondary structure of Cea1A and </w:t>
      </w:r>
      <w:r w:rsidRPr="008D5BDB">
        <w:rPr>
          <w:rFonts w:ascii="Arial" w:hAnsi="Arial" w:cs="Arial"/>
          <w:i/>
          <w:color w:val="000000"/>
          <w:sz w:val="22"/>
          <w:szCs w:val="22"/>
          <w:lang w:val="en-US"/>
        </w:rPr>
        <w:t>Sc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Flo5A. Regions forming the stalk, CBL1 or CBL2 are highlighted in grey. The stalk region is formed mainly by a small </w:t>
      </w:r>
      <w:r w:rsidRPr="002B229E">
        <w:rPr>
          <w:rFonts w:ascii="Arial" w:hAnsi="Arial" w:cs="Arial"/>
          <w:i/>
          <w:sz w:val="22"/>
          <w:szCs w:val="22"/>
          <w:lang w:val="en-US"/>
        </w:rPr>
        <w:t>β</w:t>
      </w:r>
      <w:r w:rsidRPr="002B229E">
        <w:rPr>
          <w:rFonts w:ascii="Arial" w:hAnsi="Arial" w:cs="Arial"/>
          <w:sz w:val="22"/>
          <w:szCs w:val="22"/>
          <w:lang w:val="en-US"/>
        </w:rPr>
        <w:t>-sheet (</w:t>
      </w:r>
      <w:r w:rsidRPr="002B229E">
        <w:rPr>
          <w:rFonts w:ascii="Arial" w:hAnsi="Arial" w:cs="Arial"/>
          <w:i/>
          <w:sz w:val="22"/>
          <w:szCs w:val="22"/>
          <w:lang w:val="en-US"/>
        </w:rPr>
        <w:t>β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8, </w:t>
      </w:r>
      <w:r w:rsidRPr="002B229E">
        <w:rPr>
          <w:rFonts w:ascii="Arial" w:hAnsi="Arial" w:cs="Arial"/>
          <w:i/>
          <w:sz w:val="22"/>
          <w:szCs w:val="22"/>
          <w:lang w:val="en-US"/>
        </w:rPr>
        <w:t>β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9) and the </w:t>
      </w:r>
      <w:r w:rsidRPr="002B229E">
        <w:rPr>
          <w:rFonts w:ascii="Arial" w:hAnsi="Arial" w:cs="Arial"/>
          <w:i/>
          <w:sz w:val="22"/>
          <w:szCs w:val="22"/>
          <w:lang w:val="en-US"/>
        </w:rPr>
        <w:t>N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- and </w:t>
      </w:r>
      <w:r w:rsidRPr="002B229E">
        <w:rPr>
          <w:rFonts w:ascii="Arial" w:hAnsi="Arial" w:cs="Arial"/>
          <w:i/>
          <w:sz w:val="22"/>
          <w:szCs w:val="22"/>
          <w:lang w:val="en-US"/>
        </w:rPr>
        <w:t>C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-terminus of the </w:t>
      </w:r>
      <w:r>
        <w:rPr>
          <w:rFonts w:ascii="Arial" w:hAnsi="Arial" w:cs="Arial"/>
          <w:sz w:val="22"/>
          <w:szCs w:val="22"/>
          <w:lang w:val="en-US"/>
        </w:rPr>
        <w:t>A domain</w:t>
      </w:r>
      <w:r w:rsidRPr="002B229E">
        <w:rPr>
          <w:rFonts w:ascii="Arial" w:hAnsi="Arial" w:cs="Arial"/>
          <w:sz w:val="22"/>
          <w:szCs w:val="22"/>
          <w:lang w:val="en-US"/>
        </w:rPr>
        <w:t>. Positions I-IV of CBL2, that are central constituents of the binding pocket, are indicated. The highly conserved D</w:t>
      </w:r>
      <w:r w:rsidRPr="002B229E">
        <w:rPr>
          <w:rFonts w:ascii="Arial" w:hAnsi="Arial" w:cs="Arial"/>
          <w:i/>
          <w:sz w:val="22"/>
          <w:szCs w:val="22"/>
          <w:lang w:val="en-US"/>
        </w:rPr>
        <w:t>cis</w:t>
      </w:r>
      <w:r w:rsidRPr="002B229E">
        <w:rPr>
          <w:rFonts w:ascii="Arial" w:hAnsi="Arial" w:cs="Arial"/>
          <w:sz w:val="22"/>
          <w:szCs w:val="22"/>
          <w:lang w:val="en-US"/>
        </w:rPr>
        <w:t>D motif is marked in blue and the conserved disulfide-bonds in yellow.</w:t>
      </w:r>
    </w:p>
    <w:p w:rsidR="00F25F1E" w:rsidRDefault="00F25F1E" w:rsidP="00F25F1E">
      <w:pPr>
        <w:pStyle w:val="Textkrpe"/>
        <w:tabs>
          <w:tab w:val="left" w:pos="2410"/>
        </w:tabs>
        <w:spacing w:line="360" w:lineRule="auto"/>
        <w:outlineLvl w:val="0"/>
        <w:rPr>
          <w:rFonts w:ascii="Arial" w:hAnsi="Arial" w:cs="Arial"/>
          <w:sz w:val="22"/>
          <w:szCs w:val="22"/>
          <w:lang w:val="en-US"/>
        </w:rPr>
      </w:pPr>
    </w:p>
    <w:p w:rsidR="00F25F1E" w:rsidRDefault="00F25F1E" w:rsidP="00F25F1E">
      <w:pPr>
        <w:rPr>
          <w:rFonts w:ascii="Arial" w:eastAsia="Times" w:hAnsi="Arial" w:cs="Arial"/>
          <w:b/>
          <w:caps/>
          <w:color w:val="000000" w:themeColor="text1"/>
          <w:szCs w:val="28"/>
          <w:lang w:val="en-US" w:eastAsia="de-DE"/>
        </w:rPr>
      </w:pPr>
      <w:r>
        <w:rPr>
          <w:rFonts w:ascii="Arial" w:hAnsi="Arial" w:cs="Arial"/>
          <w:b/>
          <w:caps/>
          <w:color w:val="000000" w:themeColor="text1"/>
          <w:szCs w:val="28"/>
          <w:lang w:val="en-US"/>
        </w:rPr>
        <w:br w:type="page"/>
      </w: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Pr="002B229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  <w:r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  <w:t>SUPPLEMENTARY Figure 2</w:t>
      </w:r>
    </w:p>
    <w:p w:rsidR="00F25F1E" w:rsidRPr="002B229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Pr="00265EF3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  <w:r>
        <w:rPr>
          <w:rFonts w:ascii="Arial" w:hAnsi="Arial" w:cs="Arial"/>
          <w:b/>
          <w:caps/>
          <w:noProof/>
          <w:color w:val="000000" w:themeColor="text1"/>
          <w:sz w:val="22"/>
          <w:szCs w:val="28"/>
          <w:lang w:val="en-GB" w:eastAsia="zh-CN"/>
        </w:rPr>
        <w:drawing>
          <wp:inline distT="0" distB="0" distL="0" distR="0" wp14:anchorId="0579575D" wp14:editId="1B193F3D">
            <wp:extent cx="5731510" cy="5116830"/>
            <wp:effectExtent l="0" t="0" r="254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1E" w:rsidRPr="002B229E" w:rsidRDefault="00F25F1E" w:rsidP="00F25F1E">
      <w:pPr>
        <w:pStyle w:val="Standa1"/>
        <w:tabs>
          <w:tab w:val="left" w:pos="2410"/>
        </w:tabs>
        <w:spacing w:line="360" w:lineRule="auto"/>
        <w:jc w:val="both"/>
        <w:outlineLvl w:val="0"/>
        <w:rPr>
          <w:rFonts w:ascii="Arial" w:hAnsi="Arial" w:cs="Arial"/>
          <w:sz w:val="22"/>
          <w:szCs w:val="22"/>
          <w:lang w:val="en-US"/>
        </w:rPr>
      </w:pPr>
    </w:p>
    <w:p w:rsidR="00F25F1E" w:rsidRPr="002B229E" w:rsidRDefault="00F25F1E" w:rsidP="00F25F1E">
      <w:pPr>
        <w:pStyle w:val="Standa1"/>
        <w:tabs>
          <w:tab w:val="left" w:pos="2410"/>
        </w:tabs>
        <w:spacing w:line="360" w:lineRule="auto"/>
        <w:jc w:val="both"/>
        <w:outlineLvl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FIGURE S2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. </w:t>
      </w:r>
      <w:r>
        <w:rPr>
          <w:rFonts w:ascii="Arial" w:hAnsi="Arial" w:cs="Arial"/>
          <w:b/>
          <w:sz w:val="22"/>
          <w:szCs w:val="22"/>
          <w:lang w:val="en-US"/>
        </w:rPr>
        <w:t xml:space="preserve">Crystal packing of </w:t>
      </w:r>
      <w:r w:rsidRPr="00796D1B">
        <w:rPr>
          <w:rFonts w:ascii="Arial" w:hAnsi="Arial" w:cs="Arial"/>
          <w:b/>
          <w:i/>
          <w:sz w:val="22"/>
          <w:szCs w:val="22"/>
          <w:lang w:val="en-US"/>
        </w:rPr>
        <w:t>Kp</w:t>
      </w:r>
      <w:r>
        <w:rPr>
          <w:rFonts w:ascii="Arial" w:hAnsi="Arial" w:cs="Arial"/>
          <w:b/>
          <w:sz w:val="22"/>
          <w:szCs w:val="22"/>
          <w:lang w:val="en-US"/>
        </w:rPr>
        <w:t>Flo A domains</w:t>
      </w:r>
      <w:r w:rsidRPr="002B229E">
        <w:rPr>
          <w:rFonts w:ascii="Arial" w:hAnsi="Arial" w:cs="Arial"/>
          <w:b/>
          <w:sz w:val="22"/>
          <w:szCs w:val="22"/>
          <w:lang w:val="en-US"/>
        </w:rPr>
        <w:t xml:space="preserve">. </w:t>
      </w:r>
      <w:r w:rsidRPr="002B229E">
        <w:rPr>
          <w:rFonts w:ascii="Arial" w:hAnsi="Arial" w:cs="Arial"/>
          <w:i/>
          <w:sz w:val="22"/>
          <w:szCs w:val="22"/>
          <w:lang w:val="en-US"/>
        </w:rPr>
        <w:t>A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. </w:t>
      </w:r>
      <w:r>
        <w:rPr>
          <w:rFonts w:ascii="Arial" w:hAnsi="Arial" w:cs="Arial"/>
          <w:sz w:val="22"/>
          <w:szCs w:val="22"/>
          <w:lang w:val="en-US"/>
        </w:rPr>
        <w:t>The f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our molecules (A, B, C, D) </w:t>
      </w:r>
      <w:r>
        <w:rPr>
          <w:rFonts w:ascii="Arial" w:hAnsi="Arial" w:cs="Arial"/>
          <w:sz w:val="22"/>
          <w:szCs w:val="22"/>
          <w:lang w:val="en-US"/>
        </w:rPr>
        <w:t xml:space="preserve">of the orthorhombic crystal form of Cea1A </w:t>
      </w:r>
      <w:r w:rsidRPr="002B229E">
        <w:rPr>
          <w:rFonts w:ascii="Arial" w:hAnsi="Arial" w:cs="Arial"/>
          <w:sz w:val="22"/>
          <w:szCs w:val="22"/>
          <w:lang w:val="en-US"/>
        </w:rPr>
        <w:t>are arranged in an antiparallel manner and</w:t>
      </w:r>
      <w:r>
        <w:rPr>
          <w:rFonts w:ascii="Arial" w:hAnsi="Arial" w:cs="Arial"/>
          <w:sz w:val="22"/>
          <w:szCs w:val="22"/>
          <w:lang w:val="en-US"/>
        </w:rPr>
        <w:t xml:space="preserve"> form with their β-sandwiches a continuous 10-pleaded β-sheet by edge-to-edge packing</w:t>
      </w:r>
      <w:r w:rsidRPr="002B229E">
        <w:rPr>
          <w:rFonts w:ascii="Arial" w:hAnsi="Arial" w:cs="Arial"/>
          <w:sz w:val="22"/>
          <w:szCs w:val="22"/>
          <w:lang w:val="en-US"/>
        </w:rPr>
        <w:t>. The chains are shown with Ca</w:t>
      </w:r>
      <w:r w:rsidRPr="002B229E">
        <w:rPr>
          <w:rFonts w:ascii="Arial" w:hAnsi="Arial" w:cs="Arial"/>
          <w:sz w:val="22"/>
          <w:szCs w:val="22"/>
          <w:vertAlign w:val="superscript"/>
          <w:lang w:val="en-US"/>
        </w:rPr>
        <w:t>2+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 (orange) and bound GlcNAc ligands (blue).</w:t>
      </w:r>
      <w:r w:rsidRPr="00AC1EE2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n-US"/>
        </w:rPr>
        <w:t>Molecules A-D</w:t>
      </w:r>
      <w:r w:rsidRPr="002B229E">
        <w:rPr>
          <w:rFonts w:ascii="Arial" w:hAnsi="Arial" w:cs="Arial"/>
          <w:color w:val="000000"/>
          <w:sz w:val="22"/>
          <w:szCs w:val="22"/>
          <w:lang w:val="en-US"/>
        </w:rPr>
        <w:t xml:space="preserve"> are almost identical with a maximum </w:t>
      </w:r>
      <w:proofErr w:type="spellStart"/>
      <w:r>
        <w:rPr>
          <w:rFonts w:ascii="Arial" w:hAnsi="Arial" w:cs="Arial"/>
          <w:color w:val="000000"/>
          <w:sz w:val="22"/>
          <w:szCs w:val="22"/>
          <w:lang w:val="en-US"/>
        </w:rPr>
        <w:t>r.m.s.d</w:t>
      </w:r>
      <w:proofErr w:type="spellEnd"/>
      <w:r>
        <w:rPr>
          <w:rFonts w:ascii="Arial" w:hAnsi="Arial" w:cs="Arial"/>
          <w:color w:val="000000"/>
          <w:sz w:val="22"/>
          <w:szCs w:val="22"/>
          <w:lang w:val="en-US"/>
        </w:rPr>
        <w:t>.</w:t>
      </w:r>
      <w:r w:rsidRPr="002B229E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n-US"/>
        </w:rPr>
        <w:t>of 0.22 Å</w:t>
      </w:r>
      <w:r w:rsidRPr="002B229E">
        <w:rPr>
          <w:rFonts w:ascii="Arial" w:hAnsi="Arial" w:cs="Arial"/>
          <w:color w:val="000000"/>
          <w:sz w:val="22"/>
          <w:szCs w:val="22"/>
          <w:lang w:val="en-US"/>
        </w:rPr>
        <w:t xml:space="preserve"> between two 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Cea1A </w:t>
      </w:r>
      <w:r w:rsidRPr="002B229E">
        <w:rPr>
          <w:rFonts w:ascii="Arial" w:hAnsi="Arial" w:cs="Arial"/>
          <w:color w:val="000000"/>
          <w:sz w:val="22"/>
          <w:szCs w:val="22"/>
          <w:lang w:val="en-US"/>
        </w:rPr>
        <w:t>mol</w:t>
      </w:r>
      <w:r>
        <w:rPr>
          <w:rFonts w:ascii="Arial" w:hAnsi="Arial" w:cs="Arial"/>
          <w:color w:val="000000"/>
          <w:sz w:val="22"/>
          <w:szCs w:val="22"/>
          <w:lang w:val="en-US"/>
        </w:rPr>
        <w:t>ecules</w:t>
      </w:r>
      <w:r w:rsidRPr="002B229E">
        <w:rPr>
          <w:rFonts w:ascii="Arial" w:hAnsi="Arial" w:cs="Arial"/>
          <w:color w:val="000000"/>
          <w:sz w:val="22"/>
          <w:szCs w:val="22"/>
          <w:lang w:val="en-US"/>
        </w:rPr>
        <w:t xml:space="preserve">. Due to crystal packing, two Cea1A molecules show 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pairwise </w:t>
      </w:r>
      <w:r w:rsidRPr="002B229E">
        <w:rPr>
          <w:rFonts w:ascii="Arial" w:hAnsi="Arial" w:cs="Arial"/>
          <w:color w:val="000000"/>
          <w:sz w:val="22"/>
          <w:szCs w:val="22"/>
          <w:lang w:val="en-US"/>
        </w:rPr>
        <w:t xml:space="preserve">a higher </w:t>
      </w:r>
      <w:r>
        <w:rPr>
          <w:rFonts w:ascii="Arial" w:hAnsi="Arial" w:cs="Arial"/>
          <w:color w:val="000000"/>
          <w:sz w:val="22"/>
          <w:szCs w:val="22"/>
          <w:lang w:val="en-US"/>
        </w:rPr>
        <w:t>structural similarity to each other.</w:t>
      </w:r>
      <w:r w:rsidRPr="002B229E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Pr="002B229E">
        <w:rPr>
          <w:rFonts w:ascii="Arial" w:hAnsi="Arial" w:cs="Arial"/>
          <w:i/>
          <w:sz w:val="22"/>
          <w:szCs w:val="22"/>
          <w:lang w:val="en-US"/>
        </w:rPr>
        <w:t>B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. </w:t>
      </w:r>
      <w:r>
        <w:rPr>
          <w:rFonts w:ascii="Arial" w:hAnsi="Arial" w:cs="Arial"/>
          <w:sz w:val="22"/>
          <w:szCs w:val="22"/>
          <w:lang w:val="en-US"/>
        </w:rPr>
        <w:t>Dimer of the KpFlo2A domain as present in the asymmetric symmetry unit. The molecules A (blue) and B (red) form a continuous β-sheet via parts of an His</w:t>
      </w:r>
      <w:r w:rsidRPr="00796D1B">
        <w:rPr>
          <w:rFonts w:ascii="Arial" w:hAnsi="Arial" w:cs="Arial"/>
          <w:sz w:val="22"/>
          <w:szCs w:val="22"/>
          <w:vertAlign w:val="subscript"/>
          <w:lang w:val="en-US"/>
        </w:rPr>
        <w:t>6</w:t>
      </w:r>
      <w:r>
        <w:rPr>
          <w:rFonts w:ascii="Arial" w:hAnsi="Arial" w:cs="Arial"/>
          <w:sz w:val="22"/>
          <w:szCs w:val="22"/>
          <w:lang w:val="en-US"/>
        </w:rPr>
        <w:t>-affinity tag (orange).</w:t>
      </w:r>
      <w:r w:rsidRPr="00AC1EE2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</w:p>
    <w:p w:rsidR="00F25F1E" w:rsidRDefault="00F25F1E" w:rsidP="00F25F1E">
      <w:pPr>
        <w:rPr>
          <w:rFonts w:ascii="Arial" w:hAnsi="Arial" w:cs="Arial"/>
          <w:b/>
          <w:caps/>
          <w:color w:val="000000" w:themeColor="text1"/>
          <w:szCs w:val="28"/>
          <w:lang w:val="en-US"/>
        </w:rPr>
      </w:pPr>
    </w:p>
    <w:p w:rsidR="00F25F1E" w:rsidRDefault="00F25F1E" w:rsidP="00F25F1E">
      <w:pPr>
        <w:rPr>
          <w:rFonts w:ascii="Arial" w:eastAsia="Times" w:hAnsi="Arial" w:cs="Arial"/>
          <w:b/>
          <w:caps/>
          <w:color w:val="000000" w:themeColor="text1"/>
          <w:szCs w:val="28"/>
          <w:lang w:val="en-US" w:eastAsia="de-DE"/>
        </w:rPr>
      </w:pPr>
      <w:r>
        <w:rPr>
          <w:rFonts w:ascii="Arial" w:hAnsi="Arial" w:cs="Arial"/>
          <w:b/>
          <w:caps/>
          <w:color w:val="000000" w:themeColor="text1"/>
          <w:szCs w:val="28"/>
          <w:lang w:val="en-US"/>
        </w:rPr>
        <w:br w:type="page"/>
      </w: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  <w:r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  <w:lastRenderedPageBreak/>
        <w:t>SUPPLEMENTARY fIGURE 3</w:t>
      </w: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  <w:r>
        <w:rPr>
          <w:rFonts w:ascii="Arial" w:hAnsi="Arial" w:cs="Arial"/>
          <w:noProof/>
          <w:color w:val="000000"/>
          <w:sz w:val="22"/>
          <w:szCs w:val="22"/>
          <w:lang w:val="en-GB" w:eastAsia="zh-CN"/>
        </w:rPr>
        <w:drawing>
          <wp:inline distT="0" distB="0" distL="0" distR="0" wp14:anchorId="329BC055" wp14:editId="1C2E470F">
            <wp:extent cx="3011430" cy="24810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YY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30" cy="248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1E" w:rsidRPr="006D2876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color w:val="000000"/>
          <w:sz w:val="22"/>
          <w:szCs w:val="22"/>
          <w:lang w:val="en-GB"/>
        </w:rPr>
      </w:pPr>
      <w:r w:rsidRPr="006D2876">
        <w:rPr>
          <w:rFonts w:ascii="Arial" w:hAnsi="Arial" w:cs="Arial"/>
          <w:sz w:val="22"/>
          <w:szCs w:val="22"/>
          <w:lang w:val="en-GB"/>
        </w:rPr>
        <w:t xml:space="preserve">Figure S3 Definition of the </w:t>
      </w:r>
      <w:r w:rsidRPr="006D2876">
        <w:rPr>
          <w:rFonts w:ascii="Arial" w:hAnsi="Arial" w:cs="Arial"/>
          <w:color w:val="000000"/>
          <w:sz w:val="22"/>
          <w:szCs w:val="22"/>
        </w:rPr>
        <w:t>Φ</w:t>
      </w:r>
      <w:r w:rsidRPr="006D2876">
        <w:rPr>
          <w:rFonts w:ascii="Arial" w:hAnsi="Arial" w:cs="Arial"/>
          <w:color w:val="000000"/>
          <w:sz w:val="22"/>
          <w:szCs w:val="22"/>
          <w:lang w:val="en-GB"/>
        </w:rPr>
        <w:t>-</w:t>
      </w:r>
      <w:r w:rsidRPr="006D2876">
        <w:rPr>
          <w:rFonts w:ascii="Arial" w:hAnsi="Arial" w:cs="Arial"/>
          <w:color w:val="000000"/>
          <w:sz w:val="22"/>
          <w:szCs w:val="22"/>
        </w:rPr>
        <w:t>Ψ</w:t>
      </w:r>
      <w:r w:rsidRPr="006D2876">
        <w:rPr>
          <w:rFonts w:ascii="Arial" w:hAnsi="Arial" w:cs="Arial"/>
          <w:color w:val="000000"/>
          <w:sz w:val="22"/>
          <w:szCs w:val="22"/>
          <w:lang w:val="en-GB"/>
        </w:rPr>
        <w:t xml:space="preserve"> angles, as well as of the </w:t>
      </w:r>
      <w:proofErr w:type="spellStart"/>
      <w:r>
        <w:rPr>
          <w:rFonts w:ascii="Arial" w:hAnsi="Arial" w:cs="Arial"/>
          <w:color w:val="000000"/>
          <w:sz w:val="22"/>
          <w:szCs w:val="22"/>
          <w:lang w:val="en-GB"/>
        </w:rPr>
        <w:t>glucosyl</w:t>
      </w:r>
      <w:proofErr w:type="spellEnd"/>
      <w:r w:rsidRPr="006D2876">
        <w:rPr>
          <w:rFonts w:ascii="Arial" w:hAnsi="Arial" w:cs="Arial"/>
          <w:color w:val="000000"/>
          <w:sz w:val="22"/>
          <w:szCs w:val="22"/>
          <w:lang w:val="en-GB"/>
        </w:rPr>
        <w:t xml:space="preserve"> positions for all simulations</w:t>
      </w:r>
      <w:r>
        <w:rPr>
          <w:rFonts w:ascii="Arial" w:hAnsi="Arial" w:cs="Arial"/>
          <w:color w:val="000000"/>
          <w:sz w:val="22"/>
          <w:szCs w:val="22"/>
          <w:lang w:val="en-GB"/>
        </w:rPr>
        <w:t>.</w:t>
      </w: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  <w:r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  <w:t>supplementary figure 4</w:t>
      </w:r>
    </w:p>
    <w:p w:rsidR="00F25F1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  <w:r>
        <w:rPr>
          <w:noProof/>
          <w:lang w:val="en-GB" w:eastAsia="zh-CN"/>
        </w:rPr>
        <w:drawing>
          <wp:inline distT="0" distB="0" distL="0" distR="0" wp14:anchorId="3668DD8C" wp14:editId="70080831">
            <wp:extent cx="5731510" cy="72561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XX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1E" w:rsidRDefault="00F25F1E" w:rsidP="00F25F1E">
      <w:pPr>
        <w:pStyle w:val="Beschriftung"/>
        <w:spacing w:line="360" w:lineRule="auto"/>
        <w:jc w:val="both"/>
        <w:rPr>
          <w:rFonts w:eastAsia="Times"/>
          <w:lang w:val="en-US" w:eastAsia="de-DE"/>
        </w:rPr>
      </w:pPr>
      <w:r w:rsidRPr="006D2876">
        <w:rPr>
          <w:rFonts w:ascii="Arial" w:hAnsi="Arial" w:cs="Arial"/>
          <w:i w:val="0"/>
          <w:sz w:val="22"/>
          <w:szCs w:val="20"/>
        </w:rPr>
        <w:t>Figure S</w:t>
      </w:r>
      <w:r>
        <w:rPr>
          <w:rFonts w:ascii="Arial" w:hAnsi="Arial" w:cs="Arial"/>
          <w:i w:val="0"/>
          <w:sz w:val="22"/>
          <w:szCs w:val="20"/>
        </w:rPr>
        <w:t>4</w:t>
      </w:r>
      <w:r w:rsidRPr="006D2876">
        <w:rPr>
          <w:rFonts w:ascii="Arial" w:hAnsi="Arial" w:cs="Arial"/>
          <w:i w:val="0"/>
          <w:sz w:val="22"/>
          <w:szCs w:val="20"/>
        </w:rPr>
        <w:t xml:space="preserve"> </w:t>
      </w:r>
      <w:r w:rsidRPr="006D2876">
        <w:rPr>
          <w:rFonts w:ascii="Arial" w:hAnsi="Arial" w:cs="Arial"/>
          <w:b/>
          <w:i w:val="0"/>
          <w:sz w:val="22"/>
          <w:szCs w:val="20"/>
        </w:rPr>
        <w:t xml:space="preserve">Clustering analysis of </w:t>
      </w:r>
      <w:r w:rsidRPr="000D5673">
        <w:rPr>
          <w:rFonts w:ascii="Arial" w:hAnsi="Arial" w:cs="Arial"/>
          <w:b/>
          <w:i w:val="0"/>
          <w:color w:val="000000"/>
          <w:sz w:val="22"/>
          <w:szCs w:val="20"/>
        </w:rPr>
        <w:t>α1</w:t>
      </w:r>
      <w:r>
        <w:rPr>
          <w:rFonts w:ascii="Arial" w:hAnsi="Arial" w:cs="Arial"/>
          <w:b/>
          <w:i w:val="0"/>
          <w:color w:val="000000"/>
          <w:sz w:val="22"/>
          <w:szCs w:val="20"/>
        </w:rPr>
        <w:t>-</w:t>
      </w:r>
      <w:r w:rsidRPr="000D5673">
        <w:rPr>
          <w:rFonts w:ascii="Arial" w:hAnsi="Arial" w:cs="Arial"/>
          <w:b/>
          <w:i w:val="0"/>
          <w:color w:val="000000"/>
          <w:sz w:val="22"/>
          <w:szCs w:val="20"/>
        </w:rPr>
        <w:t xml:space="preserve">4 </w:t>
      </w:r>
      <w:r w:rsidRPr="006D2876">
        <w:rPr>
          <w:rFonts w:ascii="Arial" w:hAnsi="Arial" w:cs="Arial"/>
          <w:b/>
          <w:i w:val="0"/>
          <w:color w:val="000000"/>
          <w:sz w:val="22"/>
          <w:szCs w:val="20"/>
        </w:rPr>
        <w:t xml:space="preserve">and </w:t>
      </w:r>
      <w:r w:rsidRPr="000D5673">
        <w:rPr>
          <w:rFonts w:ascii="Arial" w:hAnsi="Arial" w:cs="Arial"/>
          <w:b/>
          <w:i w:val="0"/>
          <w:color w:val="000000"/>
          <w:sz w:val="22"/>
          <w:szCs w:val="20"/>
        </w:rPr>
        <w:t>β1</w:t>
      </w:r>
      <w:r>
        <w:rPr>
          <w:rFonts w:ascii="Arial" w:hAnsi="Arial" w:cs="Arial"/>
          <w:b/>
          <w:i w:val="0"/>
          <w:color w:val="000000"/>
          <w:sz w:val="22"/>
          <w:szCs w:val="20"/>
        </w:rPr>
        <w:t>-</w:t>
      </w:r>
      <w:r w:rsidRPr="000D5673">
        <w:rPr>
          <w:rFonts w:ascii="Arial" w:hAnsi="Arial" w:cs="Arial"/>
          <w:b/>
          <w:i w:val="0"/>
          <w:color w:val="000000"/>
          <w:sz w:val="22"/>
          <w:szCs w:val="20"/>
        </w:rPr>
        <w:t xml:space="preserve">4 </w:t>
      </w:r>
      <w:r w:rsidRPr="006D2876">
        <w:rPr>
          <w:rFonts w:ascii="Arial" w:hAnsi="Arial" w:cs="Arial"/>
          <w:b/>
          <w:i w:val="0"/>
          <w:color w:val="000000"/>
          <w:sz w:val="22"/>
          <w:szCs w:val="20"/>
        </w:rPr>
        <w:t>MDS</w:t>
      </w:r>
      <w:r w:rsidRPr="006D2876">
        <w:rPr>
          <w:rFonts w:ascii="Arial" w:hAnsi="Arial" w:cs="Arial"/>
          <w:i w:val="0"/>
          <w:color w:val="000000"/>
          <w:sz w:val="22"/>
          <w:szCs w:val="20"/>
        </w:rPr>
        <w:t xml:space="preserve">. </w:t>
      </w:r>
      <w:r w:rsidRPr="006D2876">
        <w:rPr>
          <w:rFonts w:ascii="Arial" w:hAnsi="Arial" w:cs="Arial"/>
          <w:color w:val="000000"/>
          <w:sz w:val="22"/>
          <w:szCs w:val="20"/>
        </w:rPr>
        <w:t>A</w:t>
      </w:r>
      <w:r w:rsidRPr="006D2876">
        <w:rPr>
          <w:rFonts w:ascii="Arial" w:hAnsi="Arial" w:cs="Arial"/>
          <w:i w:val="0"/>
          <w:color w:val="000000"/>
          <w:sz w:val="22"/>
          <w:szCs w:val="20"/>
        </w:rPr>
        <w:t>. 2D Φ-Ψ plots for β1</w:t>
      </w:r>
      <w:r>
        <w:rPr>
          <w:rFonts w:ascii="Arial" w:hAnsi="Arial" w:cs="Arial"/>
          <w:i w:val="0"/>
          <w:color w:val="000000"/>
          <w:sz w:val="22"/>
          <w:szCs w:val="20"/>
        </w:rPr>
        <w:t>-</w:t>
      </w:r>
      <w:r w:rsidRPr="006D2876">
        <w:rPr>
          <w:rFonts w:ascii="Arial" w:hAnsi="Arial" w:cs="Arial"/>
          <w:i w:val="0"/>
          <w:color w:val="000000"/>
          <w:sz w:val="22"/>
          <w:szCs w:val="20"/>
        </w:rPr>
        <w:t>4 MDS (top) and α1</w:t>
      </w:r>
      <w:r>
        <w:rPr>
          <w:rFonts w:ascii="Arial" w:hAnsi="Arial" w:cs="Arial"/>
          <w:i w:val="0"/>
          <w:color w:val="000000"/>
          <w:sz w:val="22"/>
          <w:szCs w:val="20"/>
        </w:rPr>
        <w:t>-</w:t>
      </w:r>
      <w:r w:rsidRPr="006D2876">
        <w:rPr>
          <w:rFonts w:ascii="Arial" w:hAnsi="Arial" w:cs="Arial"/>
          <w:i w:val="0"/>
          <w:color w:val="000000"/>
          <w:sz w:val="22"/>
          <w:szCs w:val="20"/>
        </w:rPr>
        <w:t>4 MDS (bottom) showing the population density for each cluster (left) or the value distribution by trajectory replica (right). Note that β1</w:t>
      </w:r>
      <w:r>
        <w:rPr>
          <w:rFonts w:ascii="Arial" w:hAnsi="Arial" w:cs="Arial"/>
          <w:i w:val="0"/>
          <w:color w:val="000000"/>
          <w:sz w:val="22"/>
          <w:szCs w:val="20"/>
        </w:rPr>
        <w:t>-</w:t>
      </w:r>
      <w:r w:rsidRPr="006D2876">
        <w:rPr>
          <w:rFonts w:ascii="Arial" w:hAnsi="Arial" w:cs="Arial"/>
          <w:i w:val="0"/>
          <w:color w:val="000000"/>
          <w:sz w:val="22"/>
          <w:szCs w:val="20"/>
        </w:rPr>
        <w:t xml:space="preserve">4 MDS presents a single, clearly defined cluster with highly overlapping values </w:t>
      </w:r>
      <w:r>
        <w:rPr>
          <w:rFonts w:ascii="Arial" w:hAnsi="Arial" w:cs="Arial"/>
          <w:i w:val="0"/>
          <w:color w:val="000000"/>
          <w:sz w:val="22"/>
          <w:szCs w:val="20"/>
        </w:rPr>
        <w:t>throughout</w:t>
      </w:r>
      <w:r w:rsidRPr="006D2876">
        <w:rPr>
          <w:rFonts w:ascii="Arial" w:hAnsi="Arial" w:cs="Arial"/>
          <w:i w:val="0"/>
          <w:color w:val="000000"/>
          <w:sz w:val="22"/>
          <w:szCs w:val="20"/>
        </w:rPr>
        <w:t xml:space="preserve"> the overall simulation, on which all three trajectory replicas converge</w:t>
      </w:r>
      <w:r>
        <w:rPr>
          <w:rFonts w:ascii="Arial" w:hAnsi="Arial" w:cs="Arial"/>
          <w:i w:val="0"/>
          <w:color w:val="000000"/>
          <w:sz w:val="22"/>
          <w:szCs w:val="20"/>
        </w:rPr>
        <w:t xml:space="preserve"> </w:t>
      </w:r>
      <w:r w:rsidRPr="000D5673">
        <w:rPr>
          <w:rFonts w:ascii="Arial" w:hAnsi="Arial" w:cs="Arial"/>
          <w:i w:val="0"/>
          <w:color w:val="000000"/>
          <w:sz w:val="22"/>
          <w:szCs w:val="20"/>
        </w:rPr>
        <w:t>(Table S</w:t>
      </w:r>
      <w:r>
        <w:rPr>
          <w:rFonts w:ascii="Arial" w:hAnsi="Arial" w:cs="Arial"/>
          <w:i w:val="0"/>
          <w:color w:val="000000"/>
          <w:sz w:val="22"/>
          <w:szCs w:val="20"/>
        </w:rPr>
        <w:t>1</w:t>
      </w:r>
      <w:r w:rsidRPr="000D5673">
        <w:rPr>
          <w:rFonts w:ascii="Arial" w:hAnsi="Arial" w:cs="Arial"/>
          <w:i w:val="0"/>
          <w:color w:val="000000"/>
          <w:sz w:val="22"/>
          <w:szCs w:val="20"/>
        </w:rPr>
        <w:t>)</w:t>
      </w:r>
      <w:r w:rsidRPr="006D2876">
        <w:rPr>
          <w:rFonts w:ascii="Arial" w:hAnsi="Arial" w:cs="Arial"/>
          <w:i w:val="0"/>
          <w:color w:val="000000"/>
          <w:sz w:val="22"/>
          <w:szCs w:val="20"/>
        </w:rPr>
        <w:t>. On the other hand, α1</w:t>
      </w:r>
      <w:r>
        <w:rPr>
          <w:rFonts w:ascii="Arial" w:hAnsi="Arial" w:cs="Arial"/>
          <w:i w:val="0"/>
          <w:color w:val="000000"/>
          <w:sz w:val="22"/>
          <w:szCs w:val="20"/>
        </w:rPr>
        <w:t>-</w:t>
      </w:r>
      <w:r w:rsidRPr="006D2876">
        <w:rPr>
          <w:rFonts w:ascii="Arial" w:hAnsi="Arial" w:cs="Arial"/>
          <w:i w:val="0"/>
          <w:color w:val="000000"/>
          <w:sz w:val="22"/>
          <w:szCs w:val="20"/>
        </w:rPr>
        <w:t xml:space="preserve">4 MDS shows a total of three </w:t>
      </w:r>
      <w:r w:rsidRPr="006D2876">
        <w:rPr>
          <w:rFonts w:ascii="Arial" w:hAnsi="Arial" w:cs="Arial"/>
          <w:i w:val="0"/>
          <w:color w:val="000000"/>
          <w:sz w:val="22"/>
          <w:szCs w:val="20"/>
        </w:rPr>
        <w:lastRenderedPageBreak/>
        <w:t>clusters, resulting in a high degree of discrepancy between the overall Φ and Ψ values for the entire simulation and those of the individual clusters (Table</w:t>
      </w:r>
      <w:r>
        <w:rPr>
          <w:rFonts w:ascii="Arial" w:hAnsi="Arial" w:cs="Arial"/>
          <w:i w:val="0"/>
          <w:color w:val="000000"/>
          <w:sz w:val="22"/>
          <w:szCs w:val="20"/>
        </w:rPr>
        <w:t>s</w:t>
      </w:r>
      <w:r w:rsidRPr="006D2876">
        <w:rPr>
          <w:rFonts w:ascii="Arial" w:hAnsi="Arial" w:cs="Arial"/>
          <w:i w:val="0"/>
          <w:color w:val="000000"/>
          <w:sz w:val="22"/>
          <w:szCs w:val="20"/>
        </w:rPr>
        <w:t xml:space="preserve"> </w:t>
      </w:r>
      <w:r>
        <w:rPr>
          <w:rFonts w:ascii="Arial" w:hAnsi="Arial" w:cs="Arial"/>
          <w:i w:val="0"/>
          <w:color w:val="000000"/>
          <w:sz w:val="22"/>
          <w:szCs w:val="20"/>
        </w:rPr>
        <w:t>S1,S2</w:t>
      </w:r>
      <w:r w:rsidRPr="006D2876">
        <w:rPr>
          <w:rFonts w:ascii="Arial" w:hAnsi="Arial" w:cs="Arial"/>
          <w:i w:val="0"/>
          <w:color w:val="000000"/>
          <w:sz w:val="22"/>
          <w:szCs w:val="20"/>
        </w:rPr>
        <w:t xml:space="preserve">). Furthermore, trajectory replicas do not converge, as clusters 1 and 3 are populated exclusively by trajectories 1 and 3, while cluster 2 </w:t>
      </w:r>
      <w:r>
        <w:rPr>
          <w:rFonts w:ascii="Arial" w:hAnsi="Arial" w:cs="Arial"/>
          <w:i w:val="0"/>
          <w:color w:val="000000"/>
          <w:sz w:val="22"/>
          <w:szCs w:val="20"/>
        </w:rPr>
        <w:t xml:space="preserve">only </w:t>
      </w:r>
      <w:r w:rsidRPr="006D2876">
        <w:rPr>
          <w:rFonts w:ascii="Arial" w:hAnsi="Arial" w:cs="Arial"/>
          <w:i w:val="0"/>
          <w:color w:val="000000"/>
          <w:sz w:val="22"/>
          <w:szCs w:val="20"/>
        </w:rPr>
        <w:t xml:space="preserve">by trajectory 2. </w:t>
      </w:r>
      <w:r w:rsidRPr="006D2876">
        <w:rPr>
          <w:rFonts w:ascii="Arial" w:hAnsi="Arial" w:cs="Arial"/>
          <w:color w:val="000000"/>
          <w:sz w:val="22"/>
          <w:szCs w:val="20"/>
        </w:rPr>
        <w:t>B</w:t>
      </w:r>
      <w:r w:rsidRPr="006D2876">
        <w:rPr>
          <w:rFonts w:ascii="Arial" w:hAnsi="Arial" w:cs="Arial"/>
          <w:i w:val="0"/>
          <w:color w:val="000000"/>
          <w:sz w:val="22"/>
          <w:szCs w:val="20"/>
        </w:rPr>
        <w:t xml:space="preserve">. detailed, per-cluster description of the </w:t>
      </w:r>
      <w:proofErr w:type="spellStart"/>
      <w:r>
        <w:rPr>
          <w:rFonts w:ascii="Arial" w:hAnsi="Arial" w:cs="Arial"/>
          <w:i w:val="0"/>
          <w:color w:val="000000"/>
          <w:sz w:val="22"/>
          <w:szCs w:val="20"/>
        </w:rPr>
        <w:t>glucosyl</w:t>
      </w:r>
      <w:proofErr w:type="spellEnd"/>
      <w:r w:rsidRPr="006D2876">
        <w:rPr>
          <w:rFonts w:ascii="Arial" w:hAnsi="Arial" w:cs="Arial"/>
          <w:i w:val="0"/>
          <w:color w:val="000000"/>
          <w:sz w:val="22"/>
          <w:szCs w:val="20"/>
        </w:rPr>
        <w:t xml:space="preserve"> hydrogen bonding network with nearby interaction partners in α</w:t>
      </w:r>
      <w:r>
        <w:rPr>
          <w:rFonts w:ascii="Arial" w:hAnsi="Arial" w:cs="Arial"/>
          <w:i w:val="0"/>
          <w:color w:val="000000"/>
          <w:sz w:val="22"/>
          <w:szCs w:val="20"/>
        </w:rPr>
        <w:t>1-4</w:t>
      </w:r>
      <w:r w:rsidRPr="006D2876">
        <w:rPr>
          <w:rFonts w:ascii="Arial" w:hAnsi="Arial" w:cs="Arial"/>
          <w:i w:val="0"/>
          <w:color w:val="000000"/>
          <w:sz w:val="22"/>
          <w:szCs w:val="20"/>
        </w:rPr>
        <w:t xml:space="preserve"> MDS. Here, the glycan ligand (blue) is bound by Cea1A and Ca</w:t>
      </w:r>
      <w:r w:rsidRPr="006D2876">
        <w:rPr>
          <w:rFonts w:ascii="Arial" w:hAnsi="Arial" w:cs="Arial"/>
          <w:i w:val="0"/>
          <w:color w:val="000000"/>
          <w:sz w:val="22"/>
          <w:szCs w:val="20"/>
          <w:vertAlign w:val="superscript"/>
        </w:rPr>
        <w:t>2+</w:t>
      </w:r>
      <w:r w:rsidRPr="006D2876">
        <w:rPr>
          <w:rFonts w:ascii="Arial" w:hAnsi="Arial" w:cs="Arial"/>
          <w:i w:val="0"/>
          <w:color w:val="000000"/>
          <w:sz w:val="22"/>
          <w:szCs w:val="20"/>
        </w:rPr>
        <w:t xml:space="preserve"> (golden). Waters have been stripped for clarity. </w:t>
      </w:r>
      <w:r>
        <w:rPr>
          <w:rFonts w:ascii="Arial" w:hAnsi="Arial" w:cs="Arial"/>
          <w:i w:val="0"/>
          <w:sz w:val="22"/>
          <w:szCs w:val="20"/>
          <w:lang w:val="en-US"/>
        </w:rPr>
        <w:t>Glucosyl</w:t>
      </w:r>
      <w:r w:rsidRPr="006D2876">
        <w:rPr>
          <w:rFonts w:ascii="Arial" w:hAnsi="Arial" w:cs="Arial"/>
          <w:i w:val="0"/>
          <w:sz w:val="22"/>
          <w:szCs w:val="20"/>
          <w:lang w:val="en-US"/>
        </w:rPr>
        <w:t xml:space="preserve"> interaction partners are highlighted via colored dashed lines, with the cumulative overall hydrogen bond occupancy shown as a percentage, as well as by the</w:t>
      </w:r>
      <w:r>
        <w:rPr>
          <w:rFonts w:ascii="Arial" w:hAnsi="Arial" w:cs="Arial"/>
          <w:i w:val="0"/>
          <w:sz w:val="22"/>
          <w:szCs w:val="20"/>
          <w:lang w:val="en-US"/>
        </w:rPr>
        <w:t xml:space="preserve"> color of the dashed highlights.</w:t>
      </w:r>
      <w:r>
        <w:rPr>
          <w:lang w:val="en-US"/>
        </w:rPr>
        <w:br w:type="page"/>
      </w:r>
    </w:p>
    <w:p w:rsidR="00F25F1E" w:rsidRPr="00C47F28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  <w:r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  <w:lastRenderedPageBreak/>
        <w:t>SUPPLEMENTARY Figure 5</w:t>
      </w:r>
    </w:p>
    <w:p w:rsidR="00F25F1E" w:rsidRPr="002B229E" w:rsidRDefault="00F25F1E" w:rsidP="00F25F1E">
      <w:pPr>
        <w:rPr>
          <w:rFonts w:ascii="Arial" w:hAnsi="Arial" w:cs="Arial"/>
          <w:b/>
          <w:caps/>
          <w:color w:val="000000" w:themeColor="text1"/>
          <w:szCs w:val="28"/>
          <w:lang w:val="en-US"/>
        </w:rPr>
      </w:pPr>
      <w:r>
        <w:rPr>
          <w:rFonts w:ascii="Arial" w:hAnsi="Arial" w:cs="Arial"/>
          <w:b/>
          <w:caps/>
          <w:noProof/>
          <w:color w:val="000000" w:themeColor="text1"/>
          <w:szCs w:val="28"/>
          <w:lang w:eastAsia="zh-CN"/>
        </w:rPr>
        <w:drawing>
          <wp:inline distT="0" distB="0" distL="0" distR="0" wp14:anchorId="7F2F32D0" wp14:editId="50BD4EDF">
            <wp:extent cx="5102362" cy="4411989"/>
            <wp:effectExtent l="0" t="0" r="3175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S3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62" cy="441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1E" w:rsidRPr="002B229E" w:rsidRDefault="00F25F1E" w:rsidP="00F25F1E">
      <w:pPr>
        <w:pStyle w:val="Textkrpe"/>
        <w:tabs>
          <w:tab w:val="left" w:pos="2410"/>
        </w:tabs>
        <w:spacing w:line="360" w:lineRule="auto"/>
        <w:outlineLvl w:val="0"/>
        <w:rPr>
          <w:rFonts w:ascii="Arial" w:hAnsi="Arial" w:cs="Arial"/>
          <w:b/>
          <w:caps/>
          <w:color w:val="000000"/>
          <w:sz w:val="22"/>
          <w:szCs w:val="22"/>
          <w:lang w:val="en-US"/>
        </w:rPr>
      </w:pPr>
    </w:p>
    <w:p w:rsidR="00F25F1E" w:rsidRPr="002B229E" w:rsidRDefault="00F25F1E" w:rsidP="00F25F1E">
      <w:pPr>
        <w:pStyle w:val="Standa1"/>
        <w:tabs>
          <w:tab w:val="left" w:pos="2410"/>
        </w:tabs>
        <w:spacing w:line="360" w:lineRule="auto"/>
        <w:jc w:val="both"/>
        <w:outlineLvl w:val="0"/>
        <w:rPr>
          <w:rFonts w:ascii="Arial" w:hAnsi="Arial" w:cs="Arial"/>
          <w:sz w:val="22"/>
          <w:szCs w:val="22"/>
          <w:lang w:val="en-US"/>
        </w:rPr>
      </w:pPr>
      <w:r w:rsidRPr="002B229E">
        <w:rPr>
          <w:rFonts w:ascii="Arial" w:hAnsi="Arial" w:cs="Arial"/>
          <w:sz w:val="22"/>
          <w:szCs w:val="22"/>
          <w:lang w:val="en-US"/>
        </w:rPr>
        <w:t>FIGURE </w:t>
      </w:r>
      <w:r>
        <w:rPr>
          <w:rFonts w:ascii="Arial" w:hAnsi="Arial" w:cs="Arial"/>
          <w:sz w:val="22"/>
          <w:szCs w:val="22"/>
          <w:lang w:val="en-US"/>
        </w:rPr>
        <w:t>S5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. </w:t>
      </w:r>
      <w:r>
        <w:rPr>
          <w:rFonts w:ascii="Arial" w:hAnsi="Arial" w:cs="Arial"/>
          <w:b/>
          <w:sz w:val="22"/>
          <w:szCs w:val="22"/>
          <w:lang w:val="en-US"/>
        </w:rPr>
        <w:t xml:space="preserve">Surface properties of </w:t>
      </w:r>
      <w:r w:rsidRPr="00A02ED4">
        <w:rPr>
          <w:rFonts w:ascii="Arial" w:hAnsi="Arial" w:cs="Arial"/>
          <w:b/>
          <w:i/>
          <w:sz w:val="22"/>
          <w:szCs w:val="22"/>
          <w:lang w:val="en-US"/>
        </w:rPr>
        <w:t>Kp</w:t>
      </w:r>
      <w:r>
        <w:rPr>
          <w:rFonts w:ascii="Arial" w:hAnsi="Arial" w:cs="Arial"/>
          <w:b/>
          <w:sz w:val="22"/>
          <w:szCs w:val="22"/>
          <w:lang w:val="en-US"/>
        </w:rPr>
        <w:t>Flo A domains</w:t>
      </w:r>
      <w:r w:rsidRPr="002B229E">
        <w:rPr>
          <w:rFonts w:ascii="Arial" w:hAnsi="Arial" w:cs="Arial"/>
          <w:b/>
          <w:sz w:val="22"/>
          <w:szCs w:val="22"/>
          <w:lang w:val="en-US"/>
        </w:rPr>
        <w:t xml:space="preserve">. </w:t>
      </w:r>
      <w:r>
        <w:rPr>
          <w:rFonts w:ascii="Arial" w:hAnsi="Arial" w:cs="Arial"/>
          <w:i/>
          <w:sz w:val="22"/>
          <w:szCs w:val="22"/>
          <w:lang w:val="en-US"/>
        </w:rPr>
        <w:t>A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. The electrostatic surface of Cea1A </w:t>
      </w:r>
      <w:r>
        <w:rPr>
          <w:rFonts w:ascii="Arial" w:hAnsi="Arial" w:cs="Arial"/>
          <w:sz w:val="22"/>
          <w:szCs w:val="22"/>
          <w:lang w:val="en-US"/>
        </w:rPr>
        <w:t xml:space="preserve">(top) and KpFlo2A (bottom) </w:t>
      </w:r>
      <w:r w:rsidRPr="002B229E">
        <w:rPr>
          <w:rFonts w:ascii="Arial" w:hAnsi="Arial" w:cs="Arial"/>
          <w:sz w:val="22"/>
          <w:szCs w:val="22"/>
          <w:lang w:val="en-US"/>
        </w:rPr>
        <w:t>was generated by APBS at 0.15 </w:t>
      </w:r>
      <w:r>
        <w:rPr>
          <w:rFonts w:ascii="Arial" w:hAnsi="Arial" w:cs="Arial"/>
          <w:smallCaps/>
          <w:sz w:val="22"/>
          <w:szCs w:val="22"/>
          <w:lang w:val="en-US"/>
        </w:rPr>
        <w:t>M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2B229E">
        <w:rPr>
          <w:rFonts w:ascii="Arial" w:hAnsi="Arial" w:cs="Arial"/>
          <w:sz w:val="22"/>
          <w:szCs w:val="22"/>
          <w:lang w:val="en-US"/>
        </w:rPr>
        <w:t>NaCl</w:t>
      </w:r>
      <w:proofErr w:type="spellEnd"/>
      <w:r w:rsidRPr="002B229E">
        <w:rPr>
          <w:rFonts w:ascii="Arial" w:hAnsi="Arial" w:cs="Arial"/>
          <w:sz w:val="22"/>
          <w:szCs w:val="22"/>
          <w:lang w:val="en-US"/>
        </w:rPr>
        <w:t xml:space="preserve"> concentration </w:t>
      </w:r>
      <w:r w:rsidRPr="002B229E">
        <w:rPr>
          <w:rFonts w:ascii="Arial" w:hAnsi="Arial" w:cs="Arial"/>
          <w:sz w:val="22"/>
          <w:szCs w:val="22"/>
          <w:lang w:val="en-US"/>
        </w:rPr>
        <w:fldChar w:fldCharType="begin"/>
      </w:r>
      <w:r>
        <w:rPr>
          <w:rFonts w:ascii="Arial" w:hAnsi="Arial" w:cs="Arial"/>
          <w:sz w:val="22"/>
          <w:szCs w:val="22"/>
          <w:lang w:val="en-US"/>
        </w:rPr>
        <w:instrText xml:space="preserve"> ADDIN EN.CITE &lt;EndNote&gt;&lt;Cite&gt;&lt;Author&gt;Notredame&lt;/Author&gt;&lt;Year&gt;2000&lt;/Year&gt;&lt;RecNum&gt;33&lt;/RecNum&gt;&lt;DisplayText&gt;(20)&lt;/DisplayText&gt;&lt;record&gt;&lt;rec-number&gt;33&lt;/rec-number&gt;&lt;foreign-keys&gt;&lt;key app="EN" db-id="xstss0swdt9p2qevvpmpz9dsvr9vav5zserw" timestamp="1527852234"&gt;33&lt;/key&gt;&lt;/foreign-keys&gt;&lt;ref-type name="Journal Article"&gt;17&lt;/ref-type&gt;&lt;contributors&gt;&lt;authors&gt;&lt;author&gt;Notredame, Cédric&lt;/author&gt;&lt;author&gt;Higgins, Desmond G.&lt;/author&gt;&lt;author&gt;Heringa, Jaap&lt;/author&gt;&lt;/authors&gt;&lt;/contributors&gt;&lt;titles&gt;&lt;title&gt;T-coffee: a novel method for fast and accurate multiple sequence alignment&lt;/title&gt;&lt;secondary-title&gt;Journal of Molecular Biology&lt;/secondary-title&gt;&lt;/titles&gt;&lt;periodical&gt;&lt;full-title&gt;Journal of Molecular Biology&lt;/full-title&gt;&lt;/periodical&gt;&lt;pages&gt;205-217&lt;/pages&gt;&lt;volume&gt;302&lt;/volume&gt;&lt;number&gt;1&lt;/number&gt;&lt;keywords&gt;&lt;keyword&gt;pair-wise alignment&lt;/keyword&gt;&lt;keyword&gt;progressive alignment&lt;/keyword&gt;&lt;keyword&gt;local alignment&lt;/keyword&gt;&lt;keyword&gt;global alignment&lt;/keyword&gt;&lt;keyword&gt;multiple sequence alignment&lt;/keyword&gt;&lt;/keywords&gt;&lt;dates&gt;&lt;year&gt;2000&lt;/year&gt;&lt;pub-dates&gt;&lt;date&gt;9/8/&lt;/date&gt;&lt;/pub-dates&gt;&lt;/dates&gt;&lt;isbn&gt;0022-2836&lt;/isbn&gt;&lt;urls&gt;&lt;related-urls&gt;&lt;url&gt;http://www.sciencedirect.com/science/article/pii/S0022283600940427&lt;/url&gt;&lt;/related-urls&gt;&lt;/urls&gt;&lt;electronic-resource-num&gt;http://dx.doi.org/10.1006/jmbi.2000.4042&lt;/electronic-resource-num&gt;&lt;/record&gt;&lt;/Cite&gt;&lt;/EndNote&gt;</w:instrText>
      </w:r>
      <w:r w:rsidRPr="002B229E">
        <w:rPr>
          <w:rFonts w:ascii="Arial" w:hAnsi="Arial" w:cs="Arial"/>
          <w:sz w:val="22"/>
          <w:szCs w:val="22"/>
          <w:lang w:val="en-US"/>
        </w:rPr>
        <w:fldChar w:fldCharType="separate"/>
      </w:r>
      <w:r>
        <w:rPr>
          <w:rFonts w:ascii="Arial" w:hAnsi="Arial" w:cs="Arial"/>
          <w:noProof/>
          <w:sz w:val="22"/>
          <w:szCs w:val="22"/>
          <w:lang w:val="en-US"/>
        </w:rPr>
        <w:t>(20)</w:t>
      </w:r>
      <w:r w:rsidRPr="002B229E">
        <w:rPr>
          <w:rFonts w:ascii="Arial" w:hAnsi="Arial" w:cs="Arial"/>
          <w:sz w:val="22"/>
          <w:szCs w:val="22"/>
          <w:lang w:val="en-US"/>
        </w:rPr>
        <w:fldChar w:fldCharType="end"/>
      </w:r>
      <w:r w:rsidRPr="002B229E">
        <w:rPr>
          <w:rFonts w:ascii="Arial" w:hAnsi="Arial" w:cs="Arial"/>
          <w:sz w:val="22"/>
          <w:szCs w:val="22"/>
          <w:lang w:val="en-US"/>
        </w:rPr>
        <w:t xml:space="preserve">. In Cea1A, a patch of positively charged residues (blue) enclose the binding pocket (grey circle), whereas </w:t>
      </w:r>
      <w:r>
        <w:rPr>
          <w:rFonts w:ascii="Arial" w:hAnsi="Arial" w:cs="Arial"/>
          <w:sz w:val="22"/>
          <w:szCs w:val="22"/>
          <w:lang w:val="en-US"/>
        </w:rPr>
        <w:t xml:space="preserve">KpFlo2A carries </w:t>
      </w:r>
      <w:r w:rsidRPr="002B229E">
        <w:rPr>
          <w:rFonts w:ascii="Arial" w:hAnsi="Arial" w:cs="Arial"/>
          <w:sz w:val="22"/>
          <w:szCs w:val="22"/>
          <w:lang w:val="en-US"/>
        </w:rPr>
        <w:t>a negatively charged surface near the binding pocket</w:t>
      </w:r>
      <w:r w:rsidRPr="00A02ED4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like other fungal PA14/Flo5-like A domains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. </w:t>
      </w:r>
      <w:r>
        <w:rPr>
          <w:rFonts w:ascii="Arial" w:hAnsi="Arial" w:cs="Arial"/>
          <w:i/>
          <w:sz w:val="22"/>
          <w:szCs w:val="22"/>
          <w:lang w:val="en-US"/>
        </w:rPr>
        <w:t>B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. Conservation of surface properties of Cea1A. </w:t>
      </w:r>
      <w:r>
        <w:rPr>
          <w:rFonts w:ascii="Arial" w:hAnsi="Arial" w:cs="Arial"/>
          <w:sz w:val="22"/>
          <w:szCs w:val="22"/>
          <w:lang w:val="en-US"/>
        </w:rPr>
        <w:t>Structural models of Cea1A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 and the binding pocket (</w:t>
      </w:r>
      <w:r w:rsidRPr="00A02ED4">
        <w:rPr>
          <w:rFonts w:ascii="Arial" w:hAnsi="Arial" w:cs="Arial"/>
          <w:i/>
          <w:sz w:val="22"/>
          <w:szCs w:val="22"/>
          <w:lang w:val="en-US"/>
        </w:rPr>
        <w:t>C</w:t>
      </w:r>
      <w:r>
        <w:rPr>
          <w:rFonts w:ascii="Arial" w:hAnsi="Arial" w:cs="Arial"/>
          <w:sz w:val="22"/>
          <w:szCs w:val="22"/>
          <w:lang w:val="en-US"/>
        </w:rPr>
        <w:t>.</w:t>
      </w:r>
      <w:r w:rsidRPr="002B229E">
        <w:rPr>
          <w:rFonts w:ascii="Arial" w:hAnsi="Arial" w:cs="Arial"/>
          <w:sz w:val="22"/>
          <w:szCs w:val="22"/>
          <w:lang w:val="en-US"/>
        </w:rPr>
        <w:t>) depict conserve</w:t>
      </w:r>
      <w:r>
        <w:rPr>
          <w:rFonts w:ascii="Arial" w:hAnsi="Arial" w:cs="Arial"/>
          <w:sz w:val="22"/>
          <w:szCs w:val="22"/>
          <w:lang w:val="en-US"/>
        </w:rPr>
        <w:t>d and variable surface residues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 xml:space="preserve">according to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ConSurf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analysis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. The highest conservation is found </w:t>
      </w:r>
      <w:r>
        <w:rPr>
          <w:rFonts w:ascii="Arial" w:hAnsi="Arial" w:cs="Arial"/>
          <w:sz w:val="22"/>
          <w:szCs w:val="22"/>
          <w:lang w:val="en-US"/>
        </w:rPr>
        <w:t>for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 the D</w:t>
      </w:r>
      <w:r w:rsidRPr="002B229E">
        <w:rPr>
          <w:rFonts w:ascii="Arial" w:hAnsi="Arial" w:cs="Arial"/>
          <w:i/>
          <w:sz w:val="22"/>
          <w:szCs w:val="22"/>
          <w:lang w:val="en-US"/>
        </w:rPr>
        <w:t>cis</w:t>
      </w:r>
      <w:r w:rsidRPr="002B229E">
        <w:rPr>
          <w:rFonts w:ascii="Arial" w:hAnsi="Arial" w:cs="Arial"/>
          <w:sz w:val="22"/>
          <w:szCs w:val="22"/>
          <w:lang w:val="en-US"/>
        </w:rPr>
        <w:t xml:space="preserve">D-motif </w:t>
      </w:r>
      <w:r>
        <w:rPr>
          <w:rFonts w:ascii="Arial" w:hAnsi="Arial" w:cs="Arial"/>
          <w:sz w:val="22"/>
          <w:szCs w:val="22"/>
          <w:lang w:val="en-US"/>
        </w:rPr>
        <w:t xml:space="preserve">and </w:t>
      </w:r>
      <w:r w:rsidRPr="002B229E">
        <w:rPr>
          <w:rFonts w:ascii="Arial" w:hAnsi="Arial" w:cs="Arial"/>
          <w:sz w:val="22"/>
          <w:szCs w:val="22"/>
          <w:lang w:val="en-US"/>
        </w:rPr>
        <w:t>the two disulfide bridges.</w:t>
      </w:r>
    </w:p>
    <w:p w:rsidR="00F25F1E" w:rsidRDefault="00F25F1E" w:rsidP="00F25F1E">
      <w:pPr>
        <w:rPr>
          <w:rFonts w:ascii="Arial" w:eastAsia="Times" w:hAnsi="Arial" w:cs="Arial"/>
          <w:b/>
          <w:caps/>
          <w:color w:val="000000" w:themeColor="text1"/>
          <w:szCs w:val="28"/>
          <w:lang w:val="en-US" w:eastAsia="de-DE"/>
        </w:rPr>
      </w:pPr>
      <w:r>
        <w:rPr>
          <w:rFonts w:ascii="Arial" w:hAnsi="Arial" w:cs="Arial"/>
          <w:b/>
          <w:caps/>
          <w:color w:val="000000" w:themeColor="text1"/>
          <w:szCs w:val="28"/>
          <w:lang w:val="en-US"/>
        </w:rPr>
        <w:br w:type="page"/>
      </w:r>
    </w:p>
    <w:p w:rsidR="00F25F1E" w:rsidRPr="002B229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</w:pPr>
      <w:r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  <w:lastRenderedPageBreak/>
        <w:t xml:space="preserve">SUPPLEMENTARY </w:t>
      </w:r>
      <w:r w:rsidRPr="002B229E"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  <w:t xml:space="preserve">Figure </w:t>
      </w:r>
      <w:r>
        <w:rPr>
          <w:rFonts w:ascii="Arial" w:hAnsi="Arial" w:cs="Arial"/>
          <w:b/>
          <w:caps/>
          <w:color w:val="000000" w:themeColor="text1"/>
          <w:sz w:val="22"/>
          <w:szCs w:val="28"/>
          <w:lang w:val="en-US"/>
        </w:rPr>
        <w:t>6</w:t>
      </w:r>
    </w:p>
    <w:p w:rsidR="00F25F1E" w:rsidRPr="002B229E" w:rsidRDefault="00F25F1E" w:rsidP="00F25F1E">
      <w:pPr>
        <w:pStyle w:val="Standa1"/>
        <w:tabs>
          <w:tab w:val="left" w:pos="2410"/>
        </w:tabs>
        <w:jc w:val="both"/>
        <w:outlineLvl w:val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:rsidR="00F25F1E" w:rsidRPr="002B229E" w:rsidRDefault="00F25F1E" w:rsidP="00F25F1E">
      <w:pPr>
        <w:rPr>
          <w:rFonts w:ascii="Arial" w:hAnsi="Arial" w:cs="Arial"/>
          <w:b/>
          <w:caps/>
          <w:color w:val="000000" w:themeColor="text1"/>
          <w:szCs w:val="28"/>
          <w:lang w:val="en-US"/>
        </w:rPr>
      </w:pPr>
      <w:r>
        <w:rPr>
          <w:rFonts w:ascii="Arial" w:hAnsi="Arial" w:cs="Arial"/>
          <w:b/>
          <w:caps/>
          <w:noProof/>
          <w:color w:val="000000" w:themeColor="text1"/>
          <w:szCs w:val="28"/>
          <w:lang w:eastAsia="zh-CN"/>
        </w:rPr>
        <w:drawing>
          <wp:inline distT="0" distB="0" distL="0" distR="0" wp14:anchorId="09879DDA" wp14:editId="32BF69B2">
            <wp:extent cx="5731510" cy="2901315"/>
            <wp:effectExtent l="0" t="0" r="254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S4-01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1E" w:rsidRPr="002B229E" w:rsidRDefault="00F25F1E" w:rsidP="00F25F1E">
      <w:pPr>
        <w:pStyle w:val="Standa1"/>
        <w:tabs>
          <w:tab w:val="left" w:pos="2410"/>
        </w:tabs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>FIGURE 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S6</w:t>
      </w: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. </w:t>
      </w:r>
      <w:r w:rsidRPr="002B229E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 xml:space="preserve">Binding of GlcNAc by Cea1A </w:t>
      </w:r>
      <w:r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 xml:space="preserve">is specific and </w:t>
      </w:r>
      <w:r w:rsidRPr="002B229E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depends on Ca</w:t>
      </w:r>
      <w:r w:rsidRPr="002B229E">
        <w:rPr>
          <w:rFonts w:ascii="Arial" w:hAnsi="Arial" w:cs="Arial"/>
          <w:b/>
          <w:color w:val="000000" w:themeColor="text1"/>
          <w:sz w:val="22"/>
          <w:szCs w:val="22"/>
          <w:vertAlign w:val="superscript"/>
          <w:lang w:val="en-US"/>
        </w:rPr>
        <w:t>2+</w:t>
      </w:r>
      <w:r w:rsidRPr="002B229E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 xml:space="preserve">. </w:t>
      </w:r>
      <w:r>
        <w:rPr>
          <w:rFonts w:ascii="Arial" w:hAnsi="Arial" w:cs="Arial"/>
          <w:i/>
          <w:color w:val="000000" w:themeColor="text1"/>
          <w:sz w:val="22"/>
          <w:szCs w:val="22"/>
          <w:lang w:val="en-US"/>
        </w:rPr>
        <w:t>A</w:t>
      </w: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Unlike GlcNAc, g</w:t>
      </w: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lucose, glucosamine and </w:t>
      </w:r>
      <w:r w:rsidRPr="002B229E">
        <w:rPr>
          <w:rFonts w:ascii="Arial" w:hAnsi="Arial" w:cs="Arial"/>
          <w:i/>
          <w:color w:val="000000" w:themeColor="text1"/>
          <w:sz w:val="22"/>
          <w:szCs w:val="22"/>
          <w:lang w:val="en-US"/>
        </w:rPr>
        <w:t>N</w:t>
      </w: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>-</w:t>
      </w:r>
      <w:proofErr w:type="spellStart"/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>acetylneurami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ni</w:t>
      </w: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>c</w:t>
      </w:r>
      <w:proofErr w:type="spellEnd"/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acid (Neu5Ac)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fail to</w:t>
      </w: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bi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nd to Cea1A under ITC conditions  when using stock concentrations of 5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n-US"/>
        </w:rPr>
        <w:t>mM</w:t>
      </w: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>.</w:t>
      </w:r>
      <w:proofErr w:type="spellEnd"/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The upper part shows the values of the heats released in response to single injections, while integration of each peak and corresponding fits to a one-site binding model are depicted as curves in the diagram below.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Pr="00FA0B6F">
        <w:rPr>
          <w:rFonts w:ascii="Arial" w:hAnsi="Arial" w:cs="Arial"/>
          <w:i/>
          <w:color w:val="000000" w:themeColor="text1"/>
          <w:sz w:val="22"/>
          <w:szCs w:val="22"/>
          <w:lang w:val="en-US"/>
        </w:rPr>
        <w:t>B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. Titration of 500 µM Cea1A/Δ291-299 using a 40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n-US"/>
        </w:rPr>
        <w:t>mM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stock of glucose for injections. </w:t>
      </w:r>
      <w:r>
        <w:rPr>
          <w:rFonts w:ascii="Arial" w:hAnsi="Arial" w:cs="Arial"/>
          <w:i/>
          <w:color w:val="000000" w:themeColor="text1"/>
          <w:sz w:val="22"/>
          <w:szCs w:val="22"/>
          <w:lang w:val="en-US"/>
        </w:rPr>
        <w:t>C</w:t>
      </w: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Titration</w:t>
      </w: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of </w:t>
      </w: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450 µM Cea1A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using 5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n-US"/>
        </w:rPr>
        <w:t>mM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EDTA as added stock </w:t>
      </w: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effectively ablates binding to GlcNAc in isothermal titration calorimetry (ITC) analysis.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S</w:t>
      </w: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mall peaks visible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for the first three injections may indicate</w:t>
      </w: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that Ca</w:t>
      </w:r>
      <w:r w:rsidRPr="002B229E">
        <w:rPr>
          <w:rFonts w:ascii="Arial" w:hAnsi="Arial" w:cs="Arial"/>
          <w:color w:val="000000" w:themeColor="text1"/>
          <w:sz w:val="22"/>
          <w:szCs w:val="22"/>
          <w:vertAlign w:val="superscript"/>
          <w:lang w:val="en-US"/>
        </w:rPr>
        <w:t>2+</w:t>
      </w: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removal</w:t>
      </w: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from the binding pocket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is incomplete</w:t>
      </w:r>
      <w:r w:rsidRPr="002B229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D. Fluorescence titration of 11.5 µM Cea1A/Δ291-299 with glucose using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n-US"/>
        </w:rPr>
        <w:t>λ</w:t>
      </w:r>
      <w:r w:rsidRPr="00871203">
        <w:rPr>
          <w:rFonts w:ascii="Arial" w:hAnsi="Arial" w:cs="Arial"/>
          <w:color w:val="000000" w:themeColor="text1"/>
          <w:sz w:val="22"/>
          <w:szCs w:val="22"/>
          <w:vertAlign w:val="subscript"/>
          <w:lang w:val="en-US"/>
        </w:rPr>
        <w:t>exc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=280 nm and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n-US"/>
        </w:rPr>
        <w:t>λ</w:t>
      </w:r>
      <w:r w:rsidRPr="00871203">
        <w:rPr>
          <w:rFonts w:ascii="Arial" w:hAnsi="Arial" w:cs="Arial"/>
          <w:color w:val="000000" w:themeColor="text1"/>
          <w:sz w:val="22"/>
          <w:szCs w:val="22"/>
          <w:vertAlign w:val="subscript"/>
          <w:lang w:val="en-US"/>
        </w:rPr>
        <w:t>em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n-US"/>
        </w:rPr>
        <w:t>=295 nm for recording of triplicates.</w:t>
      </w:r>
    </w:p>
    <w:p w:rsidR="00F42ECC" w:rsidRPr="00F25F1E" w:rsidRDefault="00F42ECC">
      <w:pPr>
        <w:rPr>
          <w:lang w:val="en-US"/>
        </w:rPr>
      </w:pPr>
      <w:bookmarkStart w:id="0" w:name="_GoBack"/>
      <w:bookmarkEnd w:id="0"/>
    </w:p>
    <w:sectPr w:rsidR="00F42ECC" w:rsidRPr="00F25F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F1E"/>
    <w:rsid w:val="00F25F1E"/>
    <w:rsid w:val="00F4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9D1D6B-6CFC-40E5-8FDD-BD1F0225F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25F1E"/>
    <w:rPr>
      <w:rFonts w:eastAsiaTheme="minorHAns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krpe">
    <w:name w:val="Textk_rpe"/>
    <w:basedOn w:val="Standard"/>
    <w:qFormat/>
    <w:rsid w:val="00F25F1E"/>
    <w:pPr>
      <w:spacing w:after="0" w:line="480" w:lineRule="auto"/>
      <w:jc w:val="both"/>
    </w:pPr>
    <w:rPr>
      <w:rFonts w:ascii="Times New Roman" w:eastAsia="Times" w:hAnsi="Times New Roman" w:cs="Times New Roman"/>
      <w:sz w:val="24"/>
      <w:szCs w:val="20"/>
      <w:lang w:eastAsia="de-DE"/>
    </w:rPr>
  </w:style>
  <w:style w:type="paragraph" w:customStyle="1" w:styleId="Standa1">
    <w:name w:val="Standa1"/>
    <w:link w:val="Standa1Zchn"/>
    <w:uiPriority w:val="99"/>
    <w:rsid w:val="00F25F1E"/>
    <w:pPr>
      <w:spacing w:after="0" w:line="240" w:lineRule="auto"/>
    </w:pPr>
    <w:rPr>
      <w:rFonts w:ascii="Times" w:eastAsia="Times" w:hAnsi="Times" w:cs="Times New Roman"/>
      <w:sz w:val="24"/>
      <w:szCs w:val="20"/>
      <w:lang w:val="de-DE" w:eastAsia="de-DE"/>
    </w:rPr>
  </w:style>
  <w:style w:type="character" w:customStyle="1" w:styleId="Standa1Zchn">
    <w:name w:val="Standa1 Zchn"/>
    <w:basedOn w:val="Absatz-Standardschriftart"/>
    <w:link w:val="Standa1"/>
    <w:uiPriority w:val="99"/>
    <w:rsid w:val="00F25F1E"/>
    <w:rPr>
      <w:rFonts w:ascii="Times" w:eastAsia="Times" w:hAnsi="Times" w:cs="Times New Roman"/>
      <w:sz w:val="24"/>
      <w:szCs w:val="20"/>
      <w:lang w:val="de-DE" w:eastAsia="de-DE"/>
    </w:rPr>
  </w:style>
  <w:style w:type="paragraph" w:styleId="Beschriftung">
    <w:name w:val="caption"/>
    <w:basedOn w:val="Standard"/>
    <w:qFormat/>
    <w:rsid w:val="00F25F1E"/>
    <w:pPr>
      <w:suppressLineNumbers/>
      <w:overflowPunct w:val="0"/>
      <w:spacing w:before="120" w:after="120"/>
    </w:pPr>
    <w:rPr>
      <w:rFonts w:ascii="Calibri" w:eastAsia="PMingLiU" w:hAnsi="Calibri" w:cs="Lohit Devanagari"/>
      <w:i/>
      <w:iCs/>
      <w:color w:val="00000A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Lars-Oliver Essen</dc:creator>
  <cp:keywords/>
  <dc:description/>
  <cp:lastModifiedBy>Lars-Oliver Essen</cp:lastModifiedBy>
  <cp:revision>1</cp:revision>
  <dcterms:created xsi:type="dcterms:W3CDTF">2018-07-07T03:59:00Z</dcterms:created>
  <dcterms:modified xsi:type="dcterms:W3CDTF">2018-07-07T03:59:00Z</dcterms:modified>
</cp:coreProperties>
</file>