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0C5F3" w14:textId="77777777" w:rsidR="00EF037E" w:rsidRPr="000D1988" w:rsidRDefault="00EC0815" w:rsidP="006A0945">
      <w:pPr>
        <w:pStyle w:val="Title"/>
        <w:spacing w:line="360" w:lineRule="auto"/>
        <w:outlineLvl w:val="0"/>
        <w:rPr>
          <w:rFonts w:eastAsia="Times New Roman"/>
          <w:i/>
          <w:noProof/>
          <w:szCs w:val="24"/>
        </w:rPr>
      </w:pPr>
      <w:r w:rsidRPr="000D1988">
        <w:rPr>
          <w:rFonts w:eastAsia="Times New Roman"/>
          <w:i/>
          <w:noProof/>
          <w:szCs w:val="24"/>
        </w:rPr>
        <w:t>Supplementary Material</w:t>
      </w:r>
    </w:p>
    <w:p w14:paraId="21B6F09E" w14:textId="77777777" w:rsidR="002868E2" w:rsidRPr="000D1988" w:rsidRDefault="008C6A36" w:rsidP="00451452">
      <w:pPr>
        <w:pStyle w:val="Title"/>
        <w:spacing w:line="360" w:lineRule="auto"/>
        <w:rPr>
          <w:rFonts w:eastAsia="Times New Roman"/>
          <w:noProof/>
          <w:szCs w:val="24"/>
        </w:rPr>
      </w:pPr>
      <w:r w:rsidRPr="000D1988">
        <w:rPr>
          <w:rFonts w:eastAsia="Times New Roman"/>
          <w:noProof/>
          <w:szCs w:val="24"/>
        </w:rPr>
        <w:t xml:space="preserve">Next-generation sequencing based HLA typing: deciphering </w:t>
      </w:r>
      <w:bookmarkStart w:id="0" w:name="_GoBack"/>
      <w:bookmarkEnd w:id="0"/>
      <w:r w:rsidR="008922D1" w:rsidRPr="000D1988">
        <w:rPr>
          <w:rFonts w:eastAsia="Times New Roman"/>
          <w:noProof/>
          <w:szCs w:val="24"/>
        </w:rPr>
        <w:t xml:space="preserve">immunogenetic </w:t>
      </w:r>
      <w:r w:rsidRPr="000D1988">
        <w:rPr>
          <w:rFonts w:eastAsia="Times New Roman"/>
          <w:noProof/>
          <w:szCs w:val="24"/>
        </w:rPr>
        <w:t xml:space="preserve">aspects of sarcoidosis </w:t>
      </w:r>
    </w:p>
    <w:p w14:paraId="0239A243" w14:textId="77777777" w:rsidR="008C6A36" w:rsidRPr="000D1988" w:rsidRDefault="008C6A36" w:rsidP="00451452">
      <w:pPr>
        <w:spacing w:line="360" w:lineRule="auto"/>
      </w:pPr>
    </w:p>
    <w:p w14:paraId="7812950A" w14:textId="77777777" w:rsidR="002868E2" w:rsidRPr="000D1988" w:rsidRDefault="00110C1C" w:rsidP="006A0945">
      <w:pPr>
        <w:pStyle w:val="AuthorList"/>
        <w:spacing w:line="360" w:lineRule="auto"/>
        <w:outlineLvl w:val="0"/>
        <w:rPr>
          <w:vertAlign w:val="superscript"/>
        </w:rPr>
      </w:pPr>
      <w:r w:rsidRPr="000D1988">
        <w:t>Amit Kishore</w:t>
      </w:r>
      <w:r w:rsidR="00A75F87" w:rsidRPr="000D1988">
        <w:rPr>
          <w:vertAlign w:val="superscript"/>
        </w:rPr>
        <w:t>1</w:t>
      </w:r>
      <w:r w:rsidR="002868E2" w:rsidRPr="000D1988">
        <w:t xml:space="preserve">, </w:t>
      </w:r>
      <w:r w:rsidRPr="000D1988">
        <w:t>Martin Petrek</w:t>
      </w:r>
      <w:r w:rsidR="008C6B2B" w:rsidRPr="000D1988">
        <w:rPr>
          <w:vertAlign w:val="superscript"/>
        </w:rPr>
        <w:t>1</w:t>
      </w:r>
      <w:r w:rsidR="00281667" w:rsidRPr="000D1988">
        <w:rPr>
          <w:vertAlign w:val="superscript"/>
        </w:rPr>
        <w:t>*</w:t>
      </w:r>
    </w:p>
    <w:p w14:paraId="7BECA362" w14:textId="77777777" w:rsidR="008C6A36" w:rsidRPr="000D1988" w:rsidRDefault="008C6A36" w:rsidP="00451452">
      <w:pPr>
        <w:spacing w:line="360" w:lineRule="auto"/>
      </w:pPr>
    </w:p>
    <w:p w14:paraId="4044D605" w14:textId="77777777" w:rsidR="002868E2" w:rsidRPr="000D1988" w:rsidRDefault="002868E2" w:rsidP="00451452">
      <w:pPr>
        <w:spacing w:before="240" w:after="0" w:line="360" w:lineRule="auto"/>
        <w:rPr>
          <w:rFonts w:cs="Times New Roman"/>
          <w:b/>
          <w:szCs w:val="24"/>
        </w:rPr>
      </w:pPr>
      <w:r w:rsidRPr="000D1988">
        <w:rPr>
          <w:rFonts w:cs="Times New Roman"/>
          <w:szCs w:val="24"/>
          <w:vertAlign w:val="superscript"/>
        </w:rPr>
        <w:t>1</w:t>
      </w:r>
      <w:r w:rsidR="00C43133" w:rsidRPr="000D1988">
        <w:rPr>
          <w:rFonts w:cs="Times New Roman"/>
          <w:szCs w:val="24"/>
        </w:rPr>
        <w:t xml:space="preserve">Department of Pathological Physiology, Faculty of Medicine and Dentistry, </w:t>
      </w:r>
      <w:proofErr w:type="spellStart"/>
      <w:r w:rsidR="00C43133" w:rsidRPr="000D1988">
        <w:rPr>
          <w:rFonts w:cs="Times New Roman"/>
          <w:szCs w:val="24"/>
        </w:rPr>
        <w:t>Palacky</w:t>
      </w:r>
      <w:proofErr w:type="spellEnd"/>
      <w:r w:rsidR="00C43133" w:rsidRPr="000D1988">
        <w:rPr>
          <w:rFonts w:cs="Times New Roman"/>
          <w:szCs w:val="24"/>
        </w:rPr>
        <w:t xml:space="preserve"> University, Olomouc 77515, Czech Republic</w:t>
      </w:r>
    </w:p>
    <w:p w14:paraId="2BD35B8E" w14:textId="77777777" w:rsidR="008C6A36" w:rsidRPr="000D1988" w:rsidRDefault="008C6A36" w:rsidP="00451452">
      <w:pPr>
        <w:spacing w:after="0" w:line="360" w:lineRule="auto"/>
        <w:rPr>
          <w:rFonts w:cs="Times New Roman"/>
          <w:szCs w:val="24"/>
          <w:vertAlign w:val="superscript"/>
        </w:rPr>
      </w:pPr>
    </w:p>
    <w:p w14:paraId="666C12FA" w14:textId="77777777" w:rsidR="002868E2" w:rsidRPr="000D1988" w:rsidRDefault="002868E2" w:rsidP="00451452">
      <w:pPr>
        <w:spacing w:before="240" w:after="0" w:line="360" w:lineRule="auto"/>
        <w:rPr>
          <w:rFonts w:cs="Times New Roman"/>
          <w:szCs w:val="24"/>
        </w:rPr>
      </w:pPr>
      <w:r w:rsidRPr="000D1988">
        <w:rPr>
          <w:rFonts w:cs="Times New Roman"/>
          <w:b/>
          <w:szCs w:val="24"/>
        </w:rPr>
        <w:t xml:space="preserve">* Correspondence: </w:t>
      </w:r>
      <w:r w:rsidR="00671D9A" w:rsidRPr="000D1988">
        <w:rPr>
          <w:rFonts w:cs="Times New Roman"/>
          <w:b/>
          <w:szCs w:val="24"/>
        </w:rPr>
        <w:br/>
      </w:r>
      <w:r w:rsidR="00CA1447" w:rsidRPr="000D1988">
        <w:t xml:space="preserve">Martin </w:t>
      </w:r>
      <w:proofErr w:type="spellStart"/>
      <w:r w:rsidR="00CA1447" w:rsidRPr="000D1988">
        <w:t>Petrek</w:t>
      </w:r>
      <w:proofErr w:type="spellEnd"/>
      <w:r w:rsidR="00671D9A" w:rsidRPr="000D1988">
        <w:rPr>
          <w:rFonts w:cs="Times New Roman"/>
          <w:szCs w:val="24"/>
        </w:rPr>
        <w:br/>
      </w:r>
      <w:hyperlink r:id="rId8" w:history="1">
        <w:r w:rsidR="00CA1447" w:rsidRPr="000D1988">
          <w:rPr>
            <w:rStyle w:val="Hyperlink"/>
            <w:rFonts w:cs="Times New Roman"/>
            <w:szCs w:val="24"/>
          </w:rPr>
          <w:t>martin.petrek@fnol.cz</w:t>
        </w:r>
      </w:hyperlink>
    </w:p>
    <w:p w14:paraId="5B20EA18" w14:textId="77777777" w:rsidR="008C6A36" w:rsidRPr="000D1988" w:rsidRDefault="008C6A36" w:rsidP="00671D9A">
      <w:pPr>
        <w:spacing w:before="240" w:after="0"/>
        <w:rPr>
          <w:rFonts w:cs="Times New Roman"/>
          <w:b/>
          <w:szCs w:val="24"/>
        </w:rPr>
      </w:pPr>
    </w:p>
    <w:p w14:paraId="18C17C6E" w14:textId="77777777" w:rsidR="008C6B2B" w:rsidRPr="000D1988" w:rsidRDefault="008C6B2B" w:rsidP="00651CA2">
      <w:pPr>
        <w:pStyle w:val="AuthorList"/>
      </w:pPr>
    </w:p>
    <w:p w14:paraId="51CF360B" w14:textId="77777777" w:rsidR="008C6B2B" w:rsidRPr="000D1988" w:rsidRDefault="008C6B2B" w:rsidP="00651CA2">
      <w:pPr>
        <w:pStyle w:val="AuthorList"/>
      </w:pPr>
    </w:p>
    <w:p w14:paraId="155912AC" w14:textId="77777777" w:rsidR="008C6B2B" w:rsidRPr="000D1988" w:rsidRDefault="008C6B2B" w:rsidP="00651CA2">
      <w:pPr>
        <w:pStyle w:val="AuthorList"/>
      </w:pPr>
    </w:p>
    <w:p w14:paraId="152E1FB0" w14:textId="77777777" w:rsidR="008C6B2B" w:rsidRPr="000D1988" w:rsidRDefault="008C6B2B" w:rsidP="00651CA2">
      <w:pPr>
        <w:pStyle w:val="AuthorList"/>
      </w:pPr>
    </w:p>
    <w:p w14:paraId="25825631" w14:textId="77777777" w:rsidR="008C6B2B" w:rsidRPr="000D1988" w:rsidRDefault="008C6B2B" w:rsidP="00651CA2">
      <w:pPr>
        <w:pStyle w:val="AuthorList"/>
      </w:pPr>
    </w:p>
    <w:p w14:paraId="14315292" w14:textId="77777777" w:rsidR="008C6B2B" w:rsidRPr="000D1988" w:rsidRDefault="008C6B2B" w:rsidP="00651CA2">
      <w:pPr>
        <w:pStyle w:val="AuthorList"/>
      </w:pPr>
    </w:p>
    <w:p w14:paraId="43396A6E" w14:textId="77777777" w:rsidR="008C6B2B" w:rsidRPr="000D1988" w:rsidRDefault="008C6B2B" w:rsidP="00651CA2">
      <w:pPr>
        <w:pStyle w:val="AuthorList"/>
      </w:pPr>
    </w:p>
    <w:p w14:paraId="0CB4CB11" w14:textId="77777777" w:rsidR="008C6B2B" w:rsidRPr="000D1988" w:rsidRDefault="008C6B2B" w:rsidP="00651CA2">
      <w:pPr>
        <w:pStyle w:val="AuthorList"/>
      </w:pPr>
    </w:p>
    <w:p w14:paraId="0EDEFB22" w14:textId="77777777" w:rsidR="00EC1401" w:rsidRPr="000D1988" w:rsidRDefault="00EC1401" w:rsidP="00EC1401"/>
    <w:p w14:paraId="1B55046C" w14:textId="77777777" w:rsidR="00EC1401" w:rsidRPr="000D1988" w:rsidRDefault="00EC1401" w:rsidP="00EC1401"/>
    <w:p w14:paraId="1353769B" w14:textId="2F092B95" w:rsidR="00DC2BE9" w:rsidRPr="000D1988" w:rsidRDefault="00DC2BE9" w:rsidP="00196DDA">
      <w:pPr>
        <w:spacing w:after="120" w:line="360" w:lineRule="auto"/>
        <w:outlineLvl w:val="0"/>
        <w:rPr>
          <w:rFonts w:eastAsia="Times New Roman" w:cs="Times New Roman"/>
          <w:b/>
          <w:noProof/>
          <w:szCs w:val="24"/>
          <w:u w:val="single"/>
        </w:rPr>
      </w:pPr>
      <w:r w:rsidRPr="000D1988">
        <w:rPr>
          <w:rFonts w:eastAsia="Times New Roman" w:cs="Times New Roman"/>
          <w:b/>
          <w:noProof/>
          <w:szCs w:val="24"/>
          <w:u w:val="single"/>
        </w:rPr>
        <w:lastRenderedPageBreak/>
        <w:t>A</w:t>
      </w:r>
      <w:r w:rsidR="00DA328E" w:rsidRPr="000D1988">
        <w:rPr>
          <w:rFonts w:eastAsia="Times New Roman" w:cs="Times New Roman"/>
          <w:b/>
          <w:noProof/>
          <w:szCs w:val="24"/>
          <w:u w:val="single"/>
        </w:rPr>
        <w:t>ppendix</w:t>
      </w:r>
      <w:r w:rsidRPr="000D1988">
        <w:rPr>
          <w:rFonts w:eastAsia="Times New Roman" w:cs="Times New Roman"/>
          <w:b/>
          <w:noProof/>
          <w:szCs w:val="24"/>
          <w:u w:val="single"/>
        </w:rPr>
        <w:t xml:space="preserve"> S1: </w:t>
      </w:r>
    </w:p>
    <w:p w14:paraId="537F14AA" w14:textId="41319B50" w:rsidR="00196DDA" w:rsidRPr="000D1988" w:rsidRDefault="00F23AAC" w:rsidP="00196DDA">
      <w:pPr>
        <w:spacing w:after="120" w:line="360" w:lineRule="auto"/>
        <w:outlineLvl w:val="0"/>
        <w:rPr>
          <w:rFonts w:eastAsia="Times New Roman" w:cs="Times New Roman"/>
          <w:b/>
          <w:noProof/>
          <w:szCs w:val="24"/>
        </w:rPr>
      </w:pPr>
      <w:r w:rsidRPr="000D1988">
        <w:rPr>
          <w:rFonts w:eastAsia="Times New Roman" w:cs="Times New Roman"/>
          <w:b/>
          <w:noProof/>
          <w:szCs w:val="24"/>
        </w:rPr>
        <w:t>L</w:t>
      </w:r>
      <w:r w:rsidR="00196DDA" w:rsidRPr="000D1988">
        <w:rPr>
          <w:rFonts w:eastAsia="Times New Roman" w:cs="Times New Roman"/>
          <w:b/>
          <w:noProof/>
          <w:szCs w:val="24"/>
        </w:rPr>
        <w:t>imitat</w:t>
      </w:r>
      <w:r w:rsidR="001E4BA5" w:rsidRPr="000D1988">
        <w:rPr>
          <w:rFonts w:eastAsia="Times New Roman" w:cs="Times New Roman"/>
          <w:b/>
          <w:noProof/>
          <w:szCs w:val="24"/>
        </w:rPr>
        <w:t>ions of Next-generation Sequenci</w:t>
      </w:r>
      <w:r w:rsidR="00196DDA" w:rsidRPr="000D1988">
        <w:rPr>
          <w:rFonts w:eastAsia="Times New Roman" w:cs="Times New Roman"/>
          <w:b/>
          <w:noProof/>
          <w:szCs w:val="24"/>
        </w:rPr>
        <w:t>ng</w:t>
      </w:r>
    </w:p>
    <w:p w14:paraId="4D489A98" w14:textId="718B933A" w:rsidR="00196DDA" w:rsidRPr="000D1988" w:rsidRDefault="00196DDA" w:rsidP="00196DDA">
      <w:pPr>
        <w:spacing w:after="120" w:line="360" w:lineRule="auto"/>
        <w:jc w:val="both"/>
        <w:rPr>
          <w:rFonts w:eastAsia="Times New Roman" w:cs="Times New Roman"/>
          <w:noProof/>
          <w:szCs w:val="24"/>
        </w:rPr>
      </w:pPr>
      <w:r w:rsidRPr="000D1988">
        <w:rPr>
          <w:rFonts w:eastAsia="Times New Roman" w:cs="Times New Roman"/>
          <w:noProof/>
          <w:szCs w:val="24"/>
        </w:rPr>
        <w:t xml:space="preserve">Although unambiguous typing is ‘the gold standard’ for HLA typing, there are several drawbacks to this approach: (i) Cost of the instrument (for example, US$ 80000 for Ion Torrent PGM, US$ 690000 for HiSeq 2000, and US$ 695000 for PacBio); and the cost to type a sample </w:t>
      </w:r>
      <w:r w:rsidR="00312819" w:rsidRPr="000D1988">
        <w:rPr>
          <w:rFonts w:eastAsia="Times New Roman" w:cs="Times New Roman"/>
          <w:noProof/>
          <w:szCs w:val="24"/>
        </w:rPr>
        <w:t>(</w:t>
      </w:r>
      <w:r w:rsidRPr="000D1988">
        <w:rPr>
          <w:rFonts w:eastAsia="Times New Roman" w:cs="Times New Roman"/>
          <w:noProof/>
          <w:szCs w:val="24"/>
        </w:rPr>
        <w:t xml:space="preserve">US$ </w:t>
      </w:r>
      <w:r w:rsidR="00913A39" w:rsidRPr="000D1988">
        <w:rPr>
          <w:rFonts w:eastAsia="Times New Roman" w:cs="Times New Roman"/>
          <w:noProof/>
          <w:szCs w:val="24"/>
        </w:rPr>
        <w:t>35</w:t>
      </w:r>
      <w:r w:rsidRPr="000D1988">
        <w:rPr>
          <w:rFonts w:eastAsia="Times New Roman" w:cs="Times New Roman"/>
          <w:noProof/>
          <w:szCs w:val="24"/>
        </w:rPr>
        <w:t xml:space="preserve">0 </w:t>
      </w:r>
      <w:r w:rsidR="00913A39" w:rsidRPr="000D1988">
        <w:rPr>
          <w:rFonts w:eastAsia="Times New Roman" w:cs="Times New Roman"/>
          <w:noProof/>
          <w:szCs w:val="24"/>
        </w:rPr>
        <w:t>for Ion Torrent PGM, US$ 6000 for HiSeq 2000, and US$ 300 for PacBio</w:t>
      </w:r>
      <w:r w:rsidR="00312819" w:rsidRPr="000D1988">
        <w:rPr>
          <w:rFonts w:eastAsia="Times New Roman" w:cs="Times New Roman"/>
          <w:noProof/>
          <w:szCs w:val="24"/>
        </w:rPr>
        <w:t xml:space="preserve">) and/or </w:t>
      </w:r>
      <w:r w:rsidR="00D0028C" w:rsidRPr="000D1988">
        <w:rPr>
          <w:rFonts w:eastAsia="Times New Roman" w:cs="Times New Roman"/>
          <w:noProof/>
          <w:szCs w:val="24"/>
        </w:rPr>
        <w:t>HLA specific typing kit</w:t>
      </w:r>
      <w:r w:rsidR="00D21BDB" w:rsidRPr="000D1988">
        <w:rPr>
          <w:rFonts w:eastAsia="Times New Roman" w:cs="Times New Roman"/>
          <w:noProof/>
          <w:szCs w:val="24"/>
        </w:rPr>
        <w:t>s</w:t>
      </w:r>
      <w:r w:rsidR="00D0028C" w:rsidRPr="000D1988">
        <w:rPr>
          <w:rFonts w:eastAsia="Times New Roman" w:cs="Times New Roman"/>
          <w:noProof/>
          <w:szCs w:val="24"/>
        </w:rPr>
        <w:t xml:space="preserve"> and software</w:t>
      </w:r>
      <w:r w:rsidRPr="000D1988">
        <w:rPr>
          <w:rFonts w:eastAsia="Times New Roman" w:cs="Times New Roman"/>
          <w:noProof/>
          <w:szCs w:val="24"/>
        </w:rPr>
        <w:t>. (ii) Time consuming</w:t>
      </w:r>
      <w:r w:rsidR="00EF4012" w:rsidRPr="000D1988">
        <w:rPr>
          <w:rFonts w:eastAsia="Times New Roman" w:cs="Times New Roman"/>
          <w:noProof/>
          <w:szCs w:val="24"/>
        </w:rPr>
        <w:t>, particular</w:t>
      </w:r>
      <w:r w:rsidR="00996803" w:rsidRPr="000D1988">
        <w:rPr>
          <w:rFonts w:eastAsia="Times New Roman" w:cs="Times New Roman"/>
          <w:noProof/>
          <w:szCs w:val="24"/>
        </w:rPr>
        <w:t>l</w:t>
      </w:r>
      <w:r w:rsidR="00EF4012" w:rsidRPr="000D1988">
        <w:rPr>
          <w:rFonts w:eastAsia="Times New Roman" w:cs="Times New Roman"/>
          <w:noProof/>
          <w:szCs w:val="24"/>
        </w:rPr>
        <w:t>y</w:t>
      </w:r>
      <w:r w:rsidRPr="000D1988">
        <w:rPr>
          <w:rFonts w:eastAsia="Times New Roman" w:cs="Times New Roman"/>
          <w:noProof/>
          <w:szCs w:val="24"/>
        </w:rPr>
        <w:t xml:space="preserve"> for platforms with higher accuracy results; for examples, it may take up</w:t>
      </w:r>
      <w:r w:rsidR="00312819" w:rsidRPr="000D1988">
        <w:rPr>
          <w:rFonts w:eastAsia="Times New Roman" w:cs="Times New Roman"/>
          <w:noProof/>
          <w:szCs w:val="24"/>
        </w:rPr>
        <w:t xml:space="preserve"> </w:t>
      </w:r>
      <w:r w:rsidRPr="000D1988">
        <w:rPr>
          <w:rFonts w:eastAsia="Times New Roman" w:cs="Times New Roman"/>
          <w:noProof/>
          <w:szCs w:val="24"/>
        </w:rPr>
        <w:t xml:space="preserve">to 10 days to sequence the samples </w:t>
      </w:r>
      <w:r w:rsidR="004F2FE4" w:rsidRPr="000D1988">
        <w:rPr>
          <w:rFonts w:eastAsia="Times New Roman" w:cs="Times New Roman"/>
          <w:noProof/>
          <w:szCs w:val="24"/>
        </w:rPr>
        <w:t>usi</w:t>
      </w:r>
      <w:r w:rsidR="00EF4012" w:rsidRPr="000D1988">
        <w:rPr>
          <w:rFonts w:eastAsia="Times New Roman" w:cs="Times New Roman"/>
          <w:noProof/>
          <w:szCs w:val="24"/>
        </w:rPr>
        <w:t>ng</w:t>
      </w:r>
      <w:r w:rsidRPr="000D1988">
        <w:rPr>
          <w:rFonts w:eastAsia="Times New Roman" w:cs="Times New Roman"/>
          <w:noProof/>
          <w:szCs w:val="24"/>
        </w:rPr>
        <w:t xml:space="preserve"> HiSeq 2000. (iii) Technical expertise</w:t>
      </w:r>
      <w:r w:rsidR="00EF4012" w:rsidRPr="000D1988">
        <w:rPr>
          <w:rFonts w:eastAsia="Times New Roman" w:cs="Times New Roman"/>
          <w:noProof/>
          <w:szCs w:val="24"/>
        </w:rPr>
        <w:t xml:space="preserve"> is required for</w:t>
      </w:r>
      <w:r w:rsidRPr="000D1988">
        <w:rPr>
          <w:rFonts w:eastAsia="Times New Roman" w:cs="Times New Roman"/>
          <w:noProof/>
          <w:szCs w:val="24"/>
        </w:rPr>
        <w:t xml:space="preserve"> </w:t>
      </w:r>
      <w:r w:rsidR="00EF4012" w:rsidRPr="000D1988">
        <w:rPr>
          <w:rFonts w:eastAsia="Times New Roman" w:cs="Times New Roman"/>
          <w:noProof/>
          <w:szCs w:val="24"/>
        </w:rPr>
        <w:t xml:space="preserve">the </w:t>
      </w:r>
      <w:r w:rsidRPr="000D1988">
        <w:rPr>
          <w:rFonts w:eastAsia="Times New Roman" w:cs="Times New Roman"/>
          <w:noProof/>
          <w:szCs w:val="24"/>
        </w:rPr>
        <w:t>s</w:t>
      </w:r>
      <w:r w:rsidR="00EF4012" w:rsidRPr="000D1988">
        <w:rPr>
          <w:rFonts w:eastAsia="Times New Roman" w:cs="Times New Roman"/>
          <w:noProof/>
          <w:szCs w:val="24"/>
        </w:rPr>
        <w:t>ample</w:t>
      </w:r>
      <w:r w:rsidR="007D6931" w:rsidRPr="000D1988">
        <w:rPr>
          <w:rFonts w:eastAsia="Times New Roman" w:cs="Times New Roman"/>
          <w:noProof/>
          <w:szCs w:val="24"/>
        </w:rPr>
        <w:t xml:space="preserve"> and</w:t>
      </w:r>
      <w:r w:rsidR="00EF4012" w:rsidRPr="000D1988">
        <w:rPr>
          <w:rFonts w:eastAsia="Times New Roman" w:cs="Times New Roman"/>
          <w:noProof/>
          <w:szCs w:val="24"/>
        </w:rPr>
        <w:t xml:space="preserve"> library </w:t>
      </w:r>
      <w:r w:rsidRPr="000D1988">
        <w:rPr>
          <w:rFonts w:eastAsia="Times New Roman" w:cs="Times New Roman"/>
          <w:noProof/>
          <w:szCs w:val="24"/>
        </w:rPr>
        <w:t>preparation</w:t>
      </w:r>
      <w:r w:rsidR="00EF4012" w:rsidRPr="000D1988">
        <w:rPr>
          <w:rFonts w:eastAsia="Times New Roman" w:cs="Times New Roman"/>
          <w:noProof/>
          <w:szCs w:val="24"/>
        </w:rPr>
        <w:t>s</w:t>
      </w:r>
      <w:r w:rsidRPr="000D1988">
        <w:rPr>
          <w:rFonts w:eastAsia="Times New Roman" w:cs="Times New Roman"/>
          <w:noProof/>
          <w:szCs w:val="24"/>
        </w:rPr>
        <w:t xml:space="preserve"> </w:t>
      </w:r>
      <w:r w:rsidR="007D6931" w:rsidRPr="000D1988">
        <w:rPr>
          <w:rFonts w:eastAsia="Times New Roman" w:cs="Times New Roman"/>
          <w:noProof/>
          <w:szCs w:val="24"/>
        </w:rPr>
        <w:t>as well as</w:t>
      </w:r>
      <w:r w:rsidR="00EF4012" w:rsidRPr="000D1988">
        <w:rPr>
          <w:rFonts w:eastAsia="Times New Roman" w:cs="Times New Roman"/>
          <w:noProof/>
          <w:szCs w:val="24"/>
        </w:rPr>
        <w:t xml:space="preserve"> </w:t>
      </w:r>
      <w:r w:rsidRPr="000D1988">
        <w:rPr>
          <w:rFonts w:eastAsia="Times New Roman" w:cs="Times New Roman"/>
          <w:noProof/>
          <w:szCs w:val="24"/>
        </w:rPr>
        <w:t>clonal PCR</w:t>
      </w:r>
      <w:r w:rsidR="00160B99" w:rsidRPr="000D1988">
        <w:rPr>
          <w:rFonts w:eastAsia="Times New Roman" w:cs="Times New Roman"/>
          <w:noProof/>
          <w:szCs w:val="24"/>
        </w:rPr>
        <w:t xml:space="preserve"> </w:t>
      </w:r>
      <w:r w:rsidR="00160B99" w:rsidRPr="000D1988">
        <w:rPr>
          <w:rFonts w:eastAsia="Times New Roman" w:cs="Times New Roman"/>
          <w:noProof/>
          <w:szCs w:val="24"/>
        </w:rPr>
        <w:fldChar w:fldCharType="begin" w:fldLock="1"/>
      </w:r>
      <w:r w:rsidR="00160B99" w:rsidRPr="000D1988">
        <w:rPr>
          <w:rFonts w:eastAsia="Times New Roman" w:cs="Times New Roman"/>
          <w:noProof/>
          <w:szCs w:val="24"/>
        </w:rPr>
        <w:instrText>ADDIN CSL_CITATION { "citationItems" : [ { "id" : "ITEM-1", "itemData" : { "DOI" : "10.1186/1471-2164-13-341", "ISBN" : "1471-2164", "ISSN" : "14712164", "PMID" : "22827831", "abstract" : "Next generation sequencing (NGS) technology has revolutionized genomic and genetic research. The pace of change in this area is rapid with three major new sequencing platforms having been released in 2011: Ion Torrent\u2019s PGM, Pacific Biosciences\u2019 RS and the Illumina MiSeq. Here we compare the results obtained with those platforms to the performance of the Illumina HiSeq, the current market leader. In order to compare these platforms, and get sufficient coverage depth to allow meaningful analysis, we have sequenced a set of 4 microbial genomes with mean GC content ranging from 19.3 to 67.7%. Together, these represent a comprehensive range of genome content. Here we report our analysis of that sequence data in terms of coverage distribution, bias, GC distribution, variant detection and accuracy. Sequence generated by Ion Torrent, MiSeq and Pacific Biosciences technologies displays near perfect coverage behaviour on GC-rich, neutral and moderately AT-rich genomes, but a profound bias was observed upon sequencing the extremely AT-rich genome of Plasmodium falciparum on the PGM, resulting in no coverage for approximately 30% of the genome. We analysed the ability to call variants from each platform and found that we could call slightly more variants from Ion Torrent data compared to MiSeq data, but at the expense of a higher false positive rate. Variant calling from Pacific Biosciences data was possible but higher coverage depth was required. Context specific errors were observed in both PGM and MiSeq data, but not in that from the Pacific Biosciences platform. All three fast turnaround sequencers evaluated here were able to generate usable sequence. However there are key differences between the quality of that data and the applications it will support.", "author" : [ { "dropping-particle" : "", "family" : "Quail", "given" : "Michael A.", "non-dropping-particle" : "", "parse-names" : false, "suffix" : "" }, { "dropping-particle" : "", "family" : "Smith", "given" : "Miriam", "non-dropping-particle" : "", "parse-names" : false, "suffix" : "" }, { "dropping-particle" : "", "family" : "Coupland", "given" : "Paul", "non-dropping-particle" : "", "parse-names" : false, "suffix" : "" }, { "dropping-particle" : "", "family" : "Otto", "given" : "Thomas D.", "non-dropping-particle" : "", "parse-names" : false, "suffix" : "" }, { "dropping-particle" : "", "family" : "Harris", "given" : "Simon R.", "non-dropping-particle" : "", "parse-names" : false, "suffix" : "" }, { "dropping-particle" : "", "family" : "Connor", "given" : "Thomas R.", "non-dropping-particle" : "", "parse-names" : false, "suffix" : "" }, { "dropping-particle" : "", "family" : "Bertoni", "given" : "Anna", "non-dropping-particle" : "", "parse-names" : false, "suffix" : "" }, { "dropping-particle" : "", "family" : "Swerdlow", "given" : "Harold P.", "non-dropping-particle" : "", "parse-names" : false, "suffix" : "" }, { "dropping-particle" : "", "family" : "Gu", "given" : "Yong", "non-dropping-particle" : "", "parse-names" : false, "suffix" : "" } ], "container-title" : "BMC Genomics", "id" : "ITEM-1", "issue" : "1", "issued" : { "date-parts" : [ [ "2012" ] ] }, "title" : "A tale of three next generation sequencing platforms: comparison of Ion Torrent, Pacific Biosciences and Illumina MiSeq sequencers", "type" : "article-journal", "volume" : "13" }, "uris" : [ "http://www.mendeley.com/documents/?uuid=40bc9a29-3709-4937-8a79-4a38d362fb15" ] }, { "id" : "ITEM-2", "itemData" : { "DOI" : "10.1038/nbt1486", "ISBN" : "1546-1696 (Electronic)\\r1087-0156 (Linking)", "ISSN" : "10870156", "PMID" : "18846087", "abstract" : "DNA sequence represents a single format onto which a broad range of biological phenomena can be projected for high-throughput data collection. Over the past three years, massively parallel DNA sequencing platforms have become widely available, reducing the cost of DNA sequencing by over two orders of magnitude, and democratizing the field by putting the sequencing capacity of a major genome center in the hands of individual investigators. These new technologies are rapidly evolving, and near-term challenges include the development of robust protocols for generating sequencing libraries, building effective new approaches to data-analysis, and often a rethinking of experimental design. Next-generation DNA sequencing has the potential to dramatically accelerate biological and biomedical research, by enabling the comprehensive analysis of genomes, transcriptomes and interactomes to become inexpensive, routine and widespread, rather than requiring significant production-scale efforts.", "author" : [ { "dropping-particle" : "", "family" : "Shendure", "given" : "Jay", "non-dropping-particle" : "", "parse-names" : false, "suffix" : "" }, { "dropping-particle" : "", "family" : "Ji", "given" : "Hanlee", "non-dropping-particle" : "", "parse-names" : false, "suffix" : "" } ], "container-title" : "Nature Biotechnology", "id" : "ITEM-2", "issue" : "10", "issued" : { "date-parts" : [ [ "2008" ] ] }, "page" : "1135-1145", "title" : "Next-generation DNA sequencing", "type" : "article", "volume" : "26" }, "uris" : [ "http://www.mendeley.com/documents/?uuid=d62edd42-d749-4160-a737-63ae141831c3" ] } ], "mendeley" : { "formattedCitation" : "(1,2)", "plainTextFormattedCitation" : "(1,2)" }, "properties" : { "noteIndex" : 0 }, "schema" : "https://github.com/citation-style-language/schema/raw/master/csl-citation.json" }</w:instrText>
      </w:r>
      <w:r w:rsidR="00160B99" w:rsidRPr="000D1988">
        <w:rPr>
          <w:rFonts w:eastAsia="Times New Roman" w:cs="Times New Roman"/>
          <w:noProof/>
          <w:szCs w:val="24"/>
        </w:rPr>
        <w:fldChar w:fldCharType="separate"/>
      </w:r>
      <w:r w:rsidR="00160B99" w:rsidRPr="000D1988">
        <w:rPr>
          <w:rFonts w:eastAsia="Times New Roman" w:cs="Times New Roman"/>
          <w:noProof/>
          <w:szCs w:val="24"/>
        </w:rPr>
        <w:t>(1,2)</w:t>
      </w:r>
      <w:r w:rsidR="00160B99" w:rsidRPr="000D1988">
        <w:rPr>
          <w:rFonts w:eastAsia="Times New Roman" w:cs="Times New Roman"/>
          <w:noProof/>
          <w:szCs w:val="24"/>
        </w:rPr>
        <w:fldChar w:fldCharType="end"/>
      </w:r>
      <w:r w:rsidRPr="000D1988">
        <w:rPr>
          <w:rFonts w:eastAsia="Times New Roman" w:cs="Times New Roman"/>
          <w:noProof/>
          <w:szCs w:val="24"/>
        </w:rPr>
        <w:t>. However, with advancement in the technology, efforts are being made for NGS being more affordable with the decrease in cost and simplified methods.</w:t>
      </w:r>
    </w:p>
    <w:p w14:paraId="44908587" w14:textId="66F6B22D" w:rsidR="007E09A8" w:rsidRPr="000D1988" w:rsidRDefault="007E09A8" w:rsidP="00EF037E">
      <w:pPr>
        <w:spacing w:after="120" w:line="360" w:lineRule="auto"/>
        <w:rPr>
          <w:rFonts w:eastAsia="Times New Roman" w:cs="Times New Roman"/>
          <w:noProof/>
          <w:szCs w:val="24"/>
          <w:u w:val="single"/>
        </w:rPr>
      </w:pPr>
    </w:p>
    <w:p w14:paraId="46103106" w14:textId="77777777" w:rsidR="00FC3FF5" w:rsidRPr="000D1988" w:rsidRDefault="00FC3FF5" w:rsidP="00EF037E">
      <w:pPr>
        <w:spacing w:after="120" w:line="360" w:lineRule="auto"/>
        <w:rPr>
          <w:rFonts w:eastAsia="Times New Roman" w:cs="Times New Roman"/>
          <w:noProof/>
          <w:szCs w:val="24"/>
          <w:u w:val="single"/>
        </w:rPr>
      </w:pPr>
    </w:p>
    <w:p w14:paraId="55477A08" w14:textId="77777777" w:rsidR="00D843C5" w:rsidRPr="000D1988" w:rsidRDefault="00D843C5" w:rsidP="00EF037E">
      <w:pPr>
        <w:spacing w:after="120" w:line="360" w:lineRule="auto"/>
        <w:rPr>
          <w:rFonts w:eastAsia="Times New Roman" w:cs="Times New Roman"/>
          <w:noProof/>
          <w:szCs w:val="24"/>
          <w:u w:val="single"/>
        </w:rPr>
      </w:pPr>
    </w:p>
    <w:p w14:paraId="50527DB3" w14:textId="77777777" w:rsidR="00D843C5" w:rsidRPr="000D1988" w:rsidRDefault="00D843C5" w:rsidP="00EF037E">
      <w:pPr>
        <w:spacing w:after="120" w:line="360" w:lineRule="auto"/>
        <w:rPr>
          <w:rFonts w:eastAsia="Times New Roman" w:cs="Times New Roman"/>
          <w:noProof/>
          <w:szCs w:val="24"/>
          <w:u w:val="single"/>
        </w:rPr>
      </w:pPr>
    </w:p>
    <w:p w14:paraId="4BFD1F58" w14:textId="77777777" w:rsidR="00D843C5" w:rsidRPr="000D1988" w:rsidRDefault="00D843C5" w:rsidP="00EF037E">
      <w:pPr>
        <w:spacing w:after="120" w:line="360" w:lineRule="auto"/>
        <w:rPr>
          <w:rFonts w:eastAsia="Times New Roman" w:cs="Times New Roman"/>
          <w:noProof/>
          <w:szCs w:val="24"/>
          <w:u w:val="single"/>
        </w:rPr>
      </w:pPr>
    </w:p>
    <w:p w14:paraId="2F147CA6" w14:textId="77777777" w:rsidR="00D843C5" w:rsidRPr="000D1988" w:rsidRDefault="00D843C5" w:rsidP="00EF037E">
      <w:pPr>
        <w:spacing w:after="120" w:line="360" w:lineRule="auto"/>
        <w:rPr>
          <w:rFonts w:eastAsia="Times New Roman" w:cs="Times New Roman"/>
          <w:noProof/>
          <w:szCs w:val="24"/>
          <w:u w:val="single"/>
        </w:rPr>
      </w:pPr>
    </w:p>
    <w:p w14:paraId="5E8D1DFE" w14:textId="77777777" w:rsidR="00D843C5" w:rsidRPr="000D1988" w:rsidRDefault="00D843C5" w:rsidP="00EF037E">
      <w:pPr>
        <w:spacing w:after="120" w:line="360" w:lineRule="auto"/>
        <w:rPr>
          <w:rFonts w:eastAsia="Times New Roman" w:cs="Times New Roman"/>
          <w:noProof/>
          <w:szCs w:val="24"/>
          <w:u w:val="single"/>
        </w:rPr>
      </w:pPr>
    </w:p>
    <w:p w14:paraId="7819E5FA" w14:textId="77777777" w:rsidR="00D843C5" w:rsidRPr="000D1988" w:rsidRDefault="00D843C5" w:rsidP="00EF037E">
      <w:pPr>
        <w:spacing w:after="120" w:line="360" w:lineRule="auto"/>
        <w:rPr>
          <w:rFonts w:eastAsia="Times New Roman" w:cs="Times New Roman"/>
          <w:noProof/>
          <w:szCs w:val="24"/>
          <w:u w:val="single"/>
        </w:rPr>
      </w:pPr>
    </w:p>
    <w:p w14:paraId="50EDBC9C" w14:textId="77777777" w:rsidR="00D843C5" w:rsidRPr="000D1988" w:rsidRDefault="00D843C5" w:rsidP="00EF037E">
      <w:pPr>
        <w:spacing w:after="120" w:line="360" w:lineRule="auto"/>
        <w:rPr>
          <w:rFonts w:eastAsia="Times New Roman" w:cs="Times New Roman"/>
          <w:noProof/>
          <w:szCs w:val="24"/>
          <w:u w:val="single"/>
        </w:rPr>
      </w:pPr>
    </w:p>
    <w:p w14:paraId="63FB93A5" w14:textId="77777777" w:rsidR="00D843C5" w:rsidRPr="000D1988" w:rsidRDefault="00D843C5" w:rsidP="00EF037E">
      <w:pPr>
        <w:spacing w:after="120" w:line="360" w:lineRule="auto"/>
        <w:rPr>
          <w:rFonts w:eastAsia="Times New Roman" w:cs="Times New Roman"/>
          <w:noProof/>
          <w:szCs w:val="24"/>
          <w:u w:val="single"/>
        </w:rPr>
      </w:pPr>
    </w:p>
    <w:p w14:paraId="64F9386E" w14:textId="77777777" w:rsidR="00D843C5" w:rsidRPr="000D1988" w:rsidRDefault="00D843C5" w:rsidP="00EF037E">
      <w:pPr>
        <w:spacing w:after="120" w:line="360" w:lineRule="auto"/>
        <w:rPr>
          <w:rFonts w:eastAsia="Times New Roman" w:cs="Times New Roman"/>
          <w:noProof/>
          <w:szCs w:val="24"/>
          <w:u w:val="single"/>
        </w:rPr>
      </w:pPr>
    </w:p>
    <w:p w14:paraId="617A0376" w14:textId="77777777" w:rsidR="00D843C5" w:rsidRPr="000D1988" w:rsidRDefault="00D843C5" w:rsidP="00EF037E">
      <w:pPr>
        <w:spacing w:after="120" w:line="360" w:lineRule="auto"/>
        <w:rPr>
          <w:rFonts w:eastAsia="Times New Roman" w:cs="Times New Roman"/>
          <w:noProof/>
          <w:szCs w:val="24"/>
          <w:u w:val="single"/>
        </w:rPr>
      </w:pPr>
    </w:p>
    <w:p w14:paraId="6778E28E" w14:textId="77777777" w:rsidR="00D843C5" w:rsidRPr="000D1988" w:rsidRDefault="00D843C5" w:rsidP="00EF037E">
      <w:pPr>
        <w:spacing w:after="120" w:line="360" w:lineRule="auto"/>
        <w:rPr>
          <w:rFonts w:eastAsia="Times New Roman" w:cs="Times New Roman"/>
          <w:noProof/>
          <w:szCs w:val="24"/>
          <w:u w:val="single"/>
        </w:rPr>
      </w:pPr>
    </w:p>
    <w:p w14:paraId="7A7ABDE0" w14:textId="77777777" w:rsidR="00D843C5" w:rsidRPr="000D1988" w:rsidRDefault="00D843C5" w:rsidP="00EF037E">
      <w:pPr>
        <w:spacing w:after="120" w:line="360" w:lineRule="auto"/>
        <w:rPr>
          <w:rFonts w:eastAsia="Times New Roman" w:cs="Times New Roman"/>
          <w:noProof/>
          <w:szCs w:val="24"/>
          <w:u w:val="single"/>
        </w:rPr>
      </w:pPr>
    </w:p>
    <w:p w14:paraId="1155BEDE" w14:textId="77777777" w:rsidR="00D843C5" w:rsidRPr="000D1988" w:rsidRDefault="00D843C5" w:rsidP="00EF037E">
      <w:pPr>
        <w:spacing w:after="120" w:line="360" w:lineRule="auto"/>
        <w:rPr>
          <w:rFonts w:eastAsia="Times New Roman" w:cs="Times New Roman"/>
          <w:noProof/>
          <w:szCs w:val="24"/>
          <w:u w:val="single"/>
        </w:rPr>
      </w:pPr>
    </w:p>
    <w:p w14:paraId="5D587789" w14:textId="77777777" w:rsidR="00DC2BE9" w:rsidRPr="000D1988" w:rsidRDefault="00DC2BE9" w:rsidP="006A0945">
      <w:pPr>
        <w:spacing w:after="120" w:line="360" w:lineRule="auto"/>
        <w:outlineLvl w:val="0"/>
        <w:rPr>
          <w:rFonts w:eastAsia="Times New Roman" w:cs="Times New Roman"/>
          <w:b/>
          <w:noProof/>
          <w:szCs w:val="24"/>
          <w:u w:val="single"/>
        </w:rPr>
      </w:pPr>
    </w:p>
    <w:p w14:paraId="27975823" w14:textId="77777777" w:rsidR="00EF037E" w:rsidRPr="000D1988" w:rsidRDefault="00EF037E" w:rsidP="006A0945">
      <w:pPr>
        <w:spacing w:after="120" w:line="360" w:lineRule="auto"/>
        <w:outlineLvl w:val="0"/>
        <w:rPr>
          <w:rFonts w:eastAsia="Times New Roman" w:cs="Times New Roman"/>
          <w:b/>
          <w:noProof/>
          <w:szCs w:val="24"/>
          <w:u w:val="single"/>
        </w:rPr>
      </w:pPr>
      <w:r w:rsidRPr="000D1988">
        <w:rPr>
          <w:rFonts w:eastAsia="Times New Roman" w:cs="Times New Roman"/>
          <w:b/>
          <w:noProof/>
          <w:szCs w:val="24"/>
          <w:u w:val="single"/>
        </w:rPr>
        <w:lastRenderedPageBreak/>
        <w:t>Supplemental tables</w:t>
      </w:r>
    </w:p>
    <w:p w14:paraId="7452973C" w14:textId="6F3C77A2" w:rsidR="006B0A5C" w:rsidRPr="000D1988" w:rsidRDefault="006B0A5C" w:rsidP="006A0945">
      <w:pPr>
        <w:widowControl w:val="0"/>
        <w:autoSpaceDE w:val="0"/>
        <w:autoSpaceDN w:val="0"/>
        <w:adjustRightInd w:val="0"/>
        <w:spacing w:after="120" w:line="360" w:lineRule="auto"/>
        <w:jc w:val="both"/>
        <w:outlineLvl w:val="0"/>
        <w:rPr>
          <w:rFonts w:eastAsia="Times New Roman" w:cs="Times New Roman"/>
          <w:b/>
          <w:noProof/>
          <w:sz w:val="20"/>
          <w:szCs w:val="20"/>
        </w:rPr>
      </w:pPr>
      <w:r w:rsidRPr="000D1988">
        <w:rPr>
          <w:rFonts w:eastAsia="Times New Roman" w:cs="Times New Roman"/>
          <w:b/>
          <w:noProof/>
          <w:sz w:val="20"/>
          <w:szCs w:val="20"/>
        </w:rPr>
        <w:t xml:space="preserve">Table S1: </w:t>
      </w:r>
      <w:r w:rsidR="00DA328E" w:rsidRPr="000D1988">
        <w:rPr>
          <w:rFonts w:eastAsia="Times New Roman" w:cs="Times New Roman"/>
          <w:b/>
          <w:noProof/>
          <w:sz w:val="20"/>
          <w:szCs w:val="20"/>
        </w:rPr>
        <w:t>Sequencing</w:t>
      </w:r>
      <w:r w:rsidR="00CF3413" w:rsidRPr="000D1988">
        <w:rPr>
          <w:rFonts w:eastAsia="Times New Roman" w:cs="Times New Roman"/>
          <w:b/>
          <w:noProof/>
          <w:sz w:val="20"/>
          <w:szCs w:val="20"/>
        </w:rPr>
        <w:t xml:space="preserve"> platforms</w:t>
      </w:r>
      <w:r w:rsidR="00DA328E" w:rsidRPr="000D1988">
        <w:rPr>
          <w:rFonts w:eastAsia="Times New Roman" w:cs="Times New Roman"/>
          <w:b/>
          <w:noProof/>
          <w:sz w:val="20"/>
          <w:szCs w:val="20"/>
        </w:rPr>
        <w:t xml:space="preserve">, </w:t>
      </w:r>
      <w:r w:rsidR="00DA328E" w:rsidRPr="000D1988">
        <w:rPr>
          <w:rFonts w:cs="Times New Roman"/>
          <w:b/>
          <w:sz w:val="20"/>
          <w:szCs w:val="20"/>
        </w:rPr>
        <w:t>their principles and (dis)advantages</w:t>
      </w:r>
      <w:r w:rsidRPr="000D1988">
        <w:rPr>
          <w:rFonts w:eastAsia="Times New Roman" w:cs="Times New Roman"/>
          <w:b/>
          <w:noProof/>
          <w:sz w:val="20"/>
          <w:szCs w:val="20"/>
        </w:rPr>
        <w:t>.</w:t>
      </w:r>
    </w:p>
    <w:tbl>
      <w:tblPr>
        <w:tblStyle w:val="TableGrid"/>
        <w:tblW w:w="10163" w:type="dxa"/>
        <w:tblLayout w:type="fixed"/>
        <w:tblLook w:val="04A0" w:firstRow="1" w:lastRow="0" w:firstColumn="1" w:lastColumn="0" w:noHBand="0" w:noVBand="1"/>
      </w:tblPr>
      <w:tblGrid>
        <w:gridCol w:w="1473"/>
        <w:gridCol w:w="1313"/>
        <w:gridCol w:w="1701"/>
        <w:gridCol w:w="1418"/>
        <w:gridCol w:w="1418"/>
        <w:gridCol w:w="1255"/>
        <w:gridCol w:w="1585"/>
      </w:tblGrid>
      <w:tr w:rsidR="00C933A3" w:rsidRPr="000D1988" w14:paraId="1C319161" w14:textId="77777777" w:rsidTr="00B74C9B">
        <w:tc>
          <w:tcPr>
            <w:tcW w:w="1473" w:type="dxa"/>
          </w:tcPr>
          <w:p w14:paraId="286FA62F" w14:textId="79674D9D" w:rsidR="00CF3413" w:rsidRPr="000D1988" w:rsidRDefault="00CF3413" w:rsidP="00B74C9B">
            <w:pPr>
              <w:widowControl w:val="0"/>
              <w:autoSpaceDE w:val="0"/>
              <w:autoSpaceDN w:val="0"/>
              <w:adjustRightInd w:val="0"/>
              <w:spacing w:after="120" w:line="276" w:lineRule="auto"/>
              <w:jc w:val="both"/>
              <w:rPr>
                <w:rFonts w:eastAsia="Times New Roman" w:cs="Times New Roman"/>
                <w:b/>
                <w:noProof/>
                <w:sz w:val="20"/>
                <w:szCs w:val="20"/>
              </w:rPr>
            </w:pPr>
            <w:r w:rsidRPr="000D1988">
              <w:rPr>
                <w:rFonts w:eastAsia="Times New Roman" w:cs="Times New Roman"/>
                <w:b/>
                <w:noProof/>
                <w:sz w:val="20"/>
                <w:szCs w:val="20"/>
              </w:rPr>
              <w:t>Company</w:t>
            </w:r>
          </w:p>
        </w:tc>
        <w:tc>
          <w:tcPr>
            <w:tcW w:w="1313" w:type="dxa"/>
          </w:tcPr>
          <w:p w14:paraId="5E471803" w14:textId="08BE8EFE" w:rsidR="00CF3413" w:rsidRPr="000D1988" w:rsidRDefault="00CF3413" w:rsidP="00B74C9B">
            <w:pPr>
              <w:widowControl w:val="0"/>
              <w:autoSpaceDE w:val="0"/>
              <w:autoSpaceDN w:val="0"/>
              <w:adjustRightInd w:val="0"/>
              <w:spacing w:after="120" w:line="276" w:lineRule="auto"/>
              <w:jc w:val="both"/>
              <w:rPr>
                <w:rFonts w:eastAsia="Times New Roman" w:cs="Times New Roman"/>
                <w:b/>
                <w:noProof/>
                <w:sz w:val="20"/>
                <w:szCs w:val="20"/>
              </w:rPr>
            </w:pPr>
            <w:r w:rsidRPr="000D1988">
              <w:rPr>
                <w:rFonts w:eastAsia="Times New Roman" w:cs="Times New Roman"/>
                <w:b/>
                <w:noProof/>
                <w:sz w:val="20"/>
                <w:szCs w:val="20"/>
              </w:rPr>
              <w:t>Instrument</w:t>
            </w:r>
          </w:p>
        </w:tc>
        <w:tc>
          <w:tcPr>
            <w:tcW w:w="1701" w:type="dxa"/>
          </w:tcPr>
          <w:p w14:paraId="68711B1B" w14:textId="786FDB08" w:rsidR="00CF3413" w:rsidRPr="000D1988" w:rsidRDefault="00CF3413" w:rsidP="00B74C9B">
            <w:pPr>
              <w:widowControl w:val="0"/>
              <w:autoSpaceDE w:val="0"/>
              <w:autoSpaceDN w:val="0"/>
              <w:adjustRightInd w:val="0"/>
              <w:spacing w:after="120" w:line="276" w:lineRule="auto"/>
              <w:jc w:val="both"/>
              <w:rPr>
                <w:rFonts w:eastAsia="Times New Roman" w:cs="Times New Roman"/>
                <w:b/>
                <w:noProof/>
                <w:sz w:val="20"/>
                <w:szCs w:val="20"/>
              </w:rPr>
            </w:pPr>
            <w:r w:rsidRPr="000D1988">
              <w:rPr>
                <w:rFonts w:eastAsia="Times New Roman" w:cs="Times New Roman"/>
                <w:b/>
                <w:noProof/>
                <w:sz w:val="20"/>
                <w:szCs w:val="20"/>
              </w:rPr>
              <w:t>Sequencing principle</w:t>
            </w:r>
          </w:p>
        </w:tc>
        <w:tc>
          <w:tcPr>
            <w:tcW w:w="1418" w:type="dxa"/>
          </w:tcPr>
          <w:p w14:paraId="3DF5BFA8" w14:textId="0708C57B" w:rsidR="00CF3413" w:rsidRPr="000D1988" w:rsidRDefault="00CF3413" w:rsidP="00B74C9B">
            <w:pPr>
              <w:widowControl w:val="0"/>
              <w:autoSpaceDE w:val="0"/>
              <w:autoSpaceDN w:val="0"/>
              <w:adjustRightInd w:val="0"/>
              <w:spacing w:after="120" w:line="276" w:lineRule="auto"/>
              <w:jc w:val="both"/>
              <w:rPr>
                <w:rFonts w:eastAsia="Times New Roman" w:cs="Times New Roman"/>
                <w:b/>
                <w:noProof/>
                <w:sz w:val="20"/>
                <w:szCs w:val="20"/>
              </w:rPr>
            </w:pPr>
            <w:r w:rsidRPr="000D1988">
              <w:rPr>
                <w:rFonts w:eastAsia="Times New Roman" w:cs="Times New Roman"/>
                <w:b/>
                <w:noProof/>
                <w:sz w:val="20"/>
                <w:szCs w:val="20"/>
              </w:rPr>
              <w:t>Throughput range (Gb)</w:t>
            </w:r>
          </w:p>
        </w:tc>
        <w:tc>
          <w:tcPr>
            <w:tcW w:w="1418" w:type="dxa"/>
          </w:tcPr>
          <w:p w14:paraId="1FE73FD7" w14:textId="0EF9FF8F" w:rsidR="00CF3413" w:rsidRPr="000D1988" w:rsidRDefault="00CF3413" w:rsidP="00B74C9B">
            <w:pPr>
              <w:widowControl w:val="0"/>
              <w:autoSpaceDE w:val="0"/>
              <w:autoSpaceDN w:val="0"/>
              <w:adjustRightInd w:val="0"/>
              <w:spacing w:after="120" w:line="276" w:lineRule="auto"/>
              <w:jc w:val="both"/>
              <w:rPr>
                <w:rFonts w:eastAsia="Times New Roman" w:cs="Times New Roman"/>
                <w:b/>
                <w:noProof/>
                <w:sz w:val="20"/>
                <w:szCs w:val="20"/>
              </w:rPr>
            </w:pPr>
            <w:r w:rsidRPr="000D1988">
              <w:rPr>
                <w:rFonts w:eastAsia="Times New Roman" w:cs="Times New Roman"/>
                <w:b/>
                <w:noProof/>
                <w:sz w:val="20"/>
                <w:szCs w:val="20"/>
              </w:rPr>
              <w:t>Read length</w:t>
            </w:r>
            <w:r w:rsidR="00551DD8" w:rsidRPr="000D1988">
              <w:rPr>
                <w:rFonts w:eastAsia="Times New Roman" w:cs="Times New Roman"/>
                <w:b/>
                <w:noProof/>
                <w:sz w:val="20"/>
                <w:szCs w:val="20"/>
              </w:rPr>
              <w:t xml:space="preserve"> (bp)</w:t>
            </w:r>
          </w:p>
        </w:tc>
        <w:tc>
          <w:tcPr>
            <w:tcW w:w="1255" w:type="dxa"/>
          </w:tcPr>
          <w:p w14:paraId="09688F9C" w14:textId="024975FE" w:rsidR="00CF3413" w:rsidRPr="000D1988" w:rsidRDefault="00CF3413" w:rsidP="00B74C9B">
            <w:pPr>
              <w:widowControl w:val="0"/>
              <w:autoSpaceDE w:val="0"/>
              <w:autoSpaceDN w:val="0"/>
              <w:adjustRightInd w:val="0"/>
              <w:spacing w:after="120" w:line="276" w:lineRule="auto"/>
              <w:jc w:val="both"/>
              <w:rPr>
                <w:rFonts w:eastAsia="Times New Roman" w:cs="Times New Roman"/>
                <w:b/>
                <w:noProof/>
                <w:sz w:val="20"/>
                <w:szCs w:val="20"/>
              </w:rPr>
            </w:pPr>
            <w:r w:rsidRPr="000D1988">
              <w:rPr>
                <w:rFonts w:eastAsia="Times New Roman" w:cs="Times New Roman"/>
                <w:b/>
                <w:noProof/>
                <w:sz w:val="20"/>
                <w:szCs w:val="20"/>
              </w:rPr>
              <w:t>Strength</w:t>
            </w:r>
          </w:p>
        </w:tc>
        <w:tc>
          <w:tcPr>
            <w:tcW w:w="1585" w:type="dxa"/>
          </w:tcPr>
          <w:p w14:paraId="5629C9DA" w14:textId="0DBA3BAD" w:rsidR="00CF3413" w:rsidRPr="000D1988" w:rsidRDefault="00CF3413" w:rsidP="00B74C9B">
            <w:pPr>
              <w:widowControl w:val="0"/>
              <w:autoSpaceDE w:val="0"/>
              <w:autoSpaceDN w:val="0"/>
              <w:adjustRightInd w:val="0"/>
              <w:spacing w:after="120" w:line="276" w:lineRule="auto"/>
              <w:jc w:val="both"/>
              <w:rPr>
                <w:rFonts w:eastAsia="Times New Roman" w:cs="Times New Roman"/>
                <w:b/>
                <w:noProof/>
                <w:sz w:val="20"/>
                <w:szCs w:val="20"/>
              </w:rPr>
            </w:pPr>
            <w:r w:rsidRPr="000D1988">
              <w:rPr>
                <w:rFonts w:eastAsia="Times New Roman" w:cs="Times New Roman"/>
                <w:b/>
                <w:noProof/>
                <w:sz w:val="20"/>
                <w:szCs w:val="20"/>
              </w:rPr>
              <w:t>We</w:t>
            </w:r>
            <w:r w:rsidR="00996803" w:rsidRPr="000D1988">
              <w:rPr>
                <w:rFonts w:eastAsia="Times New Roman" w:cs="Times New Roman"/>
                <w:b/>
                <w:noProof/>
                <w:sz w:val="20"/>
                <w:szCs w:val="20"/>
              </w:rPr>
              <w:t>a</w:t>
            </w:r>
            <w:r w:rsidRPr="000D1988">
              <w:rPr>
                <w:rFonts w:eastAsia="Times New Roman" w:cs="Times New Roman"/>
                <w:b/>
                <w:noProof/>
                <w:sz w:val="20"/>
                <w:szCs w:val="20"/>
              </w:rPr>
              <w:t>kness</w:t>
            </w:r>
          </w:p>
        </w:tc>
      </w:tr>
      <w:tr w:rsidR="00C933A3" w:rsidRPr="000D1988" w14:paraId="7C6BD88D" w14:textId="77777777" w:rsidTr="00B74C9B">
        <w:tc>
          <w:tcPr>
            <w:tcW w:w="1473" w:type="dxa"/>
          </w:tcPr>
          <w:p w14:paraId="46C93FF8" w14:textId="6C864D9A" w:rsidR="00CF3413" w:rsidRPr="000D1988" w:rsidRDefault="00CF341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Applied Biosystems (ABI)</w:t>
            </w:r>
          </w:p>
        </w:tc>
        <w:tc>
          <w:tcPr>
            <w:tcW w:w="1313" w:type="dxa"/>
          </w:tcPr>
          <w:p w14:paraId="31A7E91B" w14:textId="09F67200" w:rsidR="00CF3413" w:rsidRPr="000D1988" w:rsidRDefault="00CF341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ABI 3500/3730</w:t>
            </w:r>
          </w:p>
        </w:tc>
        <w:tc>
          <w:tcPr>
            <w:tcW w:w="1701" w:type="dxa"/>
          </w:tcPr>
          <w:p w14:paraId="11A68CC0" w14:textId="1B6F387A" w:rsidR="00CF3413" w:rsidRPr="000D1988" w:rsidRDefault="00AF34F7"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S</w:t>
            </w:r>
            <w:r w:rsidR="00373ABC" w:rsidRPr="000D1988">
              <w:rPr>
                <w:rFonts w:eastAsia="Times New Roman" w:cs="Times New Roman"/>
                <w:noProof/>
                <w:sz w:val="20"/>
                <w:szCs w:val="20"/>
              </w:rPr>
              <w:t>anger</w:t>
            </w:r>
            <w:r w:rsidRPr="000D1988">
              <w:rPr>
                <w:rFonts w:eastAsia="Times New Roman" w:cs="Times New Roman"/>
                <w:noProof/>
                <w:sz w:val="20"/>
                <w:szCs w:val="20"/>
              </w:rPr>
              <w:t xml:space="preserve"> method</w:t>
            </w:r>
          </w:p>
        </w:tc>
        <w:tc>
          <w:tcPr>
            <w:tcW w:w="1418" w:type="dxa"/>
          </w:tcPr>
          <w:p w14:paraId="3D72505B" w14:textId="32F8AB3A" w:rsidR="00CF3413" w:rsidRPr="000D1988" w:rsidRDefault="00CF341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0.0003</w:t>
            </w:r>
          </w:p>
        </w:tc>
        <w:tc>
          <w:tcPr>
            <w:tcW w:w="1418" w:type="dxa"/>
          </w:tcPr>
          <w:p w14:paraId="65818C25" w14:textId="5139F370" w:rsidR="00CF3413" w:rsidRPr="000D1988" w:rsidRDefault="00CF3413" w:rsidP="00DE51E8">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Up to 1</w:t>
            </w:r>
            <w:r w:rsidR="00DE51E8" w:rsidRPr="000D1988">
              <w:rPr>
                <w:rFonts w:eastAsia="Times New Roman" w:cs="Times New Roman"/>
                <w:noProof/>
                <w:sz w:val="20"/>
                <w:szCs w:val="20"/>
              </w:rPr>
              <w:t>000</w:t>
            </w:r>
          </w:p>
        </w:tc>
        <w:tc>
          <w:tcPr>
            <w:tcW w:w="1255" w:type="dxa"/>
          </w:tcPr>
          <w:p w14:paraId="19B3F8C1" w14:textId="71AC35D4" w:rsidR="00CF3413" w:rsidRPr="000D1988" w:rsidRDefault="00F95F77"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Read accuracy and length</w:t>
            </w:r>
          </w:p>
        </w:tc>
        <w:tc>
          <w:tcPr>
            <w:tcW w:w="1585" w:type="dxa"/>
          </w:tcPr>
          <w:p w14:paraId="35EA6685" w14:textId="31958DBB" w:rsidR="00CF3413" w:rsidRPr="000D1988" w:rsidRDefault="00F95F77"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Cost and throughput</w:t>
            </w:r>
          </w:p>
        </w:tc>
      </w:tr>
      <w:tr w:rsidR="00C933A3" w:rsidRPr="000D1988" w14:paraId="2AE0B7E9" w14:textId="77777777" w:rsidTr="00B74C9B">
        <w:tc>
          <w:tcPr>
            <w:tcW w:w="1473" w:type="dxa"/>
          </w:tcPr>
          <w:p w14:paraId="34A30045" w14:textId="1B6884A3" w:rsidR="00AD2D13" w:rsidRPr="000D1988" w:rsidRDefault="00AD2D1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Roche/454</w:t>
            </w:r>
          </w:p>
        </w:tc>
        <w:tc>
          <w:tcPr>
            <w:tcW w:w="1313" w:type="dxa"/>
          </w:tcPr>
          <w:p w14:paraId="6C4E1C39" w14:textId="5A15AE82" w:rsidR="00AD2D13" w:rsidRPr="000D1988" w:rsidRDefault="00AD2D1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FLX</w:t>
            </w:r>
          </w:p>
        </w:tc>
        <w:tc>
          <w:tcPr>
            <w:tcW w:w="1701" w:type="dxa"/>
          </w:tcPr>
          <w:p w14:paraId="0B9DA9A7" w14:textId="421ACB62" w:rsidR="00AD2D13" w:rsidRPr="000D1988" w:rsidRDefault="00AD2D1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Pyrosequencing</w:t>
            </w:r>
          </w:p>
        </w:tc>
        <w:tc>
          <w:tcPr>
            <w:tcW w:w="1418" w:type="dxa"/>
          </w:tcPr>
          <w:p w14:paraId="30DB6D11" w14:textId="1E226801" w:rsidR="00AD2D13" w:rsidRPr="000D1988" w:rsidRDefault="00AD2D1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~20 Mb</w:t>
            </w:r>
          </w:p>
        </w:tc>
        <w:tc>
          <w:tcPr>
            <w:tcW w:w="1418" w:type="dxa"/>
          </w:tcPr>
          <w:p w14:paraId="6DC00C69" w14:textId="5360B05B" w:rsidR="00AD2D13" w:rsidRPr="000D1988" w:rsidRDefault="00AD2D1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110</w:t>
            </w:r>
          </w:p>
        </w:tc>
        <w:tc>
          <w:tcPr>
            <w:tcW w:w="2840" w:type="dxa"/>
            <w:gridSpan w:val="2"/>
          </w:tcPr>
          <w:p w14:paraId="3A82115C" w14:textId="5FE292B2" w:rsidR="00AD2D13" w:rsidRPr="000D1988" w:rsidRDefault="00AD2D1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(Discontinued from 2016)</w:t>
            </w:r>
          </w:p>
        </w:tc>
      </w:tr>
      <w:tr w:rsidR="00C933A3" w:rsidRPr="000D1988" w14:paraId="4F250670" w14:textId="77777777" w:rsidTr="00B74C9B">
        <w:tc>
          <w:tcPr>
            <w:tcW w:w="1473" w:type="dxa"/>
          </w:tcPr>
          <w:p w14:paraId="09FC360C" w14:textId="447B0A2A" w:rsidR="00CF3413" w:rsidRPr="000D1988" w:rsidRDefault="000B7EA4"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ABI (Life Technologies; now Thermo Fisher Scientific)</w:t>
            </w:r>
          </w:p>
        </w:tc>
        <w:tc>
          <w:tcPr>
            <w:tcW w:w="1313" w:type="dxa"/>
          </w:tcPr>
          <w:p w14:paraId="2BB21A04" w14:textId="70B61B1C" w:rsidR="00CF3413" w:rsidRPr="000D1988" w:rsidRDefault="00CF341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SOLiD</w:t>
            </w:r>
          </w:p>
        </w:tc>
        <w:tc>
          <w:tcPr>
            <w:tcW w:w="1701" w:type="dxa"/>
          </w:tcPr>
          <w:p w14:paraId="6A9CD302" w14:textId="18DB0579" w:rsidR="00CF3413" w:rsidRPr="000D1988" w:rsidRDefault="00CF341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Ligation sequencing</w:t>
            </w:r>
          </w:p>
        </w:tc>
        <w:tc>
          <w:tcPr>
            <w:tcW w:w="1418" w:type="dxa"/>
          </w:tcPr>
          <w:p w14:paraId="6454F31C" w14:textId="29A49E91" w:rsidR="00CF3413" w:rsidRPr="000D1988" w:rsidRDefault="00AE1512"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3-30</w:t>
            </w:r>
          </w:p>
        </w:tc>
        <w:tc>
          <w:tcPr>
            <w:tcW w:w="1418" w:type="dxa"/>
          </w:tcPr>
          <w:p w14:paraId="1C85F4A4" w14:textId="007A93A6" w:rsidR="00CF3413" w:rsidRPr="000D1988" w:rsidRDefault="00AE1512"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35-85</w:t>
            </w:r>
          </w:p>
        </w:tc>
        <w:tc>
          <w:tcPr>
            <w:tcW w:w="1255" w:type="dxa"/>
          </w:tcPr>
          <w:p w14:paraId="01E46378" w14:textId="7C3AF2D5" w:rsidR="00CF3413" w:rsidRPr="000D1988" w:rsidRDefault="00AE1512"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Accuracy</w:t>
            </w:r>
          </w:p>
        </w:tc>
        <w:tc>
          <w:tcPr>
            <w:tcW w:w="1585" w:type="dxa"/>
          </w:tcPr>
          <w:p w14:paraId="1D57DF7A" w14:textId="0925336B" w:rsidR="00CF3413" w:rsidRPr="000D1988" w:rsidRDefault="00AE1512"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Run time</w:t>
            </w:r>
          </w:p>
        </w:tc>
      </w:tr>
      <w:tr w:rsidR="00D73983" w:rsidRPr="000D1988" w14:paraId="4287B9AD" w14:textId="77777777" w:rsidTr="00DF408D">
        <w:tc>
          <w:tcPr>
            <w:tcW w:w="1473" w:type="dxa"/>
            <w:vMerge w:val="restart"/>
          </w:tcPr>
          <w:p w14:paraId="18730537" w14:textId="0F831F8A" w:rsidR="00D73983" w:rsidRPr="000D1988" w:rsidRDefault="00D7398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Illumina</w:t>
            </w:r>
          </w:p>
        </w:tc>
        <w:tc>
          <w:tcPr>
            <w:tcW w:w="1313" w:type="dxa"/>
          </w:tcPr>
          <w:p w14:paraId="0F9BD7D0" w14:textId="228A1BBD" w:rsidR="00D73983" w:rsidRPr="000D1988" w:rsidRDefault="00D7398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 xml:space="preserve">MiniSeq </w:t>
            </w:r>
          </w:p>
        </w:tc>
        <w:tc>
          <w:tcPr>
            <w:tcW w:w="1701" w:type="dxa"/>
            <w:vMerge w:val="restart"/>
          </w:tcPr>
          <w:p w14:paraId="68B30F51" w14:textId="33E31137" w:rsidR="00D73983" w:rsidRPr="000D1988" w:rsidRDefault="00D7398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Sequencing by synthesis</w:t>
            </w:r>
          </w:p>
        </w:tc>
        <w:tc>
          <w:tcPr>
            <w:tcW w:w="1418" w:type="dxa"/>
          </w:tcPr>
          <w:p w14:paraId="4736BCB0" w14:textId="1FAA4E60" w:rsidR="00D73983" w:rsidRPr="000D1988" w:rsidRDefault="00D7398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1.7–7.5</w:t>
            </w:r>
          </w:p>
        </w:tc>
        <w:tc>
          <w:tcPr>
            <w:tcW w:w="1418" w:type="dxa"/>
          </w:tcPr>
          <w:p w14:paraId="5A8A9AAF" w14:textId="75377683" w:rsidR="00D73983" w:rsidRPr="000D1988" w:rsidRDefault="00D7398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1x75 to x150</w:t>
            </w:r>
          </w:p>
        </w:tc>
        <w:tc>
          <w:tcPr>
            <w:tcW w:w="1255" w:type="dxa"/>
          </w:tcPr>
          <w:p w14:paraId="7BD6B858" w14:textId="170E62A2" w:rsidR="00D73983" w:rsidRPr="000D1988" w:rsidRDefault="00D7398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Low initial investment</w:t>
            </w:r>
          </w:p>
        </w:tc>
        <w:tc>
          <w:tcPr>
            <w:tcW w:w="1585" w:type="dxa"/>
          </w:tcPr>
          <w:p w14:paraId="385F7E94" w14:textId="1ED4659E" w:rsidR="00D73983" w:rsidRPr="000D1988" w:rsidRDefault="00D7398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Run and read length</w:t>
            </w:r>
          </w:p>
        </w:tc>
      </w:tr>
      <w:tr w:rsidR="00D73983" w:rsidRPr="000D1988" w14:paraId="184E6C30" w14:textId="77777777" w:rsidTr="00DF408D">
        <w:tc>
          <w:tcPr>
            <w:tcW w:w="1473" w:type="dxa"/>
            <w:vMerge/>
          </w:tcPr>
          <w:p w14:paraId="5A7EF51C" w14:textId="77777777"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p>
        </w:tc>
        <w:tc>
          <w:tcPr>
            <w:tcW w:w="1313" w:type="dxa"/>
          </w:tcPr>
          <w:p w14:paraId="538E23A3" w14:textId="05F905D7"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MiSeq</w:t>
            </w:r>
          </w:p>
        </w:tc>
        <w:tc>
          <w:tcPr>
            <w:tcW w:w="1701" w:type="dxa"/>
            <w:vMerge/>
          </w:tcPr>
          <w:p w14:paraId="0EFA16B5" w14:textId="77777777"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p>
        </w:tc>
        <w:tc>
          <w:tcPr>
            <w:tcW w:w="1418" w:type="dxa"/>
          </w:tcPr>
          <w:p w14:paraId="2B45E636" w14:textId="6CABAAAB"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0.3-15</w:t>
            </w:r>
          </w:p>
        </w:tc>
        <w:tc>
          <w:tcPr>
            <w:tcW w:w="1418" w:type="dxa"/>
          </w:tcPr>
          <w:p w14:paraId="339D71E5" w14:textId="6331B185"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1x36 to 2x300</w:t>
            </w:r>
          </w:p>
        </w:tc>
        <w:tc>
          <w:tcPr>
            <w:tcW w:w="1255" w:type="dxa"/>
          </w:tcPr>
          <w:p w14:paraId="3A273496" w14:textId="09172096"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Read length, scalability</w:t>
            </w:r>
          </w:p>
        </w:tc>
        <w:tc>
          <w:tcPr>
            <w:tcW w:w="1585" w:type="dxa"/>
          </w:tcPr>
          <w:p w14:paraId="0D192288" w14:textId="2E9F7F80"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Run length</w:t>
            </w:r>
          </w:p>
        </w:tc>
      </w:tr>
      <w:tr w:rsidR="00D73983" w:rsidRPr="000D1988" w14:paraId="65909BCD" w14:textId="77777777" w:rsidTr="00DF408D">
        <w:tc>
          <w:tcPr>
            <w:tcW w:w="1473" w:type="dxa"/>
            <w:vMerge/>
          </w:tcPr>
          <w:p w14:paraId="654A86BB" w14:textId="77777777"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p>
        </w:tc>
        <w:tc>
          <w:tcPr>
            <w:tcW w:w="1313" w:type="dxa"/>
          </w:tcPr>
          <w:p w14:paraId="771FA359" w14:textId="005B973B"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NextSeq</w:t>
            </w:r>
          </w:p>
        </w:tc>
        <w:tc>
          <w:tcPr>
            <w:tcW w:w="1701" w:type="dxa"/>
            <w:vMerge/>
          </w:tcPr>
          <w:p w14:paraId="13CA915C" w14:textId="77777777"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p>
        </w:tc>
        <w:tc>
          <w:tcPr>
            <w:tcW w:w="1418" w:type="dxa"/>
          </w:tcPr>
          <w:p w14:paraId="5D372BFF" w14:textId="411404FE"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10-120</w:t>
            </w:r>
          </w:p>
        </w:tc>
        <w:tc>
          <w:tcPr>
            <w:tcW w:w="1418" w:type="dxa"/>
          </w:tcPr>
          <w:p w14:paraId="289FAA9B" w14:textId="3017875F"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1x75 to 2x50</w:t>
            </w:r>
          </w:p>
        </w:tc>
        <w:tc>
          <w:tcPr>
            <w:tcW w:w="1255" w:type="dxa"/>
          </w:tcPr>
          <w:p w14:paraId="1060D567" w14:textId="0FED9743"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Throughput</w:t>
            </w:r>
          </w:p>
        </w:tc>
        <w:tc>
          <w:tcPr>
            <w:tcW w:w="1585" w:type="dxa"/>
          </w:tcPr>
          <w:p w14:paraId="6DE782C4" w14:textId="3BBD09B2"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Run and read length</w:t>
            </w:r>
          </w:p>
        </w:tc>
      </w:tr>
      <w:tr w:rsidR="00D73983" w:rsidRPr="000D1988" w14:paraId="6EDC959F" w14:textId="77777777" w:rsidTr="00DF408D">
        <w:tc>
          <w:tcPr>
            <w:tcW w:w="1473" w:type="dxa"/>
            <w:vMerge/>
          </w:tcPr>
          <w:p w14:paraId="48AD755F" w14:textId="77777777"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p>
        </w:tc>
        <w:tc>
          <w:tcPr>
            <w:tcW w:w="1313" w:type="dxa"/>
          </w:tcPr>
          <w:p w14:paraId="417C8A8A" w14:textId="181F8428"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HiSeq (2500)</w:t>
            </w:r>
          </w:p>
        </w:tc>
        <w:tc>
          <w:tcPr>
            <w:tcW w:w="1701" w:type="dxa"/>
            <w:vMerge/>
          </w:tcPr>
          <w:p w14:paraId="61DB9F7B" w14:textId="77777777"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p>
        </w:tc>
        <w:tc>
          <w:tcPr>
            <w:tcW w:w="1418" w:type="dxa"/>
          </w:tcPr>
          <w:p w14:paraId="4182193C" w14:textId="149AE7DB"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10-1000</w:t>
            </w:r>
          </w:p>
        </w:tc>
        <w:tc>
          <w:tcPr>
            <w:tcW w:w="1418" w:type="dxa"/>
          </w:tcPr>
          <w:p w14:paraId="370EEDB0" w14:textId="4178B164"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x50 to x250</w:t>
            </w:r>
          </w:p>
        </w:tc>
        <w:tc>
          <w:tcPr>
            <w:tcW w:w="1255" w:type="dxa"/>
          </w:tcPr>
          <w:p w14:paraId="52C13913" w14:textId="371B5B41"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Read accuracy, throughput</w:t>
            </w:r>
          </w:p>
        </w:tc>
        <w:tc>
          <w:tcPr>
            <w:tcW w:w="1585" w:type="dxa"/>
          </w:tcPr>
          <w:p w14:paraId="59B77A53" w14:textId="26CB744F"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High initial investment, run</w:t>
            </w:r>
          </w:p>
        </w:tc>
      </w:tr>
      <w:tr w:rsidR="00D73983" w:rsidRPr="000D1988" w14:paraId="05E1FD9D" w14:textId="77777777" w:rsidTr="00DF408D">
        <w:tc>
          <w:tcPr>
            <w:tcW w:w="1473" w:type="dxa"/>
            <w:vMerge/>
          </w:tcPr>
          <w:p w14:paraId="70D79188" w14:textId="77777777"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p>
        </w:tc>
        <w:tc>
          <w:tcPr>
            <w:tcW w:w="1313" w:type="dxa"/>
          </w:tcPr>
          <w:p w14:paraId="18F70FBC" w14:textId="4568543A"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NovaSeq 5000/6000</w:t>
            </w:r>
          </w:p>
        </w:tc>
        <w:tc>
          <w:tcPr>
            <w:tcW w:w="1701" w:type="dxa"/>
            <w:vMerge/>
          </w:tcPr>
          <w:p w14:paraId="5923668D" w14:textId="77777777"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p>
        </w:tc>
        <w:tc>
          <w:tcPr>
            <w:tcW w:w="1418" w:type="dxa"/>
          </w:tcPr>
          <w:p w14:paraId="3E222576" w14:textId="2D1E7CDA"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2000-6000</w:t>
            </w:r>
          </w:p>
        </w:tc>
        <w:tc>
          <w:tcPr>
            <w:tcW w:w="1418" w:type="dxa"/>
          </w:tcPr>
          <w:p w14:paraId="3F03EB78" w14:textId="695AAAF7"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2x50 to x150</w:t>
            </w:r>
          </w:p>
        </w:tc>
        <w:tc>
          <w:tcPr>
            <w:tcW w:w="1255" w:type="dxa"/>
          </w:tcPr>
          <w:p w14:paraId="146D3F00" w14:textId="3A8CD55C"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Read accuracy, throughput</w:t>
            </w:r>
          </w:p>
        </w:tc>
        <w:tc>
          <w:tcPr>
            <w:tcW w:w="1585" w:type="dxa"/>
          </w:tcPr>
          <w:p w14:paraId="3E16A5C3" w14:textId="47E1EDEF"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High initial investment, run</w:t>
            </w:r>
          </w:p>
        </w:tc>
      </w:tr>
      <w:tr w:rsidR="00D73983" w:rsidRPr="000D1988" w14:paraId="6F3E7154" w14:textId="77777777" w:rsidTr="00DF408D">
        <w:tc>
          <w:tcPr>
            <w:tcW w:w="1473" w:type="dxa"/>
            <w:vMerge w:val="restart"/>
          </w:tcPr>
          <w:p w14:paraId="7FBC63B6" w14:textId="3E9767A9" w:rsidR="00D73983" w:rsidRPr="000D1988" w:rsidRDefault="00D7398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Ion Torrent (Thermo Fisher Scientific)</w:t>
            </w:r>
          </w:p>
        </w:tc>
        <w:tc>
          <w:tcPr>
            <w:tcW w:w="1313" w:type="dxa"/>
          </w:tcPr>
          <w:p w14:paraId="794A2CD5" w14:textId="17865E1D" w:rsidR="00D73983" w:rsidRPr="000D1988" w:rsidRDefault="00D7398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Personal genome machine (PGM)</w:t>
            </w:r>
          </w:p>
        </w:tc>
        <w:tc>
          <w:tcPr>
            <w:tcW w:w="1701" w:type="dxa"/>
            <w:vMerge w:val="restart"/>
          </w:tcPr>
          <w:p w14:paraId="2DA6E0FD" w14:textId="41D6C64A" w:rsidR="00D73983" w:rsidRPr="000D1988" w:rsidRDefault="00D7398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Polymerase sequencing by synthesis. Detection by semiconductor technology</w:t>
            </w:r>
          </w:p>
        </w:tc>
        <w:tc>
          <w:tcPr>
            <w:tcW w:w="1418" w:type="dxa"/>
          </w:tcPr>
          <w:p w14:paraId="76121C41" w14:textId="2715D563" w:rsidR="00D73983" w:rsidRPr="000D1988" w:rsidRDefault="00D7398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0.08-2</w:t>
            </w:r>
          </w:p>
        </w:tc>
        <w:tc>
          <w:tcPr>
            <w:tcW w:w="1418" w:type="dxa"/>
          </w:tcPr>
          <w:p w14:paraId="2FD2DB5B" w14:textId="45284EEB" w:rsidR="00D73983" w:rsidRPr="000D1988" w:rsidRDefault="00D7398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Upto 400</w:t>
            </w:r>
          </w:p>
        </w:tc>
        <w:tc>
          <w:tcPr>
            <w:tcW w:w="1255" w:type="dxa"/>
          </w:tcPr>
          <w:p w14:paraId="473601B5" w14:textId="116D0359" w:rsidR="00D73983" w:rsidRPr="000D1988" w:rsidRDefault="00D7398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Read length, speed</w:t>
            </w:r>
          </w:p>
        </w:tc>
        <w:tc>
          <w:tcPr>
            <w:tcW w:w="1585" w:type="dxa"/>
          </w:tcPr>
          <w:p w14:paraId="7DEC59D0" w14:textId="2A8B1F64" w:rsidR="00D73983" w:rsidRPr="000D1988" w:rsidRDefault="00D7398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Throughput, homopolymers</w:t>
            </w:r>
          </w:p>
        </w:tc>
      </w:tr>
      <w:tr w:rsidR="00D73983" w:rsidRPr="000D1988" w14:paraId="05F5A870" w14:textId="77777777" w:rsidTr="00DF408D">
        <w:tc>
          <w:tcPr>
            <w:tcW w:w="1473" w:type="dxa"/>
            <w:vMerge/>
          </w:tcPr>
          <w:p w14:paraId="26E7898F" w14:textId="77777777"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p>
        </w:tc>
        <w:tc>
          <w:tcPr>
            <w:tcW w:w="1313" w:type="dxa"/>
          </w:tcPr>
          <w:p w14:paraId="1B950D04" w14:textId="627658B9"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S5</w:t>
            </w:r>
          </w:p>
        </w:tc>
        <w:tc>
          <w:tcPr>
            <w:tcW w:w="1701" w:type="dxa"/>
            <w:vMerge/>
          </w:tcPr>
          <w:p w14:paraId="402112AB" w14:textId="77777777"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p>
        </w:tc>
        <w:tc>
          <w:tcPr>
            <w:tcW w:w="1418" w:type="dxa"/>
          </w:tcPr>
          <w:p w14:paraId="4FD5F726" w14:textId="759E68E2"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0.6-15</w:t>
            </w:r>
          </w:p>
        </w:tc>
        <w:tc>
          <w:tcPr>
            <w:tcW w:w="1418" w:type="dxa"/>
          </w:tcPr>
          <w:p w14:paraId="5E773C27" w14:textId="5FE19A78"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Upto 400</w:t>
            </w:r>
          </w:p>
        </w:tc>
        <w:tc>
          <w:tcPr>
            <w:tcW w:w="1255" w:type="dxa"/>
          </w:tcPr>
          <w:p w14:paraId="1F4B8BB9" w14:textId="6261C54E"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Read length, speed</w:t>
            </w:r>
          </w:p>
        </w:tc>
        <w:tc>
          <w:tcPr>
            <w:tcW w:w="1585" w:type="dxa"/>
          </w:tcPr>
          <w:p w14:paraId="303BECBC" w14:textId="279AAA69"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Homopolymers</w:t>
            </w:r>
          </w:p>
        </w:tc>
      </w:tr>
      <w:tr w:rsidR="00D73983" w:rsidRPr="000D1988" w14:paraId="64F5865C" w14:textId="77777777" w:rsidTr="00DF408D">
        <w:tc>
          <w:tcPr>
            <w:tcW w:w="1473" w:type="dxa"/>
            <w:vMerge/>
          </w:tcPr>
          <w:p w14:paraId="60487891" w14:textId="77777777"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p>
        </w:tc>
        <w:tc>
          <w:tcPr>
            <w:tcW w:w="1313" w:type="dxa"/>
          </w:tcPr>
          <w:p w14:paraId="57463E92" w14:textId="20E201FB"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Proton</w:t>
            </w:r>
          </w:p>
        </w:tc>
        <w:tc>
          <w:tcPr>
            <w:tcW w:w="1701" w:type="dxa"/>
            <w:vMerge/>
          </w:tcPr>
          <w:p w14:paraId="3CDB5675" w14:textId="77777777"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p>
        </w:tc>
        <w:tc>
          <w:tcPr>
            <w:tcW w:w="1418" w:type="dxa"/>
          </w:tcPr>
          <w:p w14:paraId="4590A42A" w14:textId="5297F491"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10-15</w:t>
            </w:r>
          </w:p>
        </w:tc>
        <w:tc>
          <w:tcPr>
            <w:tcW w:w="1418" w:type="dxa"/>
          </w:tcPr>
          <w:p w14:paraId="58F6BB0B" w14:textId="7E4E1979"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Upto 200</w:t>
            </w:r>
          </w:p>
        </w:tc>
        <w:tc>
          <w:tcPr>
            <w:tcW w:w="1255" w:type="dxa"/>
          </w:tcPr>
          <w:p w14:paraId="0C728265" w14:textId="1F18061F"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Speed, throughput</w:t>
            </w:r>
          </w:p>
        </w:tc>
        <w:tc>
          <w:tcPr>
            <w:tcW w:w="1585" w:type="dxa"/>
          </w:tcPr>
          <w:p w14:paraId="200117AA" w14:textId="7A82260F"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Homopolymers</w:t>
            </w:r>
          </w:p>
        </w:tc>
      </w:tr>
      <w:tr w:rsidR="00D73983" w:rsidRPr="000D1988" w14:paraId="0C05717A" w14:textId="77777777" w:rsidTr="00C933A3">
        <w:tc>
          <w:tcPr>
            <w:tcW w:w="1473" w:type="dxa"/>
            <w:vMerge w:val="restart"/>
          </w:tcPr>
          <w:p w14:paraId="34B7F135" w14:textId="4AAC4630" w:rsidR="00D73983" w:rsidRPr="000D1988" w:rsidRDefault="00D7398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Pacific Biosciences (PacBio)</w:t>
            </w:r>
          </w:p>
        </w:tc>
        <w:tc>
          <w:tcPr>
            <w:tcW w:w="1313" w:type="dxa"/>
          </w:tcPr>
          <w:p w14:paraId="0FAD4045" w14:textId="4E0D6B6A" w:rsidR="00D73983" w:rsidRPr="000D1988" w:rsidRDefault="00D7398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RS Platform</w:t>
            </w:r>
          </w:p>
        </w:tc>
        <w:tc>
          <w:tcPr>
            <w:tcW w:w="1701" w:type="dxa"/>
            <w:vMerge w:val="restart"/>
          </w:tcPr>
          <w:p w14:paraId="04874B85" w14:textId="3CBA46D4" w:rsidR="00D73983" w:rsidRPr="000D1988" w:rsidRDefault="00D7398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 xml:space="preserve">Signal with incorporation of phosphonucleotides into DNA. </w:t>
            </w:r>
            <w:r w:rsidRPr="000D1988">
              <w:rPr>
                <w:rFonts w:eastAsia="Times New Roman" w:cs="Times New Roman"/>
                <w:noProof/>
                <w:sz w:val="20"/>
                <w:szCs w:val="20"/>
              </w:rPr>
              <w:lastRenderedPageBreak/>
              <w:t>Single molecule real time detection.</w:t>
            </w:r>
          </w:p>
        </w:tc>
        <w:tc>
          <w:tcPr>
            <w:tcW w:w="1418" w:type="dxa"/>
          </w:tcPr>
          <w:p w14:paraId="5568E67C" w14:textId="3F08AAD9" w:rsidR="00D73983" w:rsidRPr="000D1988" w:rsidRDefault="00D7398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lastRenderedPageBreak/>
              <w:t>0.5-1</w:t>
            </w:r>
          </w:p>
        </w:tc>
        <w:tc>
          <w:tcPr>
            <w:tcW w:w="1418" w:type="dxa"/>
          </w:tcPr>
          <w:p w14:paraId="345F1397" w14:textId="4A8F1C7A" w:rsidR="00D73983" w:rsidRPr="000D1988" w:rsidRDefault="00D7398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Upto 60 kb</w:t>
            </w:r>
          </w:p>
        </w:tc>
        <w:tc>
          <w:tcPr>
            <w:tcW w:w="1255" w:type="dxa"/>
          </w:tcPr>
          <w:p w14:paraId="3E7F5AF4" w14:textId="6F443F65" w:rsidR="00D73983" w:rsidRPr="000D1988" w:rsidRDefault="00D7398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 xml:space="preserve">Read length, speed (Average 10 kb, N50 20 </w:t>
            </w:r>
            <w:r w:rsidRPr="000D1988">
              <w:rPr>
                <w:rFonts w:eastAsia="Times New Roman" w:cs="Times New Roman"/>
                <w:noProof/>
                <w:sz w:val="20"/>
                <w:szCs w:val="20"/>
              </w:rPr>
              <w:lastRenderedPageBreak/>
              <w:t>kb)</w:t>
            </w:r>
          </w:p>
        </w:tc>
        <w:tc>
          <w:tcPr>
            <w:tcW w:w="1585" w:type="dxa"/>
          </w:tcPr>
          <w:p w14:paraId="36D106FA" w14:textId="2841060C" w:rsidR="00D73983" w:rsidRPr="000D1988" w:rsidRDefault="00D7398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lastRenderedPageBreak/>
              <w:t>High error rate and initial</w:t>
            </w:r>
          </w:p>
        </w:tc>
      </w:tr>
      <w:tr w:rsidR="00D73983" w:rsidRPr="000D1988" w14:paraId="3B5C4C66" w14:textId="77777777" w:rsidTr="00C933A3">
        <w:tc>
          <w:tcPr>
            <w:tcW w:w="1473" w:type="dxa"/>
            <w:vMerge/>
          </w:tcPr>
          <w:p w14:paraId="25B92211" w14:textId="77777777"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p>
        </w:tc>
        <w:tc>
          <w:tcPr>
            <w:tcW w:w="1313" w:type="dxa"/>
          </w:tcPr>
          <w:p w14:paraId="4A5CA2CB" w14:textId="4A74BA6B"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Sequel</w:t>
            </w:r>
          </w:p>
        </w:tc>
        <w:tc>
          <w:tcPr>
            <w:tcW w:w="1701" w:type="dxa"/>
            <w:vMerge/>
          </w:tcPr>
          <w:p w14:paraId="5EDE1D8F" w14:textId="77777777"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p>
        </w:tc>
        <w:tc>
          <w:tcPr>
            <w:tcW w:w="1418" w:type="dxa"/>
          </w:tcPr>
          <w:p w14:paraId="0A20F2A9" w14:textId="53BFE23C"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5-10</w:t>
            </w:r>
          </w:p>
        </w:tc>
        <w:tc>
          <w:tcPr>
            <w:tcW w:w="1418" w:type="dxa"/>
          </w:tcPr>
          <w:p w14:paraId="2D09EC9A" w14:textId="13BE70BF"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w:t>
            </w:r>
          </w:p>
        </w:tc>
        <w:tc>
          <w:tcPr>
            <w:tcW w:w="1255" w:type="dxa"/>
          </w:tcPr>
          <w:p w14:paraId="70C6940D" w14:textId="515CD679"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w:t>
            </w:r>
          </w:p>
        </w:tc>
        <w:tc>
          <w:tcPr>
            <w:tcW w:w="1585" w:type="dxa"/>
          </w:tcPr>
          <w:p w14:paraId="0D2ABB33" w14:textId="72DA9946" w:rsidR="00D73983" w:rsidRPr="000D1988" w:rsidRDefault="00D73983" w:rsidP="001E4BA5">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High error rate</w:t>
            </w:r>
          </w:p>
        </w:tc>
      </w:tr>
      <w:tr w:rsidR="00B070D3" w:rsidRPr="000D1988" w14:paraId="30F153B0" w14:textId="77777777" w:rsidTr="00B070D3">
        <w:tc>
          <w:tcPr>
            <w:tcW w:w="1473" w:type="dxa"/>
          </w:tcPr>
          <w:p w14:paraId="6899016C" w14:textId="124B8456" w:rsidR="00B070D3" w:rsidRPr="000D1988" w:rsidRDefault="00B070D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Oxford Nanopore Technology (ONT)</w:t>
            </w:r>
          </w:p>
        </w:tc>
        <w:tc>
          <w:tcPr>
            <w:tcW w:w="1313" w:type="dxa"/>
          </w:tcPr>
          <w:p w14:paraId="7F5562F3" w14:textId="61D57D17" w:rsidR="00B070D3" w:rsidRPr="000D1988" w:rsidRDefault="00B070D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MinIon</w:t>
            </w:r>
          </w:p>
          <w:p w14:paraId="50D88445" w14:textId="77777777" w:rsidR="00B070D3" w:rsidRPr="000D1988" w:rsidRDefault="00B070D3" w:rsidP="00B74C9B">
            <w:pPr>
              <w:widowControl w:val="0"/>
              <w:autoSpaceDE w:val="0"/>
              <w:autoSpaceDN w:val="0"/>
              <w:adjustRightInd w:val="0"/>
              <w:spacing w:after="120" w:line="276" w:lineRule="auto"/>
              <w:jc w:val="both"/>
              <w:rPr>
                <w:rFonts w:eastAsia="Times New Roman" w:cs="Times New Roman"/>
                <w:noProof/>
                <w:sz w:val="20"/>
                <w:szCs w:val="20"/>
              </w:rPr>
            </w:pPr>
          </w:p>
        </w:tc>
        <w:tc>
          <w:tcPr>
            <w:tcW w:w="1701" w:type="dxa"/>
          </w:tcPr>
          <w:p w14:paraId="1D572475" w14:textId="194DD862" w:rsidR="00B070D3" w:rsidRPr="000D1988" w:rsidRDefault="00B070D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Electronic identification of nucleotides using protein nanopores</w:t>
            </w:r>
          </w:p>
        </w:tc>
        <w:tc>
          <w:tcPr>
            <w:tcW w:w="1418" w:type="dxa"/>
          </w:tcPr>
          <w:p w14:paraId="43FB6231" w14:textId="3F3F4FEC" w:rsidR="00B070D3" w:rsidRPr="000D1988" w:rsidRDefault="00B070D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0.1-1</w:t>
            </w:r>
          </w:p>
        </w:tc>
        <w:tc>
          <w:tcPr>
            <w:tcW w:w="1418" w:type="dxa"/>
          </w:tcPr>
          <w:p w14:paraId="3DB02790" w14:textId="5FD36306" w:rsidR="00B070D3" w:rsidRPr="000D1988" w:rsidRDefault="00B070D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Upto 100 kb</w:t>
            </w:r>
          </w:p>
        </w:tc>
        <w:tc>
          <w:tcPr>
            <w:tcW w:w="1255" w:type="dxa"/>
          </w:tcPr>
          <w:p w14:paraId="4A06D11B" w14:textId="77777777" w:rsidR="00B070D3" w:rsidRPr="000D1988" w:rsidRDefault="00B070D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Read length, portability</w:t>
            </w:r>
          </w:p>
          <w:p w14:paraId="21E27CD9" w14:textId="65360DD3" w:rsidR="006A0945" w:rsidRPr="000D1988" w:rsidRDefault="006A0945" w:rsidP="00B74C9B">
            <w:pPr>
              <w:widowControl w:val="0"/>
              <w:autoSpaceDE w:val="0"/>
              <w:autoSpaceDN w:val="0"/>
              <w:adjustRightInd w:val="0"/>
              <w:spacing w:after="120" w:line="276" w:lineRule="auto"/>
              <w:jc w:val="both"/>
              <w:rPr>
                <w:rFonts w:eastAsia="Times New Roman" w:cs="Times New Roman"/>
                <w:noProof/>
                <w:sz w:val="20"/>
                <w:szCs w:val="20"/>
              </w:rPr>
            </w:pPr>
          </w:p>
        </w:tc>
        <w:tc>
          <w:tcPr>
            <w:tcW w:w="1585" w:type="dxa"/>
          </w:tcPr>
          <w:p w14:paraId="331E6ABB" w14:textId="13ACFD6A" w:rsidR="00B070D3" w:rsidRPr="000D1988" w:rsidRDefault="00B070D3" w:rsidP="00B74C9B">
            <w:pPr>
              <w:widowControl w:val="0"/>
              <w:autoSpaceDE w:val="0"/>
              <w:autoSpaceDN w:val="0"/>
              <w:adjustRightInd w:val="0"/>
              <w:spacing w:after="120" w:line="276" w:lineRule="auto"/>
              <w:jc w:val="both"/>
              <w:rPr>
                <w:rFonts w:eastAsia="Times New Roman" w:cs="Times New Roman"/>
                <w:noProof/>
                <w:sz w:val="20"/>
                <w:szCs w:val="20"/>
              </w:rPr>
            </w:pPr>
            <w:r w:rsidRPr="000D1988">
              <w:rPr>
                <w:rFonts w:eastAsia="Times New Roman" w:cs="Times New Roman"/>
                <w:noProof/>
                <w:sz w:val="20"/>
                <w:szCs w:val="20"/>
              </w:rPr>
              <w:t>High error rate, run length</w:t>
            </w:r>
          </w:p>
        </w:tc>
      </w:tr>
    </w:tbl>
    <w:p w14:paraId="1BA3A568" w14:textId="25CB577E" w:rsidR="006B0A5C" w:rsidRPr="000D1988" w:rsidRDefault="00DA328E" w:rsidP="00EF037E">
      <w:pPr>
        <w:widowControl w:val="0"/>
        <w:autoSpaceDE w:val="0"/>
        <w:autoSpaceDN w:val="0"/>
        <w:adjustRightInd w:val="0"/>
        <w:spacing w:after="120" w:line="360" w:lineRule="auto"/>
        <w:jc w:val="both"/>
        <w:rPr>
          <w:rFonts w:eastAsia="Times New Roman" w:cs="Times New Roman"/>
          <w:noProof/>
          <w:sz w:val="20"/>
          <w:szCs w:val="20"/>
        </w:rPr>
      </w:pPr>
      <w:r w:rsidRPr="000D1988">
        <w:rPr>
          <w:rFonts w:cs="Times New Roman"/>
          <w:sz w:val="20"/>
          <w:szCs w:val="20"/>
        </w:rPr>
        <w:t xml:space="preserve">The table is </w:t>
      </w:r>
      <w:r w:rsidR="00E9777D" w:rsidRPr="000D1988">
        <w:rPr>
          <w:rFonts w:cs="Times New Roman"/>
          <w:sz w:val="20"/>
          <w:szCs w:val="20"/>
        </w:rPr>
        <w:t xml:space="preserve">modified and adapted from </w:t>
      </w:r>
      <w:r w:rsidR="005969E8" w:rsidRPr="000D1988">
        <w:rPr>
          <w:rFonts w:cs="Times New Roman"/>
          <w:sz w:val="20"/>
          <w:szCs w:val="20"/>
        </w:rPr>
        <w:t xml:space="preserve">a recent review </w:t>
      </w:r>
      <w:r w:rsidR="00E9777D" w:rsidRPr="000D1988">
        <w:rPr>
          <w:rFonts w:cs="Times New Roman"/>
          <w:sz w:val="20"/>
          <w:szCs w:val="20"/>
        </w:rPr>
        <w:fldChar w:fldCharType="begin" w:fldLock="1"/>
      </w:r>
      <w:r w:rsidR="00160B99" w:rsidRPr="000D1988">
        <w:rPr>
          <w:rFonts w:cs="Times New Roman"/>
          <w:sz w:val="20"/>
          <w:szCs w:val="20"/>
        </w:rPr>
        <w:instrText>ADDIN CSL_CITATION { "citationItems" : [ { "id" : "ITEM-1", "itemData" : { "DOI" : "10.1016/j.cmi.2017.10.013", "ISBN" : "1198-743X", "ISSN" : "14690691", "PMID" : "29074157", "abstract" : "Background: With the efficiency and the decreasing cost of next-generation sequencing, the technology is being rapidly introduced into clinical and public health laboratory practice. Aims: The historical background and principles of first-, second- and third-generation sequencing are described, as are the characteristics of the most commonly used sequencing instruments. Sources: Peer-reviewed literature, white papers and meeting reports. Content and implications: Next-generation sequencing is a technology that could potentially replace many traditional microbiological workflows, providing clinicians and public health specialists with more actionable information than hitherto achievable. Examples of the clinical and public health uses of the technology are provided. The challenge of comparability of different sequencing platforms is discussed. Finally, the future directions of the technology integrating it with laboratory management and public health surveillance systems, and moving it towards performing sequencing directly from the clinical specimen (metagenomics), could lead to yet another fundamental transformation of clinical diagnostics and public health surveillance.", "author" : [ { "dropping-particle" : "", "family" : "Besser", "given" : "J.", "non-dropping-particle" : "", "parse-names" : false, "suffix" : "" }, { "dropping-particle" : "", "family" : "Carleton", "given" : "H. A.", "non-dropping-particle" : "", "parse-names" : false, "suffix" : "" }, { "dropping-particle" : "", "family" : "Gerner-Smidt", "given" : "P.", "non-dropping-particle" : "", "parse-names" : false, "suffix" : "" }, { "dropping-particle" : "", "family" : "Lindsey", "given" : "R. L.", "non-dropping-particle" : "", "parse-names" : false, "suffix" : "" }, { "dropping-particle" : "", "family" : "Trees", "given" : "E.", "non-dropping-particle" : "", "parse-names" : false, "suffix" : "" } ], "container-title" : "Clinical Microbiology and Infection", "id" : "ITEM-1", "issue" : "4", "issued" : { "date-parts" : [ [ "2018" ] ] }, "page" : "335-341", "title" : "Next-generation sequencing technologies and their application to the study and control of bacterial infections", "type" : "article", "volume" : "24" }, "uris" : [ "http://www.mendeley.com/documents/?uuid=b8a47c4a-bdaa-416f-957e-8e4dce8d0d27" ] } ], "mendeley" : { "formattedCitation" : "(3)", "plainTextFormattedCitation" : "(3)", "previouslyFormattedCitation" : "(1)" }, "properties" : { "noteIndex" : 0 }, "schema" : "https://github.com/citation-style-language/schema/raw/master/csl-citation.json" }</w:instrText>
      </w:r>
      <w:r w:rsidR="00E9777D" w:rsidRPr="000D1988">
        <w:rPr>
          <w:rFonts w:cs="Times New Roman"/>
          <w:sz w:val="20"/>
          <w:szCs w:val="20"/>
        </w:rPr>
        <w:fldChar w:fldCharType="separate"/>
      </w:r>
      <w:r w:rsidR="00160B99" w:rsidRPr="000D1988">
        <w:rPr>
          <w:rFonts w:cs="Times New Roman"/>
          <w:noProof/>
          <w:sz w:val="20"/>
          <w:szCs w:val="20"/>
        </w:rPr>
        <w:t>(3)</w:t>
      </w:r>
      <w:r w:rsidR="00E9777D" w:rsidRPr="000D1988">
        <w:rPr>
          <w:rFonts w:cs="Times New Roman"/>
          <w:sz w:val="20"/>
          <w:szCs w:val="20"/>
        </w:rPr>
        <w:fldChar w:fldCharType="end"/>
      </w:r>
      <w:r w:rsidR="00E9777D" w:rsidRPr="000D1988">
        <w:rPr>
          <w:rFonts w:cs="Times New Roman"/>
          <w:sz w:val="20"/>
          <w:szCs w:val="20"/>
        </w:rPr>
        <w:t xml:space="preserve">. The table </w:t>
      </w:r>
      <w:r w:rsidR="001E4BA5" w:rsidRPr="000D1988">
        <w:rPr>
          <w:rFonts w:cs="Times New Roman"/>
          <w:sz w:val="20"/>
          <w:szCs w:val="20"/>
        </w:rPr>
        <w:t>listed represent a</w:t>
      </w:r>
      <w:r w:rsidRPr="000D1988">
        <w:rPr>
          <w:rFonts w:cs="Times New Roman"/>
          <w:sz w:val="20"/>
          <w:szCs w:val="20"/>
        </w:rPr>
        <w:t xml:space="preserve"> </w:t>
      </w:r>
      <w:r w:rsidR="00E9777D" w:rsidRPr="000D1988">
        <w:rPr>
          <w:rFonts w:cs="Times New Roman"/>
          <w:sz w:val="20"/>
          <w:szCs w:val="20"/>
        </w:rPr>
        <w:t>selection,</w:t>
      </w:r>
      <w:r w:rsidRPr="000D1988">
        <w:rPr>
          <w:rFonts w:cs="Times New Roman"/>
          <w:sz w:val="20"/>
          <w:szCs w:val="20"/>
        </w:rPr>
        <w:t xml:space="preserve"> some of the less common/available platforms could not be mentioned.</w:t>
      </w:r>
    </w:p>
    <w:p w14:paraId="58B7DF80" w14:textId="77777777" w:rsidR="006B0A5C" w:rsidRPr="000D1988" w:rsidRDefault="006B0A5C" w:rsidP="00EF037E">
      <w:pPr>
        <w:widowControl w:val="0"/>
        <w:autoSpaceDE w:val="0"/>
        <w:autoSpaceDN w:val="0"/>
        <w:adjustRightInd w:val="0"/>
        <w:spacing w:after="120" w:line="360" w:lineRule="auto"/>
        <w:jc w:val="both"/>
        <w:rPr>
          <w:rFonts w:eastAsia="Times New Roman" w:cs="Times New Roman"/>
          <w:noProof/>
          <w:sz w:val="22"/>
        </w:rPr>
      </w:pPr>
    </w:p>
    <w:p w14:paraId="02E7644B" w14:textId="77777777" w:rsidR="00D843C5" w:rsidRPr="000D1988" w:rsidRDefault="00D843C5" w:rsidP="00EF037E">
      <w:pPr>
        <w:widowControl w:val="0"/>
        <w:autoSpaceDE w:val="0"/>
        <w:autoSpaceDN w:val="0"/>
        <w:adjustRightInd w:val="0"/>
        <w:spacing w:after="120" w:line="360" w:lineRule="auto"/>
        <w:jc w:val="both"/>
        <w:rPr>
          <w:rFonts w:eastAsia="Times New Roman" w:cs="Times New Roman"/>
          <w:b/>
          <w:noProof/>
          <w:sz w:val="22"/>
        </w:rPr>
      </w:pPr>
    </w:p>
    <w:p w14:paraId="068EDF5F" w14:textId="77777777" w:rsidR="00D843C5" w:rsidRPr="000D1988" w:rsidRDefault="00D843C5" w:rsidP="00EF037E">
      <w:pPr>
        <w:widowControl w:val="0"/>
        <w:autoSpaceDE w:val="0"/>
        <w:autoSpaceDN w:val="0"/>
        <w:adjustRightInd w:val="0"/>
        <w:spacing w:after="120" w:line="360" w:lineRule="auto"/>
        <w:jc w:val="both"/>
        <w:rPr>
          <w:rFonts w:eastAsia="Times New Roman" w:cs="Times New Roman"/>
          <w:b/>
          <w:noProof/>
          <w:sz w:val="22"/>
        </w:rPr>
      </w:pPr>
    </w:p>
    <w:p w14:paraId="0D7FFBFF" w14:textId="77777777" w:rsidR="00D843C5" w:rsidRPr="000D1988" w:rsidRDefault="00D843C5" w:rsidP="00EF037E">
      <w:pPr>
        <w:widowControl w:val="0"/>
        <w:autoSpaceDE w:val="0"/>
        <w:autoSpaceDN w:val="0"/>
        <w:adjustRightInd w:val="0"/>
        <w:spacing w:after="120" w:line="360" w:lineRule="auto"/>
        <w:jc w:val="both"/>
        <w:rPr>
          <w:rFonts w:eastAsia="Times New Roman" w:cs="Times New Roman"/>
          <w:b/>
          <w:noProof/>
          <w:sz w:val="22"/>
        </w:rPr>
      </w:pPr>
    </w:p>
    <w:p w14:paraId="36C5F3F4" w14:textId="77777777" w:rsidR="00D843C5" w:rsidRPr="000D1988" w:rsidRDefault="00D843C5" w:rsidP="00EF037E">
      <w:pPr>
        <w:widowControl w:val="0"/>
        <w:autoSpaceDE w:val="0"/>
        <w:autoSpaceDN w:val="0"/>
        <w:adjustRightInd w:val="0"/>
        <w:spacing w:after="120" w:line="360" w:lineRule="auto"/>
        <w:jc w:val="both"/>
        <w:rPr>
          <w:rFonts w:eastAsia="Times New Roman" w:cs="Times New Roman"/>
          <w:b/>
          <w:noProof/>
          <w:sz w:val="22"/>
        </w:rPr>
      </w:pPr>
    </w:p>
    <w:p w14:paraId="1417E853" w14:textId="77777777" w:rsidR="00D843C5" w:rsidRPr="000D1988" w:rsidRDefault="00D843C5" w:rsidP="00EF037E">
      <w:pPr>
        <w:widowControl w:val="0"/>
        <w:autoSpaceDE w:val="0"/>
        <w:autoSpaceDN w:val="0"/>
        <w:adjustRightInd w:val="0"/>
        <w:spacing w:after="120" w:line="360" w:lineRule="auto"/>
        <w:jc w:val="both"/>
        <w:rPr>
          <w:rFonts w:eastAsia="Times New Roman" w:cs="Times New Roman"/>
          <w:b/>
          <w:noProof/>
          <w:sz w:val="22"/>
        </w:rPr>
      </w:pPr>
    </w:p>
    <w:p w14:paraId="105354B2" w14:textId="77777777" w:rsidR="00D843C5" w:rsidRPr="000D1988" w:rsidRDefault="00D843C5" w:rsidP="00EF037E">
      <w:pPr>
        <w:widowControl w:val="0"/>
        <w:autoSpaceDE w:val="0"/>
        <w:autoSpaceDN w:val="0"/>
        <w:adjustRightInd w:val="0"/>
        <w:spacing w:after="120" w:line="360" w:lineRule="auto"/>
        <w:jc w:val="both"/>
        <w:rPr>
          <w:rFonts w:eastAsia="Times New Roman" w:cs="Times New Roman"/>
          <w:b/>
          <w:noProof/>
          <w:sz w:val="22"/>
        </w:rPr>
      </w:pPr>
    </w:p>
    <w:p w14:paraId="76BD7A05" w14:textId="77777777" w:rsidR="00D843C5" w:rsidRPr="000D1988" w:rsidRDefault="00D843C5" w:rsidP="00EF037E">
      <w:pPr>
        <w:widowControl w:val="0"/>
        <w:autoSpaceDE w:val="0"/>
        <w:autoSpaceDN w:val="0"/>
        <w:adjustRightInd w:val="0"/>
        <w:spacing w:after="120" w:line="360" w:lineRule="auto"/>
        <w:jc w:val="both"/>
        <w:rPr>
          <w:rFonts w:eastAsia="Times New Roman" w:cs="Times New Roman"/>
          <w:b/>
          <w:noProof/>
          <w:sz w:val="22"/>
        </w:rPr>
      </w:pPr>
    </w:p>
    <w:p w14:paraId="54D2660B" w14:textId="77777777" w:rsidR="00D843C5" w:rsidRPr="000D1988" w:rsidRDefault="00D843C5" w:rsidP="00EF037E">
      <w:pPr>
        <w:widowControl w:val="0"/>
        <w:autoSpaceDE w:val="0"/>
        <w:autoSpaceDN w:val="0"/>
        <w:adjustRightInd w:val="0"/>
        <w:spacing w:after="120" w:line="360" w:lineRule="auto"/>
        <w:jc w:val="both"/>
        <w:rPr>
          <w:rFonts w:eastAsia="Times New Roman" w:cs="Times New Roman"/>
          <w:b/>
          <w:noProof/>
          <w:sz w:val="22"/>
        </w:rPr>
      </w:pPr>
    </w:p>
    <w:p w14:paraId="54531EF4" w14:textId="77777777" w:rsidR="00B74C9B" w:rsidRPr="000D1988" w:rsidRDefault="00B74C9B" w:rsidP="00EF037E">
      <w:pPr>
        <w:widowControl w:val="0"/>
        <w:autoSpaceDE w:val="0"/>
        <w:autoSpaceDN w:val="0"/>
        <w:adjustRightInd w:val="0"/>
        <w:spacing w:after="120" w:line="360" w:lineRule="auto"/>
        <w:jc w:val="both"/>
        <w:rPr>
          <w:rFonts w:eastAsia="Times New Roman" w:cs="Times New Roman"/>
          <w:b/>
          <w:noProof/>
          <w:sz w:val="22"/>
        </w:rPr>
      </w:pPr>
    </w:p>
    <w:p w14:paraId="28AED956" w14:textId="77777777" w:rsidR="00B74C9B" w:rsidRPr="000D1988" w:rsidRDefault="00B74C9B" w:rsidP="00EF037E">
      <w:pPr>
        <w:widowControl w:val="0"/>
        <w:autoSpaceDE w:val="0"/>
        <w:autoSpaceDN w:val="0"/>
        <w:adjustRightInd w:val="0"/>
        <w:spacing w:after="120" w:line="360" w:lineRule="auto"/>
        <w:jc w:val="both"/>
        <w:rPr>
          <w:rFonts w:eastAsia="Times New Roman" w:cs="Times New Roman"/>
          <w:b/>
          <w:noProof/>
          <w:sz w:val="22"/>
        </w:rPr>
      </w:pPr>
    </w:p>
    <w:p w14:paraId="13B95B1C" w14:textId="77777777" w:rsidR="00B74C9B" w:rsidRPr="000D1988" w:rsidRDefault="00B74C9B" w:rsidP="00EF037E">
      <w:pPr>
        <w:widowControl w:val="0"/>
        <w:autoSpaceDE w:val="0"/>
        <w:autoSpaceDN w:val="0"/>
        <w:adjustRightInd w:val="0"/>
        <w:spacing w:after="120" w:line="360" w:lineRule="auto"/>
        <w:jc w:val="both"/>
        <w:rPr>
          <w:rFonts w:eastAsia="Times New Roman" w:cs="Times New Roman"/>
          <w:b/>
          <w:noProof/>
          <w:sz w:val="22"/>
        </w:rPr>
      </w:pPr>
    </w:p>
    <w:p w14:paraId="7B6344A8" w14:textId="77777777" w:rsidR="00B74C9B" w:rsidRPr="000D1988" w:rsidRDefault="00B74C9B" w:rsidP="00EF037E">
      <w:pPr>
        <w:widowControl w:val="0"/>
        <w:autoSpaceDE w:val="0"/>
        <w:autoSpaceDN w:val="0"/>
        <w:adjustRightInd w:val="0"/>
        <w:spacing w:after="120" w:line="360" w:lineRule="auto"/>
        <w:jc w:val="both"/>
        <w:rPr>
          <w:rFonts w:eastAsia="Times New Roman" w:cs="Times New Roman"/>
          <w:b/>
          <w:noProof/>
          <w:sz w:val="22"/>
        </w:rPr>
      </w:pPr>
    </w:p>
    <w:p w14:paraId="4141155B" w14:textId="77777777" w:rsidR="00B74C9B" w:rsidRPr="000D1988" w:rsidRDefault="00B74C9B" w:rsidP="00EF037E">
      <w:pPr>
        <w:widowControl w:val="0"/>
        <w:autoSpaceDE w:val="0"/>
        <w:autoSpaceDN w:val="0"/>
        <w:adjustRightInd w:val="0"/>
        <w:spacing w:after="120" w:line="360" w:lineRule="auto"/>
        <w:jc w:val="both"/>
        <w:rPr>
          <w:rFonts w:eastAsia="Times New Roman" w:cs="Times New Roman"/>
          <w:b/>
          <w:noProof/>
          <w:sz w:val="22"/>
        </w:rPr>
      </w:pPr>
    </w:p>
    <w:p w14:paraId="5F62C847" w14:textId="77777777" w:rsidR="00B74C9B" w:rsidRPr="000D1988" w:rsidRDefault="00B74C9B" w:rsidP="00EF037E">
      <w:pPr>
        <w:widowControl w:val="0"/>
        <w:autoSpaceDE w:val="0"/>
        <w:autoSpaceDN w:val="0"/>
        <w:adjustRightInd w:val="0"/>
        <w:spacing w:after="120" w:line="360" w:lineRule="auto"/>
        <w:jc w:val="both"/>
        <w:rPr>
          <w:rFonts w:eastAsia="Times New Roman" w:cs="Times New Roman"/>
          <w:b/>
          <w:noProof/>
          <w:sz w:val="22"/>
        </w:rPr>
      </w:pPr>
    </w:p>
    <w:p w14:paraId="76502D7D" w14:textId="77777777" w:rsidR="00B74C9B" w:rsidRPr="000D1988" w:rsidRDefault="00B74C9B" w:rsidP="00EF037E">
      <w:pPr>
        <w:widowControl w:val="0"/>
        <w:autoSpaceDE w:val="0"/>
        <w:autoSpaceDN w:val="0"/>
        <w:adjustRightInd w:val="0"/>
        <w:spacing w:after="120" w:line="360" w:lineRule="auto"/>
        <w:jc w:val="both"/>
        <w:rPr>
          <w:rFonts w:eastAsia="Times New Roman" w:cs="Times New Roman"/>
          <w:b/>
          <w:noProof/>
          <w:sz w:val="22"/>
        </w:rPr>
      </w:pPr>
    </w:p>
    <w:p w14:paraId="42A1A5FA" w14:textId="77777777" w:rsidR="00B74C9B" w:rsidRPr="000D1988" w:rsidRDefault="00B74C9B" w:rsidP="00EF037E">
      <w:pPr>
        <w:widowControl w:val="0"/>
        <w:autoSpaceDE w:val="0"/>
        <w:autoSpaceDN w:val="0"/>
        <w:adjustRightInd w:val="0"/>
        <w:spacing w:after="120" w:line="360" w:lineRule="auto"/>
        <w:jc w:val="both"/>
        <w:rPr>
          <w:rFonts w:eastAsia="Times New Roman" w:cs="Times New Roman"/>
          <w:b/>
          <w:noProof/>
          <w:sz w:val="22"/>
        </w:rPr>
      </w:pPr>
    </w:p>
    <w:p w14:paraId="548CC9EE" w14:textId="77777777" w:rsidR="002F539E" w:rsidRPr="000D1988" w:rsidRDefault="002F539E" w:rsidP="00EF037E">
      <w:pPr>
        <w:widowControl w:val="0"/>
        <w:autoSpaceDE w:val="0"/>
        <w:autoSpaceDN w:val="0"/>
        <w:adjustRightInd w:val="0"/>
        <w:spacing w:after="120" w:line="360" w:lineRule="auto"/>
        <w:jc w:val="both"/>
        <w:rPr>
          <w:rFonts w:eastAsia="Times New Roman" w:cs="Times New Roman"/>
          <w:b/>
          <w:noProof/>
          <w:sz w:val="22"/>
        </w:rPr>
      </w:pPr>
    </w:p>
    <w:p w14:paraId="210F200D" w14:textId="77777777" w:rsidR="002F539E" w:rsidRPr="000D1988" w:rsidRDefault="002F539E" w:rsidP="00EF037E">
      <w:pPr>
        <w:widowControl w:val="0"/>
        <w:autoSpaceDE w:val="0"/>
        <w:autoSpaceDN w:val="0"/>
        <w:adjustRightInd w:val="0"/>
        <w:spacing w:after="120" w:line="360" w:lineRule="auto"/>
        <w:jc w:val="both"/>
        <w:rPr>
          <w:rFonts w:eastAsia="Times New Roman" w:cs="Times New Roman"/>
          <w:b/>
          <w:noProof/>
          <w:sz w:val="22"/>
        </w:rPr>
      </w:pPr>
    </w:p>
    <w:p w14:paraId="5209FD1F" w14:textId="77777777" w:rsidR="002F539E" w:rsidRPr="000D1988" w:rsidRDefault="002F539E" w:rsidP="00EF037E">
      <w:pPr>
        <w:widowControl w:val="0"/>
        <w:autoSpaceDE w:val="0"/>
        <w:autoSpaceDN w:val="0"/>
        <w:adjustRightInd w:val="0"/>
        <w:spacing w:after="120" w:line="360" w:lineRule="auto"/>
        <w:jc w:val="both"/>
        <w:rPr>
          <w:rFonts w:eastAsia="Times New Roman" w:cs="Times New Roman"/>
          <w:b/>
          <w:noProof/>
          <w:sz w:val="22"/>
        </w:rPr>
      </w:pPr>
    </w:p>
    <w:p w14:paraId="291A0A24" w14:textId="77777777" w:rsidR="002F539E" w:rsidRPr="000D1988" w:rsidRDefault="002F539E" w:rsidP="00EF037E">
      <w:pPr>
        <w:widowControl w:val="0"/>
        <w:autoSpaceDE w:val="0"/>
        <w:autoSpaceDN w:val="0"/>
        <w:adjustRightInd w:val="0"/>
        <w:spacing w:after="120" w:line="360" w:lineRule="auto"/>
        <w:jc w:val="both"/>
        <w:rPr>
          <w:rFonts w:eastAsia="Times New Roman" w:cs="Times New Roman"/>
          <w:b/>
          <w:noProof/>
          <w:sz w:val="22"/>
        </w:rPr>
      </w:pPr>
    </w:p>
    <w:p w14:paraId="741CF354" w14:textId="614D6B54" w:rsidR="00EF037E" w:rsidRPr="000D1988" w:rsidRDefault="00EF037E" w:rsidP="00EF037E">
      <w:pPr>
        <w:widowControl w:val="0"/>
        <w:autoSpaceDE w:val="0"/>
        <w:autoSpaceDN w:val="0"/>
        <w:adjustRightInd w:val="0"/>
        <w:spacing w:after="120" w:line="360" w:lineRule="auto"/>
        <w:jc w:val="both"/>
        <w:rPr>
          <w:rFonts w:eastAsia="Times New Roman" w:cs="Times New Roman"/>
          <w:noProof/>
          <w:sz w:val="22"/>
        </w:rPr>
      </w:pPr>
      <w:r w:rsidRPr="000D1988">
        <w:rPr>
          <w:rFonts w:eastAsia="Times New Roman" w:cs="Times New Roman"/>
          <w:b/>
          <w:noProof/>
          <w:sz w:val="22"/>
        </w:rPr>
        <w:lastRenderedPageBreak/>
        <w:t>Table S</w:t>
      </w:r>
      <w:r w:rsidR="00D843C5" w:rsidRPr="000D1988">
        <w:rPr>
          <w:rFonts w:eastAsia="Times New Roman" w:cs="Times New Roman"/>
          <w:b/>
          <w:noProof/>
          <w:sz w:val="22"/>
        </w:rPr>
        <w:t>2</w:t>
      </w:r>
      <w:r w:rsidRPr="000D1988">
        <w:rPr>
          <w:rFonts w:eastAsia="Times New Roman" w:cs="Times New Roman"/>
          <w:b/>
          <w:noProof/>
          <w:sz w:val="22"/>
        </w:rPr>
        <w:t>:</w:t>
      </w:r>
      <w:r w:rsidRPr="000D1988">
        <w:rPr>
          <w:rFonts w:eastAsia="Times New Roman" w:cs="Times New Roman"/>
          <w:noProof/>
          <w:sz w:val="22"/>
        </w:rPr>
        <w:t xml:space="preserve"> HLA alleles, variants and haplotypes associated with sarcoidosis and its particular phenotypes.</w:t>
      </w:r>
    </w:p>
    <w:tbl>
      <w:tblPr>
        <w:tblStyle w:val="TableGrid"/>
        <w:tblW w:w="11104" w:type="dxa"/>
        <w:tblInd w:w="-565" w:type="dxa"/>
        <w:tblLook w:val="04A0" w:firstRow="1" w:lastRow="0" w:firstColumn="1" w:lastColumn="0" w:noHBand="0" w:noVBand="1"/>
      </w:tblPr>
      <w:tblGrid>
        <w:gridCol w:w="1084"/>
        <w:gridCol w:w="1829"/>
        <w:gridCol w:w="1414"/>
        <w:gridCol w:w="3503"/>
        <w:gridCol w:w="1924"/>
        <w:gridCol w:w="1350"/>
      </w:tblGrid>
      <w:tr w:rsidR="00EF037E" w:rsidRPr="000D1988" w14:paraId="038CEB0C" w14:textId="77777777" w:rsidTr="00DE09CD">
        <w:tc>
          <w:tcPr>
            <w:tcW w:w="1084" w:type="dxa"/>
          </w:tcPr>
          <w:p w14:paraId="15AFDBB3" w14:textId="77777777" w:rsidR="00EF037E" w:rsidRPr="000D1988" w:rsidRDefault="00EF037E" w:rsidP="00DE09CD">
            <w:pPr>
              <w:spacing w:before="50" w:after="50"/>
              <w:rPr>
                <w:rFonts w:eastAsia="Times New Roman" w:cs="Times New Roman"/>
                <w:b/>
                <w:bCs/>
                <w:color w:val="000000"/>
                <w:sz w:val="22"/>
              </w:rPr>
            </w:pPr>
            <w:r w:rsidRPr="000D1988">
              <w:rPr>
                <w:rFonts w:eastAsia="Times New Roman" w:cs="Times New Roman"/>
                <w:b/>
                <w:bCs/>
                <w:color w:val="000000"/>
                <w:sz w:val="22"/>
              </w:rPr>
              <w:t>HLA-class</w:t>
            </w:r>
          </w:p>
        </w:tc>
        <w:tc>
          <w:tcPr>
            <w:tcW w:w="1829" w:type="dxa"/>
          </w:tcPr>
          <w:p w14:paraId="168C1103" w14:textId="77777777" w:rsidR="00EF037E" w:rsidRPr="000D1988" w:rsidRDefault="00EF037E" w:rsidP="00DE09CD">
            <w:pPr>
              <w:spacing w:before="50" w:after="50"/>
              <w:rPr>
                <w:rFonts w:eastAsia="Times New Roman" w:cs="Times New Roman"/>
                <w:b/>
                <w:bCs/>
                <w:color w:val="000000"/>
                <w:sz w:val="22"/>
              </w:rPr>
            </w:pPr>
            <w:r w:rsidRPr="000D1988">
              <w:rPr>
                <w:rFonts w:eastAsia="Times New Roman" w:cs="Times New Roman"/>
                <w:b/>
                <w:bCs/>
                <w:color w:val="000000"/>
                <w:sz w:val="22"/>
              </w:rPr>
              <w:t>Gene</w:t>
            </w:r>
          </w:p>
        </w:tc>
        <w:tc>
          <w:tcPr>
            <w:tcW w:w="1414" w:type="dxa"/>
          </w:tcPr>
          <w:p w14:paraId="16754F4C" w14:textId="77777777" w:rsidR="00EF037E" w:rsidRPr="000D1988" w:rsidRDefault="00EF037E" w:rsidP="00DE09CD">
            <w:pPr>
              <w:spacing w:before="50" w:after="50"/>
              <w:rPr>
                <w:rFonts w:eastAsia="Times New Roman" w:cs="Times New Roman"/>
                <w:b/>
                <w:bCs/>
                <w:color w:val="000000"/>
                <w:sz w:val="22"/>
              </w:rPr>
            </w:pPr>
            <w:r w:rsidRPr="000D1988">
              <w:rPr>
                <w:rFonts w:eastAsia="Times New Roman" w:cs="Times New Roman"/>
                <w:b/>
                <w:bCs/>
                <w:color w:val="000000"/>
                <w:sz w:val="22"/>
              </w:rPr>
              <w:t>alleles / variant</w:t>
            </w:r>
          </w:p>
        </w:tc>
        <w:tc>
          <w:tcPr>
            <w:tcW w:w="3503" w:type="dxa"/>
          </w:tcPr>
          <w:p w14:paraId="2D6FDAB8" w14:textId="77777777" w:rsidR="00EF037E" w:rsidRPr="000D1988" w:rsidRDefault="00EF037E" w:rsidP="00DE09CD">
            <w:pPr>
              <w:spacing w:before="50" w:after="50"/>
              <w:rPr>
                <w:rFonts w:eastAsia="Times New Roman" w:cs="Times New Roman"/>
                <w:b/>
                <w:bCs/>
                <w:color w:val="000000"/>
                <w:sz w:val="22"/>
              </w:rPr>
            </w:pPr>
            <w:r w:rsidRPr="000D1988">
              <w:rPr>
                <w:rFonts w:eastAsia="Times New Roman" w:cs="Times New Roman"/>
                <w:b/>
                <w:bCs/>
                <w:color w:val="000000"/>
                <w:sz w:val="22"/>
              </w:rPr>
              <w:t>Plausible association or functional significance</w:t>
            </w:r>
          </w:p>
        </w:tc>
        <w:tc>
          <w:tcPr>
            <w:tcW w:w="1924" w:type="dxa"/>
          </w:tcPr>
          <w:p w14:paraId="3726A2F4" w14:textId="77777777" w:rsidR="00EF037E" w:rsidRPr="000D1988" w:rsidRDefault="00EF037E" w:rsidP="00DE09CD">
            <w:pPr>
              <w:spacing w:before="50" w:after="50"/>
              <w:rPr>
                <w:rFonts w:eastAsia="Times New Roman" w:cs="Times New Roman"/>
                <w:b/>
                <w:bCs/>
                <w:sz w:val="22"/>
              </w:rPr>
            </w:pPr>
            <w:r w:rsidRPr="000D1988">
              <w:rPr>
                <w:rFonts w:eastAsia="Times New Roman" w:cs="Times New Roman"/>
                <w:b/>
                <w:bCs/>
                <w:sz w:val="22"/>
              </w:rPr>
              <w:t>Associated population</w:t>
            </w:r>
          </w:p>
        </w:tc>
        <w:tc>
          <w:tcPr>
            <w:tcW w:w="1350" w:type="dxa"/>
          </w:tcPr>
          <w:p w14:paraId="604649DF" w14:textId="77777777" w:rsidR="00EF037E" w:rsidRPr="000D1988" w:rsidRDefault="00EF037E" w:rsidP="00DE09CD">
            <w:pPr>
              <w:spacing w:before="50" w:after="50"/>
              <w:rPr>
                <w:rFonts w:eastAsia="Times New Roman" w:cs="Times New Roman"/>
                <w:b/>
                <w:bCs/>
                <w:color w:val="000000"/>
                <w:sz w:val="22"/>
              </w:rPr>
            </w:pPr>
            <w:r w:rsidRPr="000D1988">
              <w:rPr>
                <w:rFonts w:eastAsia="Times New Roman" w:cs="Times New Roman"/>
                <w:b/>
                <w:bCs/>
                <w:color w:val="000000"/>
                <w:sz w:val="22"/>
              </w:rPr>
              <w:t>Reference</w:t>
            </w:r>
          </w:p>
        </w:tc>
      </w:tr>
      <w:tr w:rsidR="00EF037E" w:rsidRPr="000D1988" w14:paraId="51E73F39" w14:textId="77777777" w:rsidTr="00DE09CD">
        <w:tc>
          <w:tcPr>
            <w:tcW w:w="1084" w:type="dxa"/>
          </w:tcPr>
          <w:p w14:paraId="5021E893"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Class I</w:t>
            </w:r>
          </w:p>
        </w:tc>
        <w:tc>
          <w:tcPr>
            <w:tcW w:w="1829" w:type="dxa"/>
          </w:tcPr>
          <w:p w14:paraId="3FE4389A"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HLA-A</w:t>
            </w:r>
          </w:p>
        </w:tc>
        <w:tc>
          <w:tcPr>
            <w:tcW w:w="1414" w:type="dxa"/>
          </w:tcPr>
          <w:p w14:paraId="315C46AF"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*01</w:t>
            </w:r>
          </w:p>
        </w:tc>
        <w:tc>
          <w:tcPr>
            <w:tcW w:w="3503" w:type="dxa"/>
          </w:tcPr>
          <w:p w14:paraId="3C108024"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Susceptible for sarcoidosis</w:t>
            </w:r>
          </w:p>
        </w:tc>
        <w:tc>
          <w:tcPr>
            <w:tcW w:w="1924" w:type="dxa"/>
          </w:tcPr>
          <w:p w14:paraId="6010B360" w14:textId="77777777" w:rsidR="00EF037E" w:rsidRPr="000D1988" w:rsidRDefault="00EF037E" w:rsidP="00DE09CD">
            <w:pPr>
              <w:spacing w:before="50" w:after="50"/>
              <w:rPr>
                <w:rFonts w:eastAsia="Times New Roman" w:cs="Times New Roman"/>
                <w:sz w:val="22"/>
              </w:rPr>
            </w:pPr>
            <w:r w:rsidRPr="000D1988">
              <w:rPr>
                <w:rFonts w:eastAsia="Times New Roman" w:cs="Times New Roman"/>
                <w:sz w:val="22"/>
              </w:rPr>
              <w:t>Czech</w:t>
            </w:r>
          </w:p>
        </w:tc>
        <w:tc>
          <w:tcPr>
            <w:tcW w:w="1350" w:type="dxa"/>
          </w:tcPr>
          <w:p w14:paraId="7BBE62F5" w14:textId="75A7AD81"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"abstract" : "Sarcoidosis is a multi-facets disease. Along with environment, the role of genetic component in this immune-mediated granulomatous disorder is undisputable, irrespective of the tissue/ organ involved (lung, eyes, heart, etc.). Due to undefined etiology of this complex disorder, it has remained as challenge to control the disease progression. Further, identification of prognostic genetic maker for this disease at functional as well as non-functional level has remained intriguing. To understand the sarcoidosis susceptibility at genetic level, several molecular approaches, such as meta-analysis of GWAS, significant association of coding and rare variants, fine mapping of susceptible loci, gene networking and their associated mechanism, copy number variations, single nucleotide polymorphisms in miRNAs (mirSNPs) and epigenetic changes in case control studies across cohorts of different ethnic groups would reveal a better insight.", "author" : [ { "dropping-particle" : "", "family" : "Kishore", "given" : "Amit", "non-dropping-particle" : "", "parse-names" : false, "suffix" : "" }, { "dropping-particle" : "", "family" : "Petrek", "given" : "Martin", "non-dropping-particle" : "", "parse-names" : false, "suffix" : "" } ], "container-title" : "International Trends in Immunity", "id" : "ITEM-1", "issue" : "4", "issued" : { "date-parts" : [ [ "2013" ] ] }, "page" : "43-53", "title" : "Immunogenetics of Saarcoidosis", "type" : "article-journal", "volume" : "1" }, "uris" : [ "http://www.mendeley.com/documents/?uuid=56b661c0-7ce1-3f1e-b01e-f1a5f2ec5785" ] }, { "id" : "ITEM-2", "itemData" : { "DOI" : "10.5772/55116", "author" : [ { "dropping-particle" : "", "family" : "Sah", "given" : "Birendra P.", "non-dropping-particle" : "", "parse-names" : false, "suffix" : "" }, { "dropping-particle" : "", "family" : "Iannuzzi", "given" : "Michael C.", "non-dropping-particle" : "", "parse-names" : false, "suffix" : "" } ], "container-title" : "Sarcoidosis", "id" : "ITEM-2", "issued" : { "date-parts" : [ [ "2013", "3", "13" ] ] }, "page" : "53-77", "publisher" : "InTech", "title" : "Genetic Factors Involved in Sarcoidosis", "type" : "chapter" }, "uris" : [ "http://www.mendeley.com/documents/?uuid=cd3949a0-0613-38d3-a194-e620b733a584" ] }, { "id" : "ITEM-3", "itemData" : { "DOI" : "10.1164/ajrccm.152.2.7633707", "ISSN" : "1073-449X", "PMID" : "7633707", "abstract" : "We pooled immunogenetic data obtained in independent studies in two European populations (Italian and Czech) of patients affected by sarcoidosis. Correspondence analysis was used to investigate the associations between clinical and immunogenetic data. Two hundred and thirty-three patients were enrolled in the study, of which 126 were from the Czech Republic and 107 from Italy. Using a common protocol, we examined each patient for sex, age of disease onset, roentgenologic stage, extrapulmonary spread, and clinical course. One thousand and ten healthy individuals, HLA typed for class I and II serologic polymorphisms, served as controls. Findings that were essentially in agreement in both populations were: (1) a positive association of sarcoidosis with HLA-A1, B8, and DR3 markers, and a negative association with HLA-B12 and DR4; (2) a prevalence of HLA-DR3 and DR4 among females and of DR5 among males; (3) a relationship of B13 and B35 with early onset and of A30, B8, DR3, and DR4 with late onset of disease; (4) an association of B27 with sarcoidosis restricted to the lungs; (5) a relationship of A1, B8, B27, and DR3 to roentgenologic stage I and of B12 and DR4 to stage III; and (6) an association of HLA-DR3 with a good outcome. Population-restricted findings essentially concerned the alleles HLA-B13 and B22, the former being associated with the disease, male sex, early onset, extrapulmonary localization and relapse only in Czechs, and the latter to disease spread only in Italians. Our results seem to support the concept that immunogenetic background may at least partly account for the clinical heterogeneity of sarcoidosis.", "author" : [ { "dropping-particle" : "", "family" : "Martinetti", "given" : "M", "non-dropping-particle" : "", "parse-names" : false, "suffix" : "" }, { "dropping-particle" : "", "family" : "Tinelli", "given" : "C", "non-dropping-particle" : "", "parse-names" : false, "suffix" : "" }, { "dropping-particle" : "", "family" : "Kolek", "given" : "V", "non-dropping-particle" : "", "parse-names" : false, "suffix" : "" }, { "dropping-particle" : "", "family" : "Cuccia", "given" : "M", "non-dropping-particle" : "", "parse-names" : false, "suffix" : "" }, { "dropping-particle" : "", "family" : "Salvaneschi", "given" : "L", "non-dropping-particle" : "", "parse-names" : false, "suffix" : "" }, { "dropping-particle" : "", "family" : "Pasturenzi", "given" : "L", "non-dropping-particle" : "", "parse-names" : false, "suffix" : "" }, { "dropping-particle" : "", "family" : "Semenzato", "given" : "G", "non-dropping-particle" : "", "parse-names" : false, "suffix" : "" }, { "dropping-particle" : "", "family" : "Cipriani", "given" : "A", "non-dropping-particle" : "", "parse-names" : false, "suffix" : "" }, { "dropping-particle" : "", "family" : "Bartova", "given" : "A", "non-dropping-particle" : "", "parse-names" : false, "suffix" : "" }, { "dropping-particle" : "", "family" : "Luisetti", "given" : "M", "non-dropping-particle" : "", "parse-names" : false, "suffix" : "" } ], "container-title" : "American journal of respiratory and critical care medicine", "id" : "ITEM-3", "issue" : "2", "issued" : { "date-parts" : [ [ "1995", "8" ] ] }, "page" : "557-64", "title" : "\"The sarcoidosis map\": a joint survey of clinical and immunogenetic findings in two European countries.", "type" : "article-journal", "volume" : "152" }, "uris" : [ "http://www.mendeley.com/documents/?uuid=a5e174fe-b94e-3ced-9cc3-8a014fc32be9" ] } ], "mendeley" : { "formattedCitation" : "(4\u20136)", "plainTextFormattedCitation" : "(4\u20136)", "previouslyFormattedCitation" : "(2\u20134)"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(4–6)</w:t>
            </w:r>
            <w:r w:rsidRPr="000D1988">
              <w:rPr>
                <w:rFonts w:eastAsia="Times New Roman" w:cs="Times New Roman"/>
                <w:color w:val="000000"/>
                <w:sz w:val="22"/>
              </w:rPr>
              <w:fldChar w:fldCharType="end"/>
            </w:r>
          </w:p>
        </w:tc>
      </w:tr>
      <w:tr w:rsidR="00EF037E" w:rsidRPr="000D1988" w14:paraId="27DBD45D" w14:textId="77777777" w:rsidTr="00DE09CD">
        <w:tc>
          <w:tcPr>
            <w:tcW w:w="1084" w:type="dxa"/>
            <w:tcBorders>
              <w:bottom w:val="single" w:sz="4" w:space="0" w:color="auto"/>
            </w:tcBorders>
          </w:tcPr>
          <w:p w14:paraId="2F714F0A"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Class I</w:t>
            </w:r>
          </w:p>
        </w:tc>
        <w:tc>
          <w:tcPr>
            <w:tcW w:w="1829" w:type="dxa"/>
            <w:tcBorders>
              <w:bottom w:val="single" w:sz="4" w:space="0" w:color="auto"/>
            </w:tcBorders>
          </w:tcPr>
          <w:p w14:paraId="28F20A9A"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HLA-B</w:t>
            </w:r>
          </w:p>
        </w:tc>
        <w:tc>
          <w:tcPr>
            <w:tcW w:w="1414" w:type="dxa"/>
          </w:tcPr>
          <w:p w14:paraId="688D72DC"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*08</w:t>
            </w:r>
            <w:r w:rsidR="00864AE9" w:rsidRPr="000D1988">
              <w:rPr>
                <w:rFonts w:eastAsia="Times New Roman" w:cs="Times New Roman"/>
                <w:color w:val="000000"/>
                <w:sz w:val="22"/>
              </w:rPr>
              <w:t>:</w:t>
            </w:r>
            <w:r w:rsidRPr="000D1988">
              <w:rPr>
                <w:rFonts w:eastAsia="Times New Roman" w:cs="Times New Roman"/>
                <w:color w:val="000000"/>
                <w:sz w:val="22"/>
              </w:rPr>
              <w:t>01</w:t>
            </w:r>
          </w:p>
        </w:tc>
        <w:tc>
          <w:tcPr>
            <w:tcW w:w="3503" w:type="dxa"/>
          </w:tcPr>
          <w:p w14:paraId="157C559D"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Susceptible</w:t>
            </w:r>
          </w:p>
        </w:tc>
        <w:tc>
          <w:tcPr>
            <w:tcW w:w="1924" w:type="dxa"/>
          </w:tcPr>
          <w:p w14:paraId="5DED2CE5" w14:textId="77777777" w:rsidR="00EF037E" w:rsidRPr="000D1988" w:rsidRDefault="00EF037E" w:rsidP="00DE09CD">
            <w:pPr>
              <w:spacing w:before="50" w:after="50"/>
              <w:rPr>
                <w:rFonts w:eastAsia="Times New Roman" w:cs="Times New Roman"/>
                <w:sz w:val="22"/>
              </w:rPr>
            </w:pPr>
            <w:r w:rsidRPr="000D1988">
              <w:rPr>
                <w:rFonts w:eastAsia="Times New Roman" w:cs="Times New Roman"/>
                <w:sz w:val="22"/>
              </w:rPr>
              <w:t xml:space="preserve">Multiple </w:t>
            </w:r>
          </w:p>
        </w:tc>
        <w:tc>
          <w:tcPr>
            <w:tcW w:w="1350" w:type="dxa"/>
          </w:tcPr>
          <w:p w14:paraId="6EE02441" w14:textId="61950F01"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"abstract" : "Sarcoidosis is a multi-facets disease. Along with environment, the role of genetic component in this immune-mediated granulomatous disorder is undisputable, irrespective of the tissue/ organ involved (lung, eyes, heart, etc.). Due to undefined etiology of this complex disorder, it has remained as challenge to control the disease progression. Further, identification of prognostic genetic maker for this disease at functional as well as non-functional level has remained intriguing. To understand the sarcoidosis susceptibility at genetic level, several molecular approaches, such as meta-analysis of GWAS, significant association of coding and rare variants, fine mapping of susceptible loci, gene networking and their associated mechanism, copy number variations, single nucleotide polymorphisms in miRNAs (mirSNPs) and epigenetic changes in case control studies across cohorts of different ethnic groups would reveal a better insight.", "author" : [ { "dropping-particle" : "", "family" : "Kishore", "given" : "Amit", "non-dropping-particle" : "", "parse-names" : false, "suffix" : "" }, { "dropping-particle" : "", "family" : "Petrek", "given" : "Martin", "non-dropping-particle" : "", "parse-names" : false, "suffix" : "" } ], "container-title" : "International Trends in Immunity", "id" : "ITEM-1", "issue" : "4", "issued" : { "date-parts" : [ [ "2013" ] ] }, "page" : "43-53", "title" : "Immunogenetics of Saarcoidosis", "type" : "article-journal", "volume" : "1" }, "uris" : [ "http://www.mendeley.com/documents/?uuid=56b661c0-7ce1-3f1e-b01e-f1a5f2ec5785" ] }, { "id" : "ITEM-2", "itemData" : { "DOI" : "10.5772/55116", "author" : [ { "dropping-particle" : "", "family" : "Sah", "given" : "Birendra P.", "non-dropping-particle" : "", "parse-names" : false, "suffix" : "" }, { "dropping-particle" : "", "family" : "Iannuzzi", "given" : "Michael C.", "non-dropping-particle" : "", "parse-names" : false, "suffix" : "" } ], "container-title" : "Sarcoidosis", "id" : "ITEM-2", "issued" : { "date-parts" : [ [ "2013", "3", "13" ] ] }, "page" : "53-77", "publisher" : "InTech", "title" : "Genetic Factors Involved in Sarcoidosis", "type" : "chapter" }, "uris" : [ "http://www.mendeley.com/documents/?uuid=cd3949a0-0613-38d3-a194-e620b733a584" ] }, { "id" : "ITEM-3", "itemData" : { "DOI" : "10.1016/j.ccm.2015.08.002", "ISBN" : "9780323402408", "ISSN" : "1557-8216", "PMID" : "26593134", "abstract" : "Sarcoidosis is a disease with highly variable presentation and progression; although it is hypothesized that disease phenotype is related to genetic variation, how much of this variability is driven by genetic factors is not known. The HLA region is the most strongly and consistently associated genetic risk factor for sarcoidosis, supporting the notion that sarcoidosis is an exposure-mediated immunologic disease. Most of the genetic etiology of sarcoidosis remains unknown in terms of the specific variants that increase risk in various populations, their biologic functions, and how they interact with environmental exposures.", "author" : [ { "dropping-particle" : "", "family" : "Fingerlin", "given" : "Tasha E.", "non-dropping-particle" : "", "parse-names" : false, "suffix" : "" }, { "dropping-particle" : "", "family" : "Hamzeh", "given" : "Nabeel", "non-dropping-particle" : "", "parse-names" : false, "suffix" : "" }, { "dropping-particle" : "", "family" : "Maier", "given" : "Lisa A.", "non-dropping-particle" : "", "parse-names" : false, "suffix" : "" } ], "container-title" : "Clinics in chest medicine", "id" : "ITEM-3", "issue" : "4", "issued" : { "date-parts" : [ [ "2015", "12" ] ] }, "page" : "569-84", "title" : "Genetics of Sarcoidosis.", "type" : "article-journal", "volume" : "36" }, "uris" : [ "http://www.mendeley.com/documents/?uuid=0756ce18-1de6-32f0-b676-fd7177b527cc" ] } ], "mendeley" : { "formattedCitation" : "(4,5,7)", "plainTextFormattedCitation" : "(4,5,7)", "previouslyFormattedCitation" : "(2,3,5)"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(4,5,7)</w:t>
            </w:r>
            <w:r w:rsidRPr="000D1988">
              <w:rPr>
                <w:rFonts w:eastAsia="Times New Roman" w:cs="Times New Roman"/>
                <w:color w:val="000000"/>
                <w:sz w:val="22"/>
              </w:rPr>
              <w:fldChar w:fldCharType="end"/>
            </w:r>
          </w:p>
        </w:tc>
      </w:tr>
      <w:tr w:rsidR="00EF037E" w:rsidRPr="000D1988" w14:paraId="25EE6DE0" w14:textId="77777777" w:rsidTr="00DE09CD">
        <w:tc>
          <w:tcPr>
            <w:tcW w:w="1084" w:type="dxa"/>
            <w:tcBorders>
              <w:bottom w:val="nil"/>
            </w:tcBorders>
          </w:tcPr>
          <w:p w14:paraId="376ECC47"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Class II</w:t>
            </w:r>
          </w:p>
        </w:tc>
        <w:tc>
          <w:tcPr>
            <w:tcW w:w="1829" w:type="dxa"/>
            <w:tcBorders>
              <w:bottom w:val="nil"/>
            </w:tcBorders>
          </w:tcPr>
          <w:p w14:paraId="309F8720"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HLA-DPB1</w:t>
            </w:r>
          </w:p>
        </w:tc>
        <w:tc>
          <w:tcPr>
            <w:tcW w:w="1414" w:type="dxa"/>
          </w:tcPr>
          <w:p w14:paraId="730FAD77"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lang w:val="cs-CZ"/>
              </w:rPr>
              <w:t>*04:02</w:t>
            </w:r>
          </w:p>
        </w:tc>
        <w:tc>
          <w:tcPr>
            <w:tcW w:w="3503" w:type="dxa"/>
          </w:tcPr>
          <w:p w14:paraId="3B7E9C13" w14:textId="77777777" w:rsidR="00EF037E" w:rsidRPr="000D1988" w:rsidRDefault="00EF037E" w:rsidP="00DE09CD">
            <w:pPr>
              <w:spacing w:before="50" w:after="50"/>
              <w:rPr>
                <w:rFonts w:eastAsia="Times New Roman" w:cs="Times New Roman"/>
                <w:color w:val="000000"/>
                <w:sz w:val="22"/>
              </w:rPr>
            </w:pPr>
            <w:r w:rsidRPr="000D1988">
              <w:rPr>
                <w:rFonts w:cs="Times New Roman"/>
                <w:sz w:val="22"/>
              </w:rPr>
              <w:t>Lower risk</w:t>
            </w:r>
            <w:r w:rsidRPr="000D1988">
              <w:rPr>
                <w:rFonts w:eastAsia="Times New Roman" w:cs="Times New Roman"/>
                <w:color w:val="000000"/>
                <w:sz w:val="22"/>
              </w:rPr>
              <w:t xml:space="preserve"> or protective</w:t>
            </w:r>
          </w:p>
        </w:tc>
        <w:tc>
          <w:tcPr>
            <w:tcW w:w="1924" w:type="dxa"/>
          </w:tcPr>
          <w:p w14:paraId="033669D6" w14:textId="77777777" w:rsidR="00EF037E" w:rsidRPr="000D1988" w:rsidRDefault="00EF037E" w:rsidP="00DE09CD">
            <w:pPr>
              <w:spacing w:before="50" w:after="50"/>
              <w:rPr>
                <w:rFonts w:eastAsia="Times New Roman" w:cs="Times New Roman"/>
                <w:sz w:val="22"/>
              </w:rPr>
            </w:pPr>
            <w:r w:rsidRPr="000D1988">
              <w:rPr>
                <w:rFonts w:eastAsia="Times New Roman" w:cs="Times New Roman"/>
                <w:sz w:val="22"/>
              </w:rPr>
              <w:t>Finnish</w:t>
            </w:r>
          </w:p>
        </w:tc>
        <w:tc>
          <w:tcPr>
            <w:tcW w:w="1350" w:type="dxa"/>
          </w:tcPr>
          <w:p w14:paraId="5986DD8E" w14:textId="44063116"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"abstract" : "Sarcoidosis is a multi-facets disease. Along with environment, the role of genetic component in this immune-mediated granulomatous disorder is undisputable, irrespective of the tissue/ organ involved (lung, eyes, heart, etc.). Due to undefined etiology of this complex disorder, it has remained as challenge to control the disease progression. Further, identification of prognostic genetic maker for this disease at functional as well as non-functional level has remained intriguing. To understand the sarcoidosis susceptibility at genetic level, several molecular approaches, such as meta-analysis of GWAS, significant association of coding and rare variants, fine mapping of susceptible loci, gene networking and their associated mechanism, copy number variations, single nucleotide polymorphisms in miRNAs (mirSNPs) and epigenetic changes in case control studies across cohorts of different ethnic groups would reveal a better insight.", "author" : [ { "dropping-particle" : "", "family" : "Kishore", "given" : "Amit", "non-dropping-particle" : "", "parse-names" : false, "suffix" : "" }, { "dropping-particle" : "", "family" : "Petrek", "given" : "Martin", "non-dropping-particle" : "", "parse-names" : false, "suffix" : "" } ], "container-title" : "International Trends in Immunity", "id" : "ITEM-1", "issue" : "4", "issued" : { "date-parts" : [ [ "2013" ] ] }, "page" : "43-53", "title" : "Immunogenetics of Saarcoidosis", "type" : "article-journal", "volume" : "1" }, "uris" : [ "http://www.mendeley.com/documents/?uuid=56b661c0-7ce1-3f1e-b01e-f1a5f2ec5785" ] }, { "id" : "ITEM-2", "itemData" : { "DOI" : "10.1183/09031936.00035213", "ISSN" : "1399-3003", "PMID" : "23904553", "abstract" : "To the Editor: \n\nSarcoidosis is a multiple organ immune-mediated disease of unknown aetiology. Identified genetic risk factors within the major histocompatibility complex (MHC), such as butyrophilin-like ( BTNL)2 , human leukocyte antigen ( HLA)-DRB1*03 and HLA-DRB1*15 , and protective factors, such as HLA-DRB1*01 , are found in many populations [1, 2]. The vast majority of sarcoidosis patients have a favourable prognosis, but approximately 20% develop a chronic, disabling disease [3].\n\nChronic beryllium disease (CBD) and chronic sarcoidosis share similarities as granulomatous diseases and they are pathologically indistinguishable from each other. CBD has been associated with HLA-DPB1*02:01 , especially with a glutamic acid residue at position 69 (Glu69) [4]. A functional splice-site polymorphism rs2076530 within the BTNL2 gene has been suggested to predispose to sarcoidosis [5]. However, previous studies have shown conflicting results as to whether HLA-DPB1 also predisposes to sarcoidosis, and whether the BTNL2 association is a result of linkage disequilibrium with HLA-DRB1 [6, 7].\n\nThe main objective of this study was to evaluate the HLA-DPB1 polymorphisms and the BTNL2 splice-site variant in Finnish patients suffering from sarcoidosis followed-up for 5\u201315 years and clinically categorised into subgroups based on disease prognosis. In addition, we constructed haplotypes containing MHC class II genes ( HLA-DRB1 and - DPB1 ) and rs2076530, and studied the influence of MHC markers and their combinations on disease susceptibility.\n\nWe examined a total of 188 patients with verified pulmonary sarcoidosis. The patients were divided into those with a disease resolved within 2 years (n = 90) and those with persisting activity at \u2026", "author" : [ { "dropping-particle" : "", "family" : "Wennerstr\u00f6m", "given" : "Annika", "non-dropping-particle" : "", "parse-names" : false, "suffix" : "" }, { "dropping-particle" : "", "family" : "Pietinalho", "given" : "Anne", "non-dropping-particle" : "", "parse-names" : false, "suffix" : "" }, { "dropping-particle" : "", "family" : "Lasota", "given" : "Jagoda", "non-dropping-particle" : "", "parse-names" : false, "suffix" : "" }, { "dropping-particle" : "", "family" : "Salli", "given" : "Krista", "non-dropping-particle" : "", "parse-names" : false, "suffix" : "" }, { "dropping-particle" : "", "family" : "Surakka", "given" : "Ida", "non-dropping-particle" : "", "parse-names" : false, "suffix" : "" }, { "dropping-particle" : "", "family" : "Sepp\u00e4nen", "given" : "Mikko", "non-dropping-particle" : "", "parse-names" : false, "suffix" : "" }, { "dropping-particle" : "", "family" : "Selroos", "given" : "Olof", "non-dropping-particle" : "", "parse-names" : false, "suffix" : "" }, { "dropping-particle" : "", "family" : "Lokki", "given" : "Marja-Liisa", "non-dropping-particle" : "", "parse-names" : false, "suffix" : "" } ], "container-title" : "The European respiratory journal", "id" : "ITEM-2", "issue" : "2", "issued" : { "date-parts" : [ [ "2013" ] ] }, "page" : "550-3", "title" : "Major histocompatibility complex class II and BTNL2 associations in sarcoidosis.", "type" : "article-journal", "volume" : "42" }, "uris" : [ "http://www.mendeley.com/documents/?uuid=c2ed8c06-e294-4b51-a9ec-ed2e175cc8bf" ] } ], "mendeley" : { "formattedCitation" : "(4,8)", "plainTextFormattedCitation" : "(4,8)", "previouslyFormattedCitation" : "(2,6)"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(4,8)</w:t>
            </w:r>
            <w:r w:rsidRPr="000D1988">
              <w:rPr>
                <w:rFonts w:eastAsia="Times New Roman" w:cs="Times New Roman"/>
                <w:color w:val="000000"/>
                <w:sz w:val="22"/>
              </w:rPr>
              <w:fldChar w:fldCharType="end"/>
            </w:r>
          </w:p>
        </w:tc>
      </w:tr>
      <w:tr w:rsidR="00EF037E" w:rsidRPr="000D1988" w14:paraId="508E29A5" w14:textId="77777777" w:rsidTr="00DE09CD">
        <w:tc>
          <w:tcPr>
            <w:tcW w:w="1084" w:type="dxa"/>
            <w:tcBorders>
              <w:top w:val="nil"/>
            </w:tcBorders>
          </w:tcPr>
          <w:p w14:paraId="46F9FA53" w14:textId="77777777" w:rsidR="00EF037E" w:rsidRPr="000D1988" w:rsidRDefault="00EF037E" w:rsidP="00DE09CD">
            <w:pPr>
              <w:spacing w:before="50" w:after="50"/>
              <w:rPr>
                <w:rFonts w:eastAsia="Times New Roman" w:cs="Times New Roman"/>
                <w:color w:val="000000"/>
                <w:sz w:val="22"/>
              </w:rPr>
            </w:pPr>
          </w:p>
        </w:tc>
        <w:tc>
          <w:tcPr>
            <w:tcW w:w="1829" w:type="dxa"/>
            <w:tcBorders>
              <w:top w:val="nil"/>
            </w:tcBorders>
          </w:tcPr>
          <w:p w14:paraId="7F0514B8" w14:textId="77777777" w:rsidR="00EF037E" w:rsidRPr="000D1988" w:rsidRDefault="00EF037E" w:rsidP="00DE09CD">
            <w:pPr>
              <w:spacing w:before="50" w:after="50"/>
              <w:rPr>
                <w:rFonts w:eastAsia="Times New Roman" w:cs="Times New Roman"/>
                <w:color w:val="000000"/>
                <w:sz w:val="22"/>
              </w:rPr>
            </w:pPr>
          </w:p>
        </w:tc>
        <w:tc>
          <w:tcPr>
            <w:tcW w:w="1414" w:type="dxa"/>
          </w:tcPr>
          <w:p w14:paraId="00F8DD7E"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rs9277357</w:t>
            </w:r>
          </w:p>
        </w:tc>
        <w:tc>
          <w:tcPr>
            <w:tcW w:w="3503" w:type="dxa"/>
          </w:tcPr>
          <w:p w14:paraId="6655EDFB"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Non-Löfgren</w:t>
            </w:r>
            <w:r w:rsidR="00E51F7A" w:rsidRPr="000D1988">
              <w:rPr>
                <w:rFonts w:eastAsia="Times New Roman" w:cs="Times New Roman"/>
                <w:color w:val="000000"/>
                <w:sz w:val="22"/>
              </w:rPr>
              <w:t>’s</w:t>
            </w:r>
            <w:r w:rsidRPr="000D1988">
              <w:rPr>
                <w:rFonts w:eastAsia="Times New Roman" w:cs="Times New Roman"/>
                <w:color w:val="000000"/>
                <w:sz w:val="22"/>
              </w:rPr>
              <w:t xml:space="preserve"> syndrome ‘non-LS’</w:t>
            </w:r>
          </w:p>
        </w:tc>
        <w:tc>
          <w:tcPr>
            <w:tcW w:w="1924" w:type="dxa"/>
          </w:tcPr>
          <w:p w14:paraId="0997B3C5" w14:textId="77777777" w:rsidR="00EF037E" w:rsidRPr="000D1988" w:rsidRDefault="00EF037E" w:rsidP="00DE09CD">
            <w:pPr>
              <w:spacing w:before="50" w:after="50"/>
              <w:rPr>
                <w:rFonts w:eastAsia="Times New Roman" w:cs="Times New Roman"/>
                <w:sz w:val="22"/>
              </w:rPr>
            </w:pPr>
            <w:r w:rsidRPr="000D1988">
              <w:rPr>
                <w:rFonts w:cs="Times New Roman"/>
                <w:sz w:val="22"/>
              </w:rPr>
              <w:t>European cohorts</w:t>
            </w:r>
          </w:p>
        </w:tc>
        <w:tc>
          <w:tcPr>
            <w:tcW w:w="1350" w:type="dxa"/>
          </w:tcPr>
          <w:p w14:paraId="1BD835A1" w14:textId="727A714A"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"ISSN" : "1535-4970", "PMID" : "26651848", "abstract" : "RATIONALE Sarcoidosis is a multisystem disease of unknown cause. L\u00f6fgren's syndrome (LS) is a characteristic subgroup of sarcoidosis that is associated with a good prognosis in sarcoidosis. However, little is known about its genetic architecture or its broader phenotype, non-LS sarcoidosis. OBJECTIVES To address the genetic architecture of sarcoidosis phenotypes, LS and non-LS. METHODS An association study in a white Swedish cohort of 384 LS, 664 non-LS, and 2,086 control subjects, totaling 3,134 subjects using a fine-mapping genotyping platform was conducted. Replication was performed in four independent cohorts, three of white European descent (Germany, n = 4,975; the Netherlands, n = 613; and Czech Republic, n = 521), and one of black African descent (United States, n = 1,657), totaling 7,766 subjects. MEASUREMENTS AND MAIN RESULTS A total of 727 LS-associated variants expanding throughout the extended major histocompatibility complex (MHC) region and 68 non-LS-associated variants located in the MHC class II region were identified and confirmed. A shared overlap between LS and non-LS defined by 17 variants located in the MHC class II region was found. Outside the MHC region, two LS-associated loci, in ADCY3 and between CSMD1 and MCPH1, were observed and replicated. CONCLUSIONS Comprehensive and integrative analyses of genetics, transcription, and pathway modeling on LS and non-LS indicates that these sarcoidosis phenotypes have different genetic susceptibility, genomic distributions, and cellular activities, suggesting distinct molecular mechanisms in pathways related to immune response with a common region.", "author" : [ { "dropping-particle" : "V", "family" : "Rivera", "given" : "Natalia", "non-dropping-particle" : "", "parse-names" : false, "suffix" : "" }, { "dropping-particle" : "", "family" : "Ronninger", "given" : "Marcus", "non-dropping-particle" : "", "parse-names" : false, "suffix" : "" }, { "dropping-particle" : "", "family" : "Shchetynsky", "given" : "Klementy", "non-dropping-particle" : "", "parse-names" : false, "suffix" : "" }, { "dropping-particle" : "", "family" : "Franke", "given" : "Andre", "non-dropping-particle" : "", "parse-names" : false, "suffix" : "" }, { "dropping-particle" : "", "family" : "N\u00f6then", "given" : "Markus M", "non-dropping-particle" : "", "parse-names" : false, "suffix" : "" }, { "dropping-particle" : "", "family" : "M\u00fcller-Quernheim", "given" : "Joachim", "non-dropping-particle" : "", "parse-names" : false, "suffix" : "" }, { "dropping-particle" : "", "family" : "Schreiber", "given" : "Stefan", "non-dropping-particle" : "", "parse-names" : false, "suffix" : "" }, { "dropping-particle" : "", "family" : "Adrianto", "given" : "Indra", "non-dropping-particle" : "", "parse-names" : false, "suffix" : "" }, { "dropping-particle" : "", "family" : "Karakaya", "given" : "Bekir", "non-dropping-particle" : "", "parse-names" : false, "suffix" : "" }, { "dropping-particle" : "", "family" : "Moorsel", "given" : "Coline H M", "non-dropping-particle" : "van", "parse-names" : false, "suffix" : "" }, { "dropping-particle" : "", "family" : "Navratilova", "given" : "Zdenka", "non-dropping-particle" : "", "parse-names" : false, "suffix" : "" }, { "dropping-particle" : "", "family" : "Kolek", "given" : "Vitezslav", "non-dropping-particle" : "", "parse-names" : false, "suffix" : "" }, { "dropping-particle" : "", "family" : "Rybicki", "given" : "Benjamin A", "non-dropping-particle" : "", "parse-names" : false, "suffix" : "" }, { "dropping-particle" : "", "family" : "Iannuzzi", "given" : "Michael C", "non-dropping-particle" : "", "parse-names" : false, "suffix" : "" }, { "dropping-particle" : "", "family" : "Petrek", "given" : "Martin", "non-dropping-particle" : "", "parse-names" : false, "suffix" : "" }, { "dropping-particle" : "", "family" : "Grutters", "given" : "Jan C", "non-dropping-particle" : "", "parse-names" : false, "suffix" : "" }, { "dropping-particle" : "", "family" : "Montgomery", "given" : "Courtney", "non-dropping-particle" : "", "parse-names" : false, "suffix" : "" }, { "dropping-particle" : "", "family" : "Fischer", "given" : "Annegret", "non-dropping-particle" : "", "parse-names" : false, "suffix" : "" }, { "dropping-particle" : "", "family" : "Eklund", "given" : "Anders", "non-dropping-particle" : "", "parse-names" : false, "suffix" : "" }, { "dropping-particle" : "", "family" : "Padyukov", "given" : "Leonid", "non-dropping-particle" : "", "parse-names" : false, "suffix" : "" }, { "dropping-particle" : "", "family" : "Grunewald", "given" : "Johan", "non-dropping-particle" : "", "parse-names" : false, "suffix" : "" } ], "container-title" : "American journal of respiratory and critical care medicine", "id" : "ITEM-1", "issue" : "9", "issued" : { "date-parts" : [ [ "2016" ] ] }, "page" : "1008-1022", "title" : "High-Density Genetic Mapping Identifies New Susceptibility Variants in Sarcoidosis Phenotypes and Shows Genomic-driven Phenotypic Differences.", "type" : "article-journal", "volume" : "193" }, "uris" : [ "http://www.mendeley.com/documents/?uuid=3444866a-8eaf-3560-99a8-d5390537f8fd" ] } ], "mendeley" : { "formattedCitation" : "(9)", "plainTextFormattedCitation" : "(9)", "previouslyFormattedCitation" : "(7)"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(9)</w:t>
            </w:r>
            <w:r w:rsidRPr="000D1988">
              <w:rPr>
                <w:rFonts w:eastAsia="Times New Roman" w:cs="Times New Roman"/>
                <w:color w:val="000000"/>
                <w:sz w:val="22"/>
              </w:rPr>
              <w:fldChar w:fldCharType="end"/>
            </w:r>
          </w:p>
        </w:tc>
      </w:tr>
      <w:tr w:rsidR="00EF037E" w:rsidRPr="000D1988" w14:paraId="4C1A44AF" w14:textId="77777777" w:rsidTr="00DE09CD">
        <w:tc>
          <w:tcPr>
            <w:tcW w:w="1084" w:type="dxa"/>
            <w:tcBorders>
              <w:bottom w:val="nil"/>
            </w:tcBorders>
          </w:tcPr>
          <w:p w14:paraId="78E075B5"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Class II</w:t>
            </w:r>
          </w:p>
        </w:tc>
        <w:tc>
          <w:tcPr>
            <w:tcW w:w="1829" w:type="dxa"/>
            <w:tcBorders>
              <w:bottom w:val="nil"/>
            </w:tcBorders>
          </w:tcPr>
          <w:p w14:paraId="561087A1"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HLA-DQB1</w:t>
            </w:r>
          </w:p>
        </w:tc>
        <w:tc>
          <w:tcPr>
            <w:tcW w:w="1414" w:type="dxa"/>
          </w:tcPr>
          <w:p w14:paraId="53301476"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*02:01</w:t>
            </w:r>
          </w:p>
        </w:tc>
        <w:tc>
          <w:tcPr>
            <w:tcW w:w="3503" w:type="dxa"/>
          </w:tcPr>
          <w:p w14:paraId="768DDF10"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Löfgren</w:t>
            </w:r>
            <w:r w:rsidR="00E51F7A" w:rsidRPr="000D1988">
              <w:rPr>
                <w:rFonts w:eastAsia="Times New Roman" w:cs="Times New Roman"/>
                <w:color w:val="000000"/>
                <w:sz w:val="22"/>
              </w:rPr>
              <w:t>’s</w:t>
            </w:r>
            <w:r w:rsidRPr="000D1988">
              <w:rPr>
                <w:rFonts w:eastAsia="Times New Roman" w:cs="Times New Roman"/>
                <w:color w:val="000000"/>
                <w:sz w:val="22"/>
              </w:rPr>
              <w:t xml:space="preserve"> syndrome ‘LS’, protective</w:t>
            </w:r>
          </w:p>
        </w:tc>
        <w:tc>
          <w:tcPr>
            <w:tcW w:w="1924" w:type="dxa"/>
          </w:tcPr>
          <w:p w14:paraId="3BB34DBE" w14:textId="77777777" w:rsidR="00EF037E" w:rsidRPr="000D1988" w:rsidRDefault="00EF037E" w:rsidP="00DE09CD">
            <w:pPr>
              <w:spacing w:before="50" w:after="50"/>
              <w:rPr>
                <w:rFonts w:eastAsia="Times New Roman" w:cs="Times New Roman"/>
                <w:sz w:val="22"/>
              </w:rPr>
            </w:pPr>
            <w:r w:rsidRPr="000D1988">
              <w:rPr>
                <w:rFonts w:eastAsia="Times New Roman" w:cs="Times New Roman"/>
                <w:sz w:val="22"/>
              </w:rPr>
              <w:t xml:space="preserve">Multiple </w:t>
            </w:r>
          </w:p>
        </w:tc>
        <w:tc>
          <w:tcPr>
            <w:tcW w:w="1350" w:type="dxa"/>
          </w:tcPr>
          <w:p w14:paraId="68BA3F46" w14:textId="02529608"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"DOI" : "10.5772/55116", "author" : [ { "dropping-particle" : "", "family" : "Sah", "given" : "Birendra P.", "non-dropping-particle" : "", "parse-names" : false, "suffix" : "" }, { "dropping-particle" : "", "family" : "Iannuzzi", "given" : "Michael C.", "non-dropping-particle" : "", "parse-names" : false, "suffix" : "" } ], "container-title" : "Sarcoidosis", "id" : "ITEM-1", "issued" : { "date-parts" : [ [ "2013", "3", "13" ] ] }, "page" : "53-77", "publisher" : "InTech", "title" : "Genetic Factors Involved in Sarcoidosis", "type" : "chapter" }, "uris" : [ "http://www.mendeley.com/documents/?uuid=cd3949a0-0613-38d3-a194-e620b733a584" ] }, { "id" : "ITEM-2", "itemData" : { "abstract" : "Sarcoidosis is a multi-facets disease. Along with environment, the role of genetic component in this immune-mediated granulomatous disorder is undisputable, irrespective of the tissue/ organ involved (lung, eyes, heart, etc.). Due to undefined etiology of this complex disorder, it has remained as challenge to control the disease progression. Further, identification of prognostic genetic maker for this disease at functional as well as non-functional level has remained intriguing. To understand the sarcoidosis susceptibility at genetic level, several molecular approaches, such as meta-analysis of GWAS, significant association of coding and rare variants, fine mapping of susceptible loci, gene networking and their associated mechanism, copy number variations, single nucleotide polymorphisms in miRNAs (mirSNPs) and epigenetic changes in case control studies across cohorts of different ethnic groups would reveal a better insight.", "author" : [ { "dropping-particle" : "", "family" : "Kishore", "given" : "Amit", "non-dropping-particle" : "", "parse-names" : false, "suffix" : "" }, { "dropping-particle" : "", "family" : "Petrek", "given" : "Martin", "non-dropping-particle" : "", "parse-names" : false, "suffix" : "" } ], "container-title" : "International Trends in Immunity", "id" : "ITEM-2", "issue" : "4", "issued" : { "date-parts" : [ [ "2013" ] ] }, "page" : "43-53", "title" : "Immunogenetics of Saarcoidosis", "type" : "article-journal", "volume" : "1" }, "uris" : [ "http://www.mendeley.com/documents/?uuid=56b661c0-7ce1-3f1e-b01e-f1a5f2ec5785" ] } ], "mendeley" : { "formattedCitation" : "(4,5)", "plainTextFormattedCitation" : "(4,5)", "previouslyFormattedCitation" : "(2,3)"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(4,5)</w:t>
            </w:r>
            <w:r w:rsidRPr="000D1988">
              <w:rPr>
                <w:rFonts w:eastAsia="Times New Roman" w:cs="Times New Roman"/>
                <w:color w:val="000000"/>
                <w:sz w:val="22"/>
              </w:rPr>
              <w:fldChar w:fldCharType="end"/>
            </w:r>
          </w:p>
        </w:tc>
      </w:tr>
      <w:tr w:rsidR="00EF037E" w:rsidRPr="000D1988" w14:paraId="21152461" w14:textId="77777777" w:rsidTr="00DE09CD">
        <w:tc>
          <w:tcPr>
            <w:tcW w:w="1084" w:type="dxa"/>
            <w:tcBorders>
              <w:top w:val="nil"/>
              <w:bottom w:val="nil"/>
            </w:tcBorders>
          </w:tcPr>
          <w:p w14:paraId="26C9C8C4" w14:textId="77777777" w:rsidR="00EF037E" w:rsidRPr="000D1988" w:rsidRDefault="00EF037E" w:rsidP="00DE09CD">
            <w:pPr>
              <w:spacing w:before="50" w:after="50"/>
              <w:rPr>
                <w:rFonts w:eastAsia="Times New Roman" w:cs="Times New Roman"/>
                <w:color w:val="000000"/>
                <w:sz w:val="22"/>
              </w:rPr>
            </w:pPr>
          </w:p>
        </w:tc>
        <w:tc>
          <w:tcPr>
            <w:tcW w:w="1829" w:type="dxa"/>
            <w:tcBorders>
              <w:top w:val="nil"/>
              <w:bottom w:val="nil"/>
            </w:tcBorders>
          </w:tcPr>
          <w:p w14:paraId="2627BCDB" w14:textId="77777777" w:rsidR="00EF037E" w:rsidRPr="000D1988" w:rsidRDefault="00EF037E" w:rsidP="00DE09CD">
            <w:pPr>
              <w:spacing w:before="50" w:after="50"/>
              <w:rPr>
                <w:rFonts w:eastAsia="Times New Roman" w:cs="Times New Roman"/>
                <w:color w:val="000000"/>
                <w:sz w:val="22"/>
              </w:rPr>
            </w:pPr>
          </w:p>
        </w:tc>
        <w:tc>
          <w:tcPr>
            <w:tcW w:w="1414" w:type="dxa"/>
          </w:tcPr>
          <w:p w14:paraId="5D84D321"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*05:01</w:t>
            </w:r>
          </w:p>
        </w:tc>
        <w:tc>
          <w:tcPr>
            <w:tcW w:w="3503" w:type="dxa"/>
          </w:tcPr>
          <w:p w14:paraId="4BA49452" w14:textId="77777777" w:rsidR="00EF037E" w:rsidRPr="000D1988" w:rsidRDefault="00EF037E" w:rsidP="00DE09CD">
            <w:pPr>
              <w:spacing w:before="50" w:after="50"/>
              <w:rPr>
                <w:rFonts w:eastAsia="Times New Roman" w:cs="Times New Roman"/>
                <w:color w:val="000000"/>
                <w:sz w:val="22"/>
              </w:rPr>
            </w:pPr>
            <w:r w:rsidRPr="000D1988">
              <w:rPr>
                <w:rFonts w:cs="Times New Roman"/>
                <w:sz w:val="22"/>
              </w:rPr>
              <w:t>Lower risk</w:t>
            </w:r>
          </w:p>
        </w:tc>
        <w:tc>
          <w:tcPr>
            <w:tcW w:w="1924" w:type="dxa"/>
          </w:tcPr>
          <w:p w14:paraId="03DAE6E2" w14:textId="77777777" w:rsidR="00EF037E" w:rsidRPr="000D1988" w:rsidRDefault="00EF037E" w:rsidP="00DE09CD">
            <w:pPr>
              <w:spacing w:before="50" w:after="50"/>
              <w:rPr>
                <w:rFonts w:eastAsia="Times New Roman" w:cs="Times New Roman"/>
                <w:sz w:val="22"/>
              </w:rPr>
            </w:pPr>
            <w:r w:rsidRPr="000D1988">
              <w:rPr>
                <w:rFonts w:eastAsia="Times New Roman" w:cs="Times New Roman"/>
                <w:sz w:val="22"/>
              </w:rPr>
              <w:t xml:space="preserve">Multiple </w:t>
            </w:r>
          </w:p>
        </w:tc>
        <w:tc>
          <w:tcPr>
            <w:tcW w:w="1350" w:type="dxa"/>
          </w:tcPr>
          <w:p w14:paraId="7FD81E73" w14:textId="23AC8804"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"DOI" : "10.1093/hmg/ddq325", "ISBN" : "2073518354", "ISSN" : "09646906", "PMID" : "20685690", "abstract" : "The HLA class II (DRB1 and DQB1) associations with sarcoidosis have been studied by several groups but often without consistent results. In this paper, we consider the hypothesis that observed inconsistencies relate to distinct, genetically encoded disease phenotypes which differ in prevalence between centres. We therefore typed HLA-DRB1 and DQB1 in 340 UK, 139 Dutch and 163 Japanese sarcoidosis patients and, respectively, 354, 218 and 168 healthy controls from these populations. We applied consistent phenotyping and genotyping and investigated associations between HLA class II alleles and distinct disease phenotypes within and between ethnic groups. DRB1*01 and DQB1*0501 are protective against all manifestations of sarcoidosis. Lung-predominant sarcoidosis is associated with DRB1*12 and *14. L\u00f6fgren's syndrome is a common sarcoidosis phenotype in the Dutch and is strongly associated with the DRB1*0301 allele. This phenotype is not seen among the Japanese in whom DRB1*0301 is absent. The same allele is protective for UK uveitis. Sarcoid uveitis is common in Japan. The DRB1*04-DQB1*0301 haplotype is a risk factor for this disease manifestation in Japanese and UK subjects but protective for sarcoidosis overall. We show that distinct sarcoidosis phenotypes have similar genetic associations across ethnic groups. The disease case mix differs between centres and may be explained by different ethnic allelic frequencies.", "author" : [ { "dropping-particle" : "", "family" : "Sato", "given" : "Hiroe", "non-dropping-particle" : "", "parse-names" : false, "suffix" : "" }, { "dropping-particle" : "", "family" : "Woodhead", "given" : "Felix A.", "non-dropping-particle" : "", "parse-names" : false, "suffix" : "" }, { "dropping-particle" : "", "family" : "Ahmad", "given" : "Tariq", "non-dropping-particle" : "", "parse-names" : false, "suffix" : "" }, { "dropping-particle" : "", "family" : "Grutters", "given" : "Jan C.", "non-dropping-particle" : "", "parse-names" : false, "suffix" : "" }, { "dropping-particle" : "", "family" : "Spagnolo", "given" : "Paolo", "non-dropping-particle" : "", "parse-names" : false, "suffix" : "" }, { "dropping-particle" : "", "family" : "Bosch", "given" : "Jules M.M.", "non-dropping-particle" : "van den", "parse-names" : false, "suffix" : "" }, { "dropping-particle" : "", "family" : "Maier", "given" : "Lisa A.", "non-dropping-particle" : "", "parse-names" : false, "suffix" : "" }, { "dropping-particle" : "", "family" : "Newman", "given" : "Lee S.", "non-dropping-particle" : "", "parse-names" : false, "suffix" : "" }, { "dropping-particle" : "", "family" : "Nagai", "given" : "Sonoko", "non-dropping-particle" : "", "parse-names" : false, "suffix" : "" }, { "dropping-particle" : "", "family" : "Izumi", "given" : "Takateru", "non-dropping-particle" : "", "parse-names" : false, "suffix" : "" }, { "dropping-particle" : "", "family" : "Wells", "given" : "Athol U.", "non-dropping-particle" : "", "parse-names" : false, "suffix" : "" }, { "dropping-particle" : "", "family" : "Bois", "given" : "Roland M.", "non-dropping-particle" : "du", "parse-names" : false, "suffix" : "" }, { "dropping-particle" : "", "family" : "Welsh", "given" : "Kenneth I.", "non-dropping-particle" : "", "parse-names" : false, "suffix" : "" } ], "container-title" : "Human Molecular Genetics", "id" : "ITEM-1", "issue" : "20", "issued" : { "date-parts" : [ [ "2010" ] ] }, "page" : "4100-4111", "title" : "Sarcoidosis HLA class II genotyping distinguishes differences of clinical phenotype across ethnic groups", "type" : "article-journal", "volume" : "19" }, "uris" : [ "http://www.mendeley.com/documents/?uuid=9239fee3-d02e-4a77-b7ca-e8007bebabca" ] }, { "id" : "ITEM-2", "itemData" : { "abstract" : "Sarcoidosis is a multi-facets disease. Along with environment, the role of genetic component in this immune-mediated granulomatous disorder is undisputable, irrespective of the tissue/ organ involved (lung, eyes, heart, etc.). Due to undefined etiology of this complex disorder, it has remained as challenge to control the disease progression. Further, identification of prognostic genetic maker for this disease at functional as well as non-functional level has remained intriguing. To understand the sarcoidosis susceptibility at genetic level, several molecular approaches, such as meta-analysis of GWAS, significant association of coding and rare variants, fine mapping of susceptible loci, gene networking and their associated mechanism, copy number variations, single nucleotide polymorphisms in miRNAs (mirSNPs) and epigenetic changes in case control studies across cohorts of different ethnic groups would reveal a better insight.", "author" : [ { "dropping-particle" : "", "family" : "Kishore", "given" : "Amit", "non-dropping-particle" : "", "parse-names" : false, "suffix" : "" }, { "dropping-particle" : "", "family" : "Petrek", "given" : "Martin", "non-dropping-particle" : "", "parse-names" : false, "suffix" : "" } ], "container-title" : "International Trends in Immunity", "id" : "ITEM-2", "issue" : "4", "issued" : { "date-parts" : [ [ "2013" ] ] }, "page" : "43-53", "title" : "Immunogenetics of Saarcoidosis", "type" : "article-journal", "volume" : "1" }, "uris" : [ "http://www.mendeley.com/documents/?uuid=56b661c0-7ce1-3f1e-b01e-f1a5f2ec5785" ] } ], "mendeley" : { "formattedCitation" : "(4,10)", "plainTextFormattedCitation" : "(4,10)", "previouslyFormattedCitation" : "(2,8)"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(4,10)</w:t>
            </w:r>
            <w:r w:rsidRPr="000D1988">
              <w:rPr>
                <w:rFonts w:eastAsia="Times New Roman" w:cs="Times New Roman"/>
                <w:color w:val="000000"/>
                <w:sz w:val="22"/>
              </w:rPr>
              <w:fldChar w:fldCharType="end"/>
            </w:r>
          </w:p>
        </w:tc>
      </w:tr>
      <w:tr w:rsidR="00EF037E" w:rsidRPr="000D1988" w14:paraId="26FF19E5" w14:textId="77777777" w:rsidTr="00DE09CD">
        <w:tc>
          <w:tcPr>
            <w:tcW w:w="1084" w:type="dxa"/>
            <w:tcBorders>
              <w:top w:val="nil"/>
              <w:bottom w:val="nil"/>
            </w:tcBorders>
          </w:tcPr>
          <w:p w14:paraId="432167CB" w14:textId="77777777" w:rsidR="00EF037E" w:rsidRPr="000D1988" w:rsidRDefault="00EF037E" w:rsidP="00DE09CD">
            <w:pPr>
              <w:spacing w:before="50" w:after="50"/>
              <w:rPr>
                <w:rFonts w:eastAsia="Times New Roman" w:cs="Times New Roman"/>
                <w:color w:val="000000"/>
                <w:sz w:val="22"/>
              </w:rPr>
            </w:pPr>
          </w:p>
        </w:tc>
        <w:tc>
          <w:tcPr>
            <w:tcW w:w="1829" w:type="dxa"/>
            <w:tcBorders>
              <w:top w:val="nil"/>
              <w:bottom w:val="nil"/>
            </w:tcBorders>
          </w:tcPr>
          <w:p w14:paraId="7397A651" w14:textId="77777777" w:rsidR="00EF037E" w:rsidRPr="000D1988" w:rsidRDefault="00EF037E" w:rsidP="00DE09CD">
            <w:pPr>
              <w:spacing w:before="50" w:after="50"/>
              <w:rPr>
                <w:rFonts w:eastAsia="Times New Roman" w:cs="Times New Roman"/>
                <w:color w:val="000000"/>
                <w:sz w:val="22"/>
              </w:rPr>
            </w:pPr>
          </w:p>
        </w:tc>
        <w:tc>
          <w:tcPr>
            <w:tcW w:w="1414" w:type="dxa"/>
          </w:tcPr>
          <w:p w14:paraId="1BD46DE2"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*05:03</w:t>
            </w:r>
          </w:p>
        </w:tc>
        <w:tc>
          <w:tcPr>
            <w:tcW w:w="3503" w:type="dxa"/>
          </w:tcPr>
          <w:p w14:paraId="3F8845B4"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Increased risk of non-LS</w:t>
            </w:r>
          </w:p>
        </w:tc>
        <w:tc>
          <w:tcPr>
            <w:tcW w:w="1924" w:type="dxa"/>
          </w:tcPr>
          <w:p w14:paraId="69E6D29F" w14:textId="77777777" w:rsidR="00EF037E" w:rsidRPr="000D1988" w:rsidRDefault="00EF037E" w:rsidP="00DE09CD">
            <w:pPr>
              <w:spacing w:before="50" w:after="50"/>
              <w:rPr>
                <w:rFonts w:eastAsia="Times New Roman" w:cs="Times New Roman"/>
                <w:sz w:val="22"/>
              </w:rPr>
            </w:pPr>
            <w:r w:rsidRPr="000D1988">
              <w:rPr>
                <w:rFonts w:eastAsia="Times New Roman" w:cs="Times New Roman"/>
                <w:sz w:val="22"/>
              </w:rPr>
              <w:t>Dutch</w:t>
            </w:r>
          </w:p>
        </w:tc>
        <w:tc>
          <w:tcPr>
            <w:tcW w:w="1350" w:type="dxa"/>
          </w:tcPr>
          <w:p w14:paraId="572AFB7F" w14:textId="1C15282A"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"DOI" : "10.1016/j.ccm.2015.08.002", "ISBN" : "9780323402408", "ISSN" : "1557-8216", "PMID" : "26593134", "abstract" : "Sarcoidosis is a disease with highly variable presentation and progression; although it is hypothesized that disease phenotype is related to genetic variation, how much of this variability is driven by genetic factors is not known. The HLA region is the most strongly and consistently associated genetic risk factor for sarcoidosis, supporting the notion that sarcoidosis is an exposure-mediated immunologic disease. Most of the genetic etiology of sarcoidosis remains unknown in terms of the specific variants that increase risk in various populations, their biologic functions, and how they interact with environmental exposures.", "author" : [ { "dropping-particle" : "", "family" : "Fingerlin", "given" : "Tasha E.", "non-dropping-particle" : "", "parse-names" : false, "suffix" : "" }, { "dropping-particle" : "", "family" : "Hamzeh", "given" : "Nabeel", "non-dropping-particle" : "", "parse-names" : false, "suffix" : "" }, { "dropping-particle" : "", "family" : "Maier", "given" : "Lisa A.", "non-dropping-particle" : "", "parse-names" : false, "suffix" : "" } ], "container-title" : "Clinics in chest medicine", "id" : "ITEM-1", "issue" : "4", "issued" : { "date-parts" : [ [ "2015", "12" ] ] }, "page" : "569-84", "title" : "Genetics of Sarcoidosis.", "type" : "article-journal", "volume" : "36" }, "uris" : [ "http://www.mendeley.com/documents/?uuid=0756ce18-1de6-32f0-b676-fd7177b527cc" ] } ], "mendeley" : { "formattedCitation" : "(7)", "plainTextFormattedCitation" : "(7)", "previouslyFormattedCitation" : "(5)"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(7)</w:t>
            </w:r>
            <w:r w:rsidRPr="000D1988">
              <w:rPr>
                <w:rFonts w:eastAsia="Times New Roman" w:cs="Times New Roman"/>
                <w:color w:val="000000"/>
                <w:sz w:val="22"/>
              </w:rPr>
              <w:fldChar w:fldCharType="end"/>
            </w:r>
          </w:p>
        </w:tc>
      </w:tr>
      <w:tr w:rsidR="00EF037E" w:rsidRPr="000D1988" w14:paraId="2E6319C4" w14:textId="77777777" w:rsidTr="00DE09CD">
        <w:tc>
          <w:tcPr>
            <w:tcW w:w="1084" w:type="dxa"/>
            <w:tcBorders>
              <w:top w:val="nil"/>
            </w:tcBorders>
          </w:tcPr>
          <w:p w14:paraId="2391291B" w14:textId="77777777" w:rsidR="00EF037E" w:rsidRPr="000D1988" w:rsidRDefault="00EF037E" w:rsidP="00DE09CD">
            <w:pPr>
              <w:spacing w:before="50" w:after="50"/>
              <w:rPr>
                <w:rFonts w:eastAsia="Times New Roman" w:cs="Times New Roman"/>
                <w:color w:val="000000"/>
                <w:sz w:val="22"/>
              </w:rPr>
            </w:pPr>
          </w:p>
        </w:tc>
        <w:tc>
          <w:tcPr>
            <w:tcW w:w="1829" w:type="dxa"/>
            <w:tcBorders>
              <w:top w:val="nil"/>
            </w:tcBorders>
          </w:tcPr>
          <w:p w14:paraId="12E2AC28" w14:textId="77777777" w:rsidR="00EF037E" w:rsidRPr="000D1988" w:rsidRDefault="00EF037E" w:rsidP="00DE09CD">
            <w:pPr>
              <w:spacing w:before="50" w:after="50"/>
              <w:rPr>
                <w:rFonts w:eastAsia="Times New Roman" w:cs="Times New Roman"/>
                <w:color w:val="000000"/>
                <w:sz w:val="22"/>
              </w:rPr>
            </w:pPr>
          </w:p>
        </w:tc>
        <w:tc>
          <w:tcPr>
            <w:tcW w:w="1414" w:type="dxa"/>
          </w:tcPr>
          <w:p w14:paraId="1CF3289D"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*06:02</w:t>
            </w:r>
          </w:p>
        </w:tc>
        <w:tc>
          <w:tcPr>
            <w:tcW w:w="3503" w:type="dxa"/>
          </w:tcPr>
          <w:p w14:paraId="3769DDB6"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Susceptible/disease progression</w:t>
            </w:r>
          </w:p>
        </w:tc>
        <w:tc>
          <w:tcPr>
            <w:tcW w:w="1924" w:type="dxa"/>
          </w:tcPr>
          <w:p w14:paraId="736B5E50" w14:textId="77777777" w:rsidR="00EF037E" w:rsidRPr="000D1988" w:rsidRDefault="00EF037E" w:rsidP="00DE09CD">
            <w:pPr>
              <w:spacing w:before="50" w:after="50"/>
              <w:rPr>
                <w:rFonts w:eastAsia="Times New Roman" w:cs="Times New Roman"/>
                <w:sz w:val="22"/>
              </w:rPr>
            </w:pPr>
            <w:r w:rsidRPr="000D1988">
              <w:rPr>
                <w:rFonts w:eastAsia="Times New Roman" w:cs="Times New Roman"/>
                <w:sz w:val="22"/>
              </w:rPr>
              <w:t>Multiple</w:t>
            </w:r>
          </w:p>
        </w:tc>
        <w:tc>
          <w:tcPr>
            <w:tcW w:w="1350" w:type="dxa"/>
          </w:tcPr>
          <w:p w14:paraId="790E2309" w14:textId="72E23A88"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"abstract" : "Sarcoidosis is a multi-facets disease. Along with environment, the role of genetic component in this immune-mediated granulomatous disorder is undisputable, irrespective of the tissue/ organ involved (lung, eyes, heart, etc.). Due to undefined etiology of this complex disorder, it has remained as challenge to control the disease progression. Further, identification of prognostic genetic maker for this disease at functional as well as non-functional level has remained intriguing. To understand the sarcoidosis susceptibility at genetic level, several molecular approaches, such as meta-analysis of GWAS, significant association of coding and rare variants, fine mapping of susceptible loci, gene networking and their associated mechanism, copy number variations, single nucleotide polymorphisms in miRNAs (mirSNPs) and epigenetic changes in case control studies across cohorts of different ethnic groups would reveal a better insight.", "author" : [ { "dropping-particle" : "", "family" : "Kishore", "given" : "Amit", "non-dropping-particle" : "", "parse-names" : false, "suffix" : "" }, { "dropping-particle" : "", "family" : "Petrek", "given" : "Martin", "non-dropping-particle" : "", "parse-names" : false, "suffix" : "" } ], "container-title" : "International Trends in Immunity", "id" : "ITEM-1", "issue" : "4", "issued" : { "date-parts" : [ [ "2013" ] ] }, "page" : "43-53", "title" : "Immunogenetics of Saarcoidosis", "type" : "article-journal", "volume" : "1" }, "uris" : [ "http://www.mendeley.com/documents/?uuid=56b661c0-7ce1-3f1e-b01e-f1a5f2ec5785" ] }, { "id" : "ITEM-2", "itemData" : { "DOI" : "10.5772/55116", "author" : [ { "dropping-particle" : "", "family" : "Sah", "given" : "Birendra P.", "non-dropping-particle" : "", "parse-names" : false, "suffix" : "" }, { "dropping-particle" : "", "family" : "Iannuzzi", "given" : "Michael C.", "non-dropping-particle" : "", "parse-names" : false, "suffix" : "" } ], "container-title" : "Sarcoidosis", "id" : "ITEM-2", "issued" : { "date-parts" : [ [ "2013", "3", "13" ] ] }, "page" : "53-77", "publisher" : "InTech", "title" : "Genetic Factors Involved in Sarcoidosis", "type" : "chapter" }, "uris" : [ "http://www.mendeley.com/documents/?uuid=cd3949a0-0613-38d3-a194-e620b733a584" ] } ], "mendeley" : { "formattedCitation" : "(4,5)", "plainTextFormattedCitation" : "(4,5)", "previouslyFormattedCitation" : "(2,3)"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(4,5)</w:t>
            </w:r>
            <w:r w:rsidRPr="000D1988">
              <w:rPr>
                <w:rFonts w:eastAsia="Times New Roman" w:cs="Times New Roman"/>
                <w:color w:val="000000"/>
                <w:sz w:val="22"/>
              </w:rPr>
              <w:fldChar w:fldCharType="end"/>
            </w:r>
          </w:p>
        </w:tc>
      </w:tr>
      <w:tr w:rsidR="00EF037E" w:rsidRPr="000D1988" w14:paraId="319EB128" w14:textId="77777777" w:rsidTr="00DE09CD">
        <w:tc>
          <w:tcPr>
            <w:tcW w:w="1084" w:type="dxa"/>
            <w:tcBorders>
              <w:bottom w:val="single" w:sz="4" w:space="0" w:color="auto"/>
            </w:tcBorders>
          </w:tcPr>
          <w:p w14:paraId="2AE033AB"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Class II</w:t>
            </w:r>
          </w:p>
        </w:tc>
        <w:tc>
          <w:tcPr>
            <w:tcW w:w="1829" w:type="dxa"/>
            <w:tcBorders>
              <w:bottom w:val="single" w:sz="4" w:space="0" w:color="auto"/>
            </w:tcBorders>
          </w:tcPr>
          <w:p w14:paraId="762AFB30"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HLA-DQA1</w:t>
            </w:r>
          </w:p>
        </w:tc>
        <w:tc>
          <w:tcPr>
            <w:tcW w:w="1414" w:type="dxa"/>
          </w:tcPr>
          <w:p w14:paraId="69F358FF"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rs2187668</w:t>
            </w:r>
          </w:p>
        </w:tc>
        <w:tc>
          <w:tcPr>
            <w:tcW w:w="3503" w:type="dxa"/>
          </w:tcPr>
          <w:p w14:paraId="37AA1284"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LS</w:t>
            </w:r>
          </w:p>
        </w:tc>
        <w:tc>
          <w:tcPr>
            <w:tcW w:w="1924" w:type="dxa"/>
          </w:tcPr>
          <w:p w14:paraId="129530AA" w14:textId="77777777" w:rsidR="00EF037E" w:rsidRPr="000D1988" w:rsidRDefault="00EF037E" w:rsidP="00DE09CD">
            <w:pPr>
              <w:spacing w:before="50" w:after="50"/>
              <w:rPr>
                <w:rFonts w:eastAsia="Times New Roman" w:cs="Times New Roman"/>
                <w:sz w:val="22"/>
              </w:rPr>
            </w:pPr>
            <w:r w:rsidRPr="000D1988">
              <w:rPr>
                <w:rFonts w:cs="Times New Roman"/>
                <w:sz w:val="22"/>
              </w:rPr>
              <w:t>European cohorts</w:t>
            </w:r>
          </w:p>
        </w:tc>
        <w:tc>
          <w:tcPr>
            <w:tcW w:w="1350" w:type="dxa"/>
          </w:tcPr>
          <w:p w14:paraId="0078B404" w14:textId="550DA74A"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"ISSN" : "1535-4970", "PMID" : "26651848", "abstract" : "RATIONALE Sarcoidosis is a multisystem disease of unknown cause. L\u00f6fgren's syndrome (LS) is a characteristic subgroup of sarcoidosis that is associated with a good prognosis in sarcoidosis. However, little is known about its genetic architecture or its broader phenotype, non-LS sarcoidosis. OBJECTIVES To address the genetic architecture of sarcoidosis phenotypes, LS and non-LS. METHODS An association study in a white Swedish cohort of 384 LS, 664 non-LS, and 2,086 control subjects, totaling 3,134 subjects using a fine-mapping genotyping platform was conducted. Replication was performed in four independent cohorts, three of white European descent (Germany, n = 4,975; the Netherlands, n = 613; and Czech Republic, n = 521), and one of black African descent (United States, n = 1,657), totaling 7,766 subjects. MEASUREMENTS AND MAIN RESULTS A total of 727 LS-associated variants expanding throughout the extended major histocompatibility complex (MHC) region and 68 non-LS-associated variants located in the MHC class II region were identified and confirmed. A shared overlap between LS and non-LS defined by 17 variants located in the MHC class II region was found. Outside the MHC region, two LS-associated loci, in ADCY3 and between CSMD1 and MCPH1, were observed and replicated. CONCLUSIONS Comprehensive and integrative analyses of genetics, transcription, and pathway modeling on LS and non-LS indicates that these sarcoidosis phenotypes have different genetic susceptibility, genomic distributions, and cellular activities, suggesting distinct molecular mechanisms in pathways related to immune response with a common region.", "author" : [ { "dropping-particle" : "V", "family" : "Rivera", "given" : "Natalia", "non-dropping-particle" : "", "parse-names" : false, "suffix" : "" }, { "dropping-particle" : "", "family" : "Ronninger", "given" : "Marcus", "non-dropping-particle" : "", "parse-names" : false, "suffix" : "" }, { "dropping-particle" : "", "family" : "Shchetynsky", "given" : "Klementy", "non-dropping-particle" : "", "parse-names" : false, "suffix" : "" }, { "dropping-particle" : "", "family" : "Franke", "given" : "Andre", "non-dropping-particle" : "", "parse-names" : false, "suffix" : "" }, { "dropping-particle" : "", "family" : "N\u00f6then", "given" : "Markus M", "non-dropping-particle" : "", "parse-names" : false, "suffix" : "" }, { "dropping-particle" : "", "family" : "M\u00fcller-Quernheim", "given" : "Joachim", "non-dropping-particle" : "", "parse-names" : false, "suffix" : "" }, { "dropping-particle" : "", "family" : "Schreiber", "given" : "Stefan", "non-dropping-particle" : "", "parse-names" : false, "suffix" : "" }, { "dropping-particle" : "", "family" : "Adrianto", "given" : "Indra", "non-dropping-particle" : "", "parse-names" : false, "suffix" : "" }, { "dropping-particle" : "", "family" : "Karakaya", "given" : "Bekir", "non-dropping-particle" : "", "parse-names" : false, "suffix" : "" }, { "dropping-particle" : "", "family" : "Moorsel", "given" : "Coline H M", "non-dropping-particle" : "van", "parse-names" : false, "suffix" : "" }, { "dropping-particle" : "", "family" : "Navratilova", "given" : "Zdenka", "non-dropping-particle" : "", "parse-names" : false, "suffix" : "" }, { "dropping-particle" : "", "family" : "Kolek", "given" : "Vitezslav", "non-dropping-particle" : "", "parse-names" : false, "suffix" : "" }, { "dropping-particle" : "", "family" : "Rybicki", "given" : "Benjamin A", "non-dropping-particle" : "", "parse-names" : false, "suffix" : "" }, { "dropping-particle" : "", "family" : "Iannuzzi", "given" : "Michael C", "non-dropping-particle" : "", "parse-names" : false, "suffix" : "" }, { "dropping-particle" : "", "family" : "Petrek", "given" : "Martin", "non-dropping-particle" : "", "parse-names" : false, "suffix" : "" }, { "dropping-particle" : "", "family" : "Grutters", "given" : "Jan C", "non-dropping-particle" : "", "parse-names" : false, "suffix" : "" }, { "dropping-particle" : "", "family" : "Montgomery", "given" : "Courtney", "non-dropping-particle" : "", "parse-names" : false, "suffix" : "" }, { "dropping-particle" : "", "family" : "Fischer", "given" : "Annegret", "non-dropping-particle" : "", "parse-names" : false, "suffix" : "" }, { "dropping-particle" : "", "family" : "Eklund", "given" : "Anders", "non-dropping-particle" : "", "parse-names" : false, "suffix" : "" }, { "dropping-particle" : "", "family" : "Padyukov", "given" : "Leonid", "non-dropping-particle" : "", "parse-names" : false, "suffix" : "" }, { "dropping-particle" : "", "family" : "Grunewald", "given" : "Johan", "non-dropping-particle" : "", "parse-names" : false, "suffix" : "" } ], "container-title" : "American journal of respiratory and critical care medicine", "id" : "ITEM-1", "issue" : "9", "issued" : { "date-parts" : [ [ "2016" ] ] }, "page" : "1008-1022", "title" : "High-Density Genetic Mapping Identifies New Susceptibility Variants in Sarcoidosis Phenotypes and Shows Genomic-driven Phenotypic Differences.", "type" : "article-journal", "volume" : "193" }, "uris" : [ "http://www.mendeley.com/documents/?uuid=3444866a-8eaf-3560-99a8-d5390537f8fd" ] } ], "mendeley" : { "formattedCitation" : "(9)", "plainTextFormattedCitation" : "(9)", "previouslyFormattedCitation" : "(7)"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(9)</w:t>
            </w:r>
            <w:r w:rsidRPr="000D1988">
              <w:rPr>
                <w:rFonts w:eastAsia="Times New Roman" w:cs="Times New Roman"/>
                <w:color w:val="000000"/>
                <w:sz w:val="22"/>
              </w:rPr>
              <w:fldChar w:fldCharType="end"/>
            </w:r>
          </w:p>
        </w:tc>
      </w:tr>
      <w:tr w:rsidR="00EF037E" w:rsidRPr="000D1988" w14:paraId="05B46FF1" w14:textId="77777777" w:rsidTr="00DE09CD">
        <w:tc>
          <w:tcPr>
            <w:tcW w:w="1084" w:type="dxa"/>
            <w:tcBorders>
              <w:bottom w:val="nil"/>
            </w:tcBorders>
          </w:tcPr>
          <w:p w14:paraId="2FFF0BBF"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Class II</w:t>
            </w:r>
          </w:p>
        </w:tc>
        <w:tc>
          <w:tcPr>
            <w:tcW w:w="1829" w:type="dxa"/>
            <w:tcBorders>
              <w:bottom w:val="nil"/>
            </w:tcBorders>
          </w:tcPr>
          <w:p w14:paraId="667276EA"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HLA-DRA</w:t>
            </w:r>
          </w:p>
        </w:tc>
        <w:tc>
          <w:tcPr>
            <w:tcW w:w="1414" w:type="dxa"/>
          </w:tcPr>
          <w:p w14:paraId="5048CD01"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rs3135394</w:t>
            </w:r>
          </w:p>
        </w:tc>
        <w:tc>
          <w:tcPr>
            <w:tcW w:w="3503" w:type="dxa"/>
          </w:tcPr>
          <w:p w14:paraId="13ED875E"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LS</w:t>
            </w:r>
          </w:p>
        </w:tc>
        <w:tc>
          <w:tcPr>
            <w:tcW w:w="1924" w:type="dxa"/>
          </w:tcPr>
          <w:p w14:paraId="1A6ED91F" w14:textId="77777777" w:rsidR="00EF037E" w:rsidRPr="000D1988" w:rsidRDefault="00EF037E" w:rsidP="00DE09CD">
            <w:pPr>
              <w:spacing w:before="50" w:after="50"/>
              <w:rPr>
                <w:rFonts w:eastAsia="Times New Roman" w:cs="Times New Roman"/>
                <w:sz w:val="22"/>
              </w:rPr>
            </w:pPr>
            <w:r w:rsidRPr="000D1988">
              <w:rPr>
                <w:rFonts w:cs="Times New Roman"/>
                <w:sz w:val="22"/>
              </w:rPr>
              <w:t>European cohorts</w:t>
            </w:r>
          </w:p>
        </w:tc>
        <w:tc>
          <w:tcPr>
            <w:tcW w:w="1350" w:type="dxa"/>
          </w:tcPr>
          <w:p w14:paraId="298C480A" w14:textId="2615C0C6"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"ISSN" : "1535-4970", "PMID" : "26651848", "abstract" : "RATIONALE Sarcoidosis is a multisystem disease of unknown cause. L\u00f6fgren's syndrome (LS) is a characteristic subgroup of sarcoidosis that is associated with a good prognosis in sarcoidosis. However, little is known about its genetic architecture or its broader phenotype, non-LS sarcoidosis. OBJECTIVES To address the genetic architecture of sarcoidosis phenotypes, LS and non-LS. METHODS An association study in a white Swedish cohort of 384 LS, 664 non-LS, and 2,086 control subjects, totaling 3,134 subjects using a fine-mapping genotyping platform was conducted. Replication was performed in four independent cohorts, three of white European descent (Germany, n = 4,975; the Netherlands, n = 613; and Czech Republic, n = 521), and one of black African descent (United States, n = 1,657), totaling 7,766 subjects. MEASUREMENTS AND MAIN RESULTS A total of 727 LS-associated variants expanding throughout the extended major histocompatibility complex (MHC) region and 68 non-LS-associated variants located in the MHC class II region were identified and confirmed. A shared overlap between LS and non-LS defined by 17 variants located in the MHC class II region was found. Outside the MHC region, two LS-associated loci, in ADCY3 and between CSMD1 and MCPH1, were observed and replicated. CONCLUSIONS Comprehensive and integrative analyses of genetics, transcription, and pathway modeling on LS and non-LS indicates that these sarcoidosis phenotypes have different genetic susceptibility, genomic distributions, and cellular activities, suggesting distinct molecular mechanisms in pathways related to immune response with a common region.", "author" : [ { "dropping-particle" : "V", "family" : "Rivera", "given" : "Natalia", "non-dropping-particle" : "", "parse-names" : false, "suffix" : "" }, { "dropping-particle" : "", "family" : "Ronninger", "given" : "Marcus", "non-dropping-particle" : "", "parse-names" : false, "suffix" : "" }, { "dropping-particle" : "", "family" : "Shchetynsky", "given" : "Klementy", "non-dropping-particle" : "", "parse-names" : false, "suffix" : "" }, { "dropping-particle" : "", "family" : "Franke", "given" : "Andre", "non-dropping-particle" : "", "parse-names" : false, "suffix" : "" }, { "dropping-particle" : "", "family" : "N\u00f6then", "given" : "Markus M", "non-dropping-particle" : "", "parse-names" : false, "suffix" : "" }, { "dropping-particle" : "", "family" : "M\u00fcller-Quernheim", "given" : "Joachim", "non-dropping-particle" : "", "parse-names" : false, "suffix" : "" }, { "dropping-particle" : "", "family" : "Schreiber", "given" : "Stefan", "non-dropping-particle" : "", "parse-names" : false, "suffix" : "" }, { "dropping-particle" : "", "family" : "Adrianto", "given" : "Indra", "non-dropping-particle" : "", "parse-names" : false, "suffix" : "" }, { "dropping-particle" : "", "family" : "Karakaya", "given" : "Bekir", "non-dropping-particle" : "", "parse-names" : false, "suffix" : "" }, { "dropping-particle" : "", "family" : "Moorsel", "given" : "Coline H M", "non-dropping-particle" : "van", "parse-names" : false, "suffix" : "" }, { "dropping-particle" : "", "family" : "Navratilova", "given" : "Zdenka", "non-dropping-particle" : "", "parse-names" : false, "suffix" : "" }, { "dropping-particle" : "", "family" : "Kolek", "given" : "Vitezslav", "non-dropping-particle" : "", "parse-names" : false, "suffix" : "" }, { "dropping-particle" : "", "family" : "Rybicki", "given" : "Benjamin A", "non-dropping-particle" : "", "parse-names" : false, "suffix" : "" }, { "dropping-particle" : "", "family" : "Iannuzzi", "given" : "Michael C", "non-dropping-particle" : "", "parse-names" : false, "suffix" : "" }, { "dropping-particle" : "", "family" : "Petrek", "given" : "Martin", "non-dropping-particle" : "", "parse-names" : false, "suffix" : "" }, { "dropping-particle" : "", "family" : "Grutters", "given" : "Jan C", "non-dropping-particle" : "", "parse-names" : false, "suffix" : "" }, { "dropping-particle" : "", "family" : "Montgomery", "given" : "Courtney", "non-dropping-particle" : "", "parse-names" : false, "suffix" : "" }, { "dropping-particle" : "", "family" : "Fischer", "given" : "Annegret", "non-dropping-particle" : "", "parse-names" : false, "suffix" : "" }, { "dropping-particle" : "", "family" : "Eklund", "given" : "Anders", "non-dropping-particle" : "", "parse-names" : false, "suffix" : "" }, { "dropping-particle" : "", "family" : "Padyukov", "given" : "Leonid", "non-dropping-particle" : "", "parse-names" : false, "suffix" : "" }, { "dropping-particle" : "", "family" : "Grunewald", "given" : "Johan", "non-dropping-particle" : "", "parse-names" : false, "suffix" : "" } ], "container-title" : "American journal of respiratory and critical care medicine", "id" : "ITEM-1", "issue" : "9", "issued" : { "date-parts" : [ [ "2016" ] ] }, "page" : "1008-1022", "title" : "High-Density Genetic Mapping Identifies New Susceptibility Variants in Sarcoidosis Phenotypes and Shows Genomic-driven Phenotypic Differences.", "type" : "article-journal", "volume" : "193" }, "uris" : [ "http://www.mendeley.com/documents/?uuid=3444866a-8eaf-3560-99a8-d5390537f8fd" ] } ], "mendeley" : { "formattedCitation" : "(9)", "plainTextFormattedCitation" : "(9)", "previouslyFormattedCitation" : "(7)"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(9)</w:t>
            </w:r>
            <w:r w:rsidRPr="000D1988">
              <w:rPr>
                <w:rFonts w:eastAsia="Times New Roman" w:cs="Times New Roman"/>
                <w:color w:val="000000"/>
                <w:sz w:val="22"/>
              </w:rPr>
              <w:fldChar w:fldCharType="end"/>
            </w:r>
          </w:p>
        </w:tc>
      </w:tr>
      <w:tr w:rsidR="00EF037E" w:rsidRPr="000D1988" w14:paraId="0D7FEAB3" w14:textId="77777777" w:rsidTr="00DE09CD">
        <w:tc>
          <w:tcPr>
            <w:tcW w:w="1084" w:type="dxa"/>
            <w:tcBorders>
              <w:top w:val="nil"/>
              <w:bottom w:val="nil"/>
            </w:tcBorders>
          </w:tcPr>
          <w:p w14:paraId="76372EE3" w14:textId="77777777" w:rsidR="00EF037E" w:rsidRPr="000D1988" w:rsidRDefault="00EF037E" w:rsidP="00DE09CD">
            <w:pPr>
              <w:spacing w:before="50" w:after="50"/>
              <w:rPr>
                <w:rFonts w:eastAsia="Times New Roman" w:cs="Times New Roman"/>
                <w:color w:val="000000"/>
                <w:sz w:val="22"/>
              </w:rPr>
            </w:pPr>
          </w:p>
        </w:tc>
        <w:tc>
          <w:tcPr>
            <w:tcW w:w="1829" w:type="dxa"/>
            <w:tcBorders>
              <w:top w:val="nil"/>
            </w:tcBorders>
          </w:tcPr>
          <w:p w14:paraId="3E0EBF77" w14:textId="77777777" w:rsidR="00EF037E" w:rsidRPr="000D1988" w:rsidRDefault="00EF037E" w:rsidP="00DE09CD">
            <w:pPr>
              <w:spacing w:before="50" w:after="50"/>
              <w:rPr>
                <w:rFonts w:eastAsia="Times New Roman" w:cs="Times New Roman"/>
                <w:color w:val="000000"/>
                <w:sz w:val="22"/>
              </w:rPr>
            </w:pPr>
          </w:p>
        </w:tc>
        <w:tc>
          <w:tcPr>
            <w:tcW w:w="1414" w:type="dxa"/>
          </w:tcPr>
          <w:p w14:paraId="56D3FB97"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rs3129882</w:t>
            </w:r>
          </w:p>
        </w:tc>
        <w:tc>
          <w:tcPr>
            <w:tcW w:w="3503" w:type="dxa"/>
          </w:tcPr>
          <w:p w14:paraId="1D67B503"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Non-LS</w:t>
            </w:r>
          </w:p>
        </w:tc>
        <w:tc>
          <w:tcPr>
            <w:tcW w:w="1924" w:type="dxa"/>
          </w:tcPr>
          <w:p w14:paraId="2E97EFCF" w14:textId="77777777" w:rsidR="00EF037E" w:rsidRPr="000D1988" w:rsidRDefault="00EF037E" w:rsidP="00DE09CD">
            <w:pPr>
              <w:spacing w:before="50" w:after="50"/>
              <w:rPr>
                <w:rFonts w:eastAsia="Times New Roman" w:cs="Times New Roman"/>
                <w:sz w:val="22"/>
              </w:rPr>
            </w:pPr>
            <w:r w:rsidRPr="000D1988">
              <w:rPr>
                <w:rFonts w:cs="Times New Roman"/>
                <w:sz w:val="22"/>
              </w:rPr>
              <w:t>European cohorts</w:t>
            </w:r>
          </w:p>
        </w:tc>
        <w:tc>
          <w:tcPr>
            <w:tcW w:w="1350" w:type="dxa"/>
          </w:tcPr>
          <w:p w14:paraId="15D7A920" w14:textId="7A3B70FC"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"ISSN" : "1535-4970", "PMID" : "26651848", "abstract" : "RATIONALE Sarcoidosis is a multisystem disease of unknown cause. L\u00f6fgren's syndrome (LS) is a characteristic subgroup of sarcoidosis that is associated with a good prognosis in sarcoidosis. However, little is known about its genetic architecture or its broader phenotype, non-LS sarcoidosis. OBJECTIVES To address the genetic architecture of sarcoidosis phenotypes, LS and non-LS. METHODS An association study in a white Swedish cohort of 384 LS, 664 non-LS, and 2,086 control subjects, totaling 3,134 subjects using a fine-mapping genotyping platform was conducted. Replication was performed in four independent cohorts, three of white European descent (Germany, n = 4,975; the Netherlands, n = 613; and Czech Republic, n = 521), and one of black African descent (United States, n = 1,657), totaling 7,766 subjects. MEASUREMENTS AND MAIN RESULTS A total of 727 LS-associated variants expanding throughout the extended major histocompatibility complex (MHC) region and 68 non-LS-associated variants located in the MHC class II region were identified and confirmed. A shared overlap between LS and non-LS defined by 17 variants located in the MHC class II region was found. Outside the MHC region, two LS-associated loci, in ADCY3 and between CSMD1 and MCPH1, were observed and replicated. CONCLUSIONS Comprehensive and integrative analyses of genetics, transcription, and pathway modeling on LS and non-LS indicates that these sarcoidosis phenotypes have different genetic susceptibility, genomic distributions, and cellular activities, suggesting distinct molecular mechanisms in pathways related to immune response with a common region.", "author" : [ { "dropping-particle" : "V", "family" : "Rivera", "given" : "Natalia", "non-dropping-particle" : "", "parse-names" : false, "suffix" : "" }, { "dropping-particle" : "", "family" : "Ronninger", "given" : "Marcus", "non-dropping-particle" : "", "parse-names" : false, "suffix" : "" }, { "dropping-particle" : "", "family" : "Shchetynsky", "given" : "Klementy", "non-dropping-particle" : "", "parse-names" : false, "suffix" : "" }, { "dropping-particle" : "", "family" : "Franke", "given" : "Andre", "non-dropping-particle" : "", "parse-names" : false, "suffix" : "" }, { "dropping-particle" : "", "family" : "N\u00f6then", "given" : "Markus M", "non-dropping-particle" : "", "parse-names" : false, "suffix" : "" }, { "dropping-particle" : "", "family" : "M\u00fcller-Quernheim", "given" : "Joachim", "non-dropping-particle" : "", "parse-names" : false, "suffix" : "" }, { "dropping-particle" : "", "family" : "Schreiber", "given" : "Stefan", "non-dropping-particle" : "", "parse-names" : false, "suffix" : "" }, { "dropping-particle" : "", "family" : "Adrianto", "given" : "Indra", "non-dropping-particle" : "", "parse-names" : false, "suffix" : "" }, { "dropping-particle" : "", "family" : "Karakaya", "given" : "Bekir", "non-dropping-particle" : "", "parse-names" : false, "suffix" : "" }, { "dropping-particle" : "", "family" : "Moorsel", "given" : "Coline H M", "non-dropping-particle" : "van", "parse-names" : false, "suffix" : "" }, { "dropping-particle" : "", "family" : "Navratilova", "given" : "Zdenka", "non-dropping-particle" : "", "parse-names" : false, "suffix" : "" }, { "dropping-particle" : "", "family" : "Kolek", "given" : "Vitezslav", "non-dropping-particle" : "", "parse-names" : false, "suffix" : "" }, { "dropping-particle" : "", "family" : "Rybicki", "given" : "Benjamin A", "non-dropping-particle" : "", "parse-names" : false, "suffix" : "" }, { "dropping-particle" : "", "family" : "Iannuzzi", "given" : "Michael C", "non-dropping-particle" : "", "parse-names" : false, "suffix" : "" }, { "dropping-particle" : "", "family" : "Petrek", "given" : "Martin", "non-dropping-particle" : "", "parse-names" : false, "suffix" : "" }, { "dropping-particle" : "", "family" : "Grutters", "given" : "Jan C", "non-dropping-particle" : "", "parse-names" : false, "suffix" : "" }, { "dropping-particle" : "", "family" : "Montgomery", "given" : "Courtney", "non-dropping-particle" : "", "parse-names" : false, "suffix" : "" }, { "dropping-particle" : "", "family" : "Fischer", "given" : "Annegret", "non-dropping-particle" : "", "parse-names" : false, "suffix" : "" }, { "dropping-particle" : "", "family" : "Eklund", "given" : "Anders", "non-dropping-particle" : "", "parse-names" : false, "suffix" : "" }, { "dropping-particle" : "", "family" : "Padyukov", "given" : "Leonid", "non-dropping-particle" : "", "parse-names" : false, "suffix" : "" }, { "dropping-particle" : "", "family" : "Grunewald", "given" : "Johan", "non-dropping-particle" : "", "parse-names" : false, "suffix" : "" } ], "container-title" : "American journal of respiratory and critical care medicine", "id" : "ITEM-1", "issue" : "9", "issued" : { "date-parts" : [ [ "2016" ] ] }, "page" : "1008-1022", "title" : "High-Density Genetic Mapping Identifies New Susceptibility Variants in Sarcoidosis Phenotypes and Shows Genomic-driven Phenotypic Differences.", "type" : "article-journal", "volume" : "193" }, "uris" : [ "http://www.mendeley.com/documents/?uuid=3444866a-8eaf-3560-99a8-d5390537f8fd" ] } ], "mendeley" : { "formattedCitation" : "(9)", "plainTextFormattedCitation" : "(9)", "previouslyFormattedCitation" : "(7)"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(9)</w:t>
            </w:r>
            <w:r w:rsidRPr="000D1988">
              <w:rPr>
                <w:rFonts w:eastAsia="Times New Roman" w:cs="Times New Roman"/>
                <w:color w:val="000000"/>
                <w:sz w:val="22"/>
              </w:rPr>
              <w:fldChar w:fldCharType="end"/>
            </w:r>
          </w:p>
        </w:tc>
      </w:tr>
      <w:tr w:rsidR="00EF037E" w:rsidRPr="000D1988" w14:paraId="7B228257" w14:textId="77777777" w:rsidTr="00DE09CD">
        <w:tc>
          <w:tcPr>
            <w:tcW w:w="1084" w:type="dxa"/>
            <w:tcBorders>
              <w:top w:val="nil"/>
              <w:bottom w:val="nil"/>
            </w:tcBorders>
          </w:tcPr>
          <w:p w14:paraId="7F5B7FBC" w14:textId="77777777" w:rsidR="00EF037E" w:rsidRPr="000D1988" w:rsidRDefault="00EF037E" w:rsidP="00DE09CD">
            <w:pPr>
              <w:spacing w:before="50" w:after="50"/>
              <w:rPr>
                <w:rFonts w:eastAsia="Times New Roman" w:cs="Times New Roman"/>
                <w:color w:val="000000"/>
                <w:sz w:val="22"/>
              </w:rPr>
            </w:pPr>
          </w:p>
        </w:tc>
        <w:tc>
          <w:tcPr>
            <w:tcW w:w="1829" w:type="dxa"/>
          </w:tcPr>
          <w:p w14:paraId="74403DAA"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HLA-DRA 3’UTR</w:t>
            </w:r>
          </w:p>
        </w:tc>
        <w:tc>
          <w:tcPr>
            <w:tcW w:w="1414" w:type="dxa"/>
          </w:tcPr>
          <w:p w14:paraId="5F8A9206"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rs3177928</w:t>
            </w:r>
          </w:p>
        </w:tc>
        <w:tc>
          <w:tcPr>
            <w:tcW w:w="3503" w:type="dxa"/>
          </w:tcPr>
          <w:p w14:paraId="6210E657"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Non-LS</w:t>
            </w:r>
          </w:p>
        </w:tc>
        <w:tc>
          <w:tcPr>
            <w:tcW w:w="1924" w:type="dxa"/>
          </w:tcPr>
          <w:p w14:paraId="3D61829B" w14:textId="77777777" w:rsidR="00EF037E" w:rsidRPr="000D1988" w:rsidRDefault="00EF037E" w:rsidP="00DE09CD">
            <w:pPr>
              <w:spacing w:before="50" w:after="50"/>
              <w:rPr>
                <w:rFonts w:eastAsia="Times New Roman" w:cs="Times New Roman"/>
                <w:sz w:val="22"/>
              </w:rPr>
            </w:pPr>
            <w:r w:rsidRPr="000D1988">
              <w:rPr>
                <w:rFonts w:cs="Times New Roman"/>
                <w:sz w:val="22"/>
              </w:rPr>
              <w:t>European cohorts</w:t>
            </w:r>
          </w:p>
        </w:tc>
        <w:tc>
          <w:tcPr>
            <w:tcW w:w="1350" w:type="dxa"/>
          </w:tcPr>
          <w:p w14:paraId="60DC3678" w14:textId="2406C6AE"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"DOI" : "10.3389/fimmu.2017.00422", "ISSN" : "1664-3224", "PMID" : "28469621", "abstract" : "Sarcoidosis is a multiorgan inflammatory disorder with heritability estimates up to 66%. Previous studies have shown the major histocompatibility complex (MHC) region to be associated with sarcoidosis, suggesting a functional role for antigen-presenting molecules and immune mediators in the disease pathogenesis. To detect variants predisposing to sarcoidosis and to identify genetic differences between patient subgroups, we studied four genes in the MHC Class III region (LTA, TNF, AGER, BTNL2) and HLA-DRA with tag-SNPs and their relation to HLA-DRB1 alleles. We present results from a joint analysis of four study populations (Finnish, Swedish, Dutch, and Czech). Patients with sarcoidosis (n = 805) were further subdivided based on the disease activity and the presence of L\u00f6fgren's syndrome. In a joint analysis, seven SNPs were associated with non-L\u00f6fgren sarcoidosis (NL; the strongest association with rs3177928, P = 1.79E-07, OR = 1.9) and eight with L\u00f6fgren's syndrome [L\u00f6fgren syndrome (LS); the strongest association with rs3129843, P = 3.44E-12, OR = 3.4] when compared with healthy controls (n = 870). Five SNPs were associated with sarcoidosis disease course (the strongest association with rs3177928, P = 0.003, OR = 1.9). The high linkage disequilibrium (LD) between SNPs and an HLA-DRB1 challenged the result interpretation. When the SNPs and HLA-DRB1 alleles were analyzed together, independent association was observed for four SNPs in the HLA-DRA/BTNL2 region: rs3135365 (NL; P = 0.015), rs3177928 (NL; P &lt; 0.001), rs6937545 (LS; P = 0.012), and rs5007259 (disease activity; P = 0.002). These SNPs act as expression quantitative trait loci (eQTL) for HLA-DRB1 and/or HLA-DRB5. In conclusion, we found novel SNPs in BTNL2 and HLA-DRA regions associating with sarcoidosis. Our finding further establishes that polymorphisms in the HLA-DRA and BTNL2 have a role in sarcoidosis susceptibility. This multi-population study demonstrates that at least a part of these associations are HLA-DRB1 independent (e.g., not due to LD) and shared across ancestral origins. The variants that were independent of HLA-DRB1 associations acted as eQTL for HLA-DRB1 and/or -DRB5, suggesting a role in regulating gene expression.", "author" : [ { "dropping-particle" : "", "family" : "Wolin", "given" : "Annika", "non-dropping-particle" : "", "parse-names" : false, "suffix" : "" }, { "dropping-particle" : "", "family" : "Lahtela", "given" : "Elisa Laura", "non-dropping-particle" : "", "parse-names" : false, "suffix" : "" }, { "dropping-particle" : "", "family" : "Anttila", "given" : "Verneri", "non-dropping-particle" : "", "parse-names" : false, "suffix" : "" }, { "dropping-particle" : "", "family" : "Petrek", "given" : "Martin", "non-dropping-particle" : "", "parse-names" : false, "suffix" : "" }, { "dropping-particle" : "", "family" : "Grunewald", "given" : "Johan", "non-dropping-particle" : "", "parse-names" : false, "suffix" : "" }, { "dropping-particle" : "", "family" : "Moorsel", "given" : "Coline H M", "non-dropping-particle" : "van", "parse-names" : false, "suffix" : "" }, { "dropping-particle" : "", "family" : "Eklund", "given" : "Anders", "non-dropping-particle" : "", "parse-names" : false, "suffix" : "" }, { "dropping-particle" : "", "family" : "Grutters", "given" : "Jan C", "non-dropping-particle" : "", "parse-names" : false, "suffix" : "" }, { "dropping-particle" : "", "family" : "Kolek", "given" : "Vitezslav", "non-dropping-particle" : "", "parse-names" : false, "suffix" : "" }, { "dropping-particle" : "", "family" : "Mrazek", "given" : "Frantisek", "non-dropping-particle" : "", "parse-names" : false, "suffix" : "" }, { "dropping-particle" : "", "family" : "Kishore", "given" : "Amit", "non-dropping-particle" : "", "parse-names" : false, "suffix" : "" }, { "dropping-particle" : "", "family" : "Padyukov", "given" : "Leonid", "non-dropping-particle" : "", "parse-names" : false, "suffix" : "" }, { "dropping-particle" : "", "family" : "Pietinalho", "given" : "Anne", "non-dropping-particle" : "", "parse-names" : false, "suffix" : "" }, { "dropping-particle" : "", "family" : "Ronninger", "given" : "Marcus", "non-dropping-particle" : "", "parse-names" : false, "suffix" : "" }, { "dropping-particle" : "", "family" : "Sepp\u00e4nen", "given" : "Mikko", "non-dropping-particle" : "", "parse-names" : false, "suffix" : "" }, { "dropping-particle" : "", "family" : "Selroos", "given" : "Olof", "non-dropping-particle" : "", "parse-names" : false, "suffix" : "" }, { "dropping-particle" : "", "family" : "Lokki", "given" : "Marja-Liisa", "non-dropping-particle" : "", "parse-names" : false, "suffix" : "" } ], "container-title" : "Frontiers in immunology", "id" : "ITEM-1", "issued" : { "date-parts" : [ [ "2017", "4", "19" ] ] }, "page" : "422", "title" : "SNP Variants in Major Histocompatibility Complex Are Associated with Sarcoidosis Susceptibility-A Joint Analysis in Four European Populations.", "type" : "article-journal", "volume" : "8" }, "uris" : [ "http://www.mendeley.com/documents/?uuid=c6a2a152-96a8-38a3-8169-d596af28a1cd" ] } ], "mendeley" : { "formattedCitation" : "(11)", "plainTextFormattedCitation" : "(11)", "previouslyFormattedCitation" : "(9)"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(11)</w:t>
            </w:r>
            <w:r w:rsidRPr="000D1988">
              <w:rPr>
                <w:rFonts w:eastAsia="Times New Roman" w:cs="Times New Roman"/>
                <w:color w:val="000000"/>
                <w:sz w:val="22"/>
              </w:rPr>
              <w:fldChar w:fldCharType="end"/>
            </w:r>
          </w:p>
        </w:tc>
      </w:tr>
      <w:tr w:rsidR="00EF037E" w:rsidRPr="000D1988" w14:paraId="3F65BCB0" w14:textId="77777777" w:rsidTr="00DE09CD">
        <w:tc>
          <w:tcPr>
            <w:tcW w:w="1084" w:type="dxa"/>
            <w:tcBorders>
              <w:top w:val="nil"/>
              <w:bottom w:val="single" w:sz="4" w:space="0" w:color="auto"/>
            </w:tcBorders>
          </w:tcPr>
          <w:p w14:paraId="75EF4142" w14:textId="77777777" w:rsidR="00EF037E" w:rsidRPr="000D1988" w:rsidRDefault="00EF037E" w:rsidP="00DE09CD">
            <w:pPr>
              <w:spacing w:before="50" w:after="50"/>
              <w:rPr>
                <w:rFonts w:eastAsia="Times New Roman" w:cs="Times New Roman"/>
                <w:color w:val="000000"/>
                <w:sz w:val="22"/>
              </w:rPr>
            </w:pPr>
          </w:p>
        </w:tc>
        <w:tc>
          <w:tcPr>
            <w:tcW w:w="1829" w:type="dxa"/>
            <w:tcBorders>
              <w:bottom w:val="single" w:sz="4" w:space="0" w:color="auto"/>
            </w:tcBorders>
          </w:tcPr>
          <w:p w14:paraId="76A77257"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(HLA-DRA, HLA-DRB5)</w:t>
            </w:r>
          </w:p>
        </w:tc>
        <w:tc>
          <w:tcPr>
            <w:tcW w:w="1414" w:type="dxa"/>
          </w:tcPr>
          <w:p w14:paraId="10DA6D11"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rs1964995</w:t>
            </w:r>
          </w:p>
        </w:tc>
        <w:tc>
          <w:tcPr>
            <w:tcW w:w="3503" w:type="dxa"/>
          </w:tcPr>
          <w:p w14:paraId="2696E996"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Non-LS</w:t>
            </w:r>
          </w:p>
        </w:tc>
        <w:tc>
          <w:tcPr>
            <w:tcW w:w="1924" w:type="dxa"/>
          </w:tcPr>
          <w:p w14:paraId="068BF31E" w14:textId="77777777" w:rsidR="00EF037E" w:rsidRPr="000D1988" w:rsidRDefault="00EF037E" w:rsidP="00DE09CD">
            <w:pPr>
              <w:spacing w:before="50" w:after="50"/>
              <w:rPr>
                <w:rFonts w:eastAsia="Times New Roman" w:cs="Times New Roman"/>
                <w:sz w:val="22"/>
              </w:rPr>
            </w:pPr>
            <w:r w:rsidRPr="000D1988">
              <w:rPr>
                <w:rFonts w:cs="Times New Roman"/>
                <w:sz w:val="22"/>
              </w:rPr>
              <w:t>European cohorts</w:t>
            </w:r>
          </w:p>
        </w:tc>
        <w:tc>
          <w:tcPr>
            <w:tcW w:w="1350" w:type="dxa"/>
          </w:tcPr>
          <w:p w14:paraId="41FA6E49" w14:textId="37809A6C"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"ISSN" : "1535-4970", "PMID" : "26651848", "abstract" : "RATIONALE Sarcoidosis is a multisystem disease of unknown cause. L\u00f6fgren's syndrome (LS) is a characteristic subgroup of sarcoidosis that is associated with a good prognosis in sarcoidosis. However, little is known about its genetic architecture or its broader phenotype, non-LS sarcoidosis. OBJECTIVES To address the genetic architecture of sarcoidosis phenotypes, LS and non-LS. METHODS An association study in a white Swedish cohort of 384 LS, 664 non-LS, and 2,086 control subjects, totaling 3,134 subjects using a fine-mapping genotyping platform was conducted. Replication was performed in four independent cohorts, three of white European descent (Germany, n = 4,975; the Netherlands, n = 613; and Czech Republic, n = 521), and one of black African descent (United States, n = 1,657), totaling 7,766 subjects. MEASUREMENTS AND MAIN RESULTS A total of 727 LS-associated variants expanding throughout the extended major histocompatibility complex (MHC) region and 68 non-LS-associated variants located in the MHC class II region were identified and confirmed. A shared overlap between LS and non-LS defined by 17 variants located in the MHC class II region was found. Outside the MHC region, two LS-associated loci, in ADCY3 and between CSMD1 and MCPH1, were observed and replicated. CONCLUSIONS Comprehensive and integrative analyses of genetics, transcription, and pathway modeling on LS and non-LS indicates that these sarcoidosis phenotypes have different genetic susceptibility, genomic distributions, and cellular activities, suggesting distinct molecular mechanisms in pathways related to immune response with a common region.", "author" : [ { "dropping-particle" : "V", "family" : "Rivera", "given" : "Natalia", "non-dropping-particle" : "", "parse-names" : false, "suffix" : "" }, { "dropping-particle" : "", "family" : "Ronninger", "given" : "Marcus", "non-dropping-particle" : "", "parse-names" : false, "suffix" : "" }, { "dropping-particle" : "", "family" : "Shchetynsky", "given" : "Klementy", "non-dropping-particle" : "", "parse-names" : false, "suffix" : "" }, { "dropping-particle" : "", "family" : "Franke", "given" : "Andre", "non-dropping-particle" : "", "parse-names" : false, "suffix" : "" }, { "dropping-particle" : "", "family" : "N\u00f6then", "given" : "Markus M", "non-dropping-particle" : "", "parse-names" : false, "suffix" : "" }, { "dropping-particle" : "", "family" : "M\u00fcller-Quernheim", "given" : "Joachim", "non-dropping-particle" : "", "parse-names" : false, "suffix" : "" }, { "dropping-particle" : "", "family" : "Schreiber", "given" : "Stefan", "non-dropping-particle" : "", "parse-names" : false, "suffix" : "" }, { "dropping-particle" : "", "family" : "Adrianto", "given" : "Indra", "non-dropping-particle" : "", "parse-names" : false, "suffix" : "" }, { "dropping-particle" : "", "family" : "Karakaya", "given" : "Bekir", "non-dropping-particle" : "", "parse-names" : false, "suffix" : "" }, { "dropping-particle" : "", "family" : "Moorsel", "given" : "Coline H M", "non-dropping-particle" : "van", "parse-names" : false, "suffix" : "" }, { "dropping-particle" : "", "family" : "Navratilova", "given" : "Zdenka", "non-dropping-particle" : "", "parse-names" : false, "suffix" : "" }, { "dropping-particle" : "", "family" : "Kolek", "given" : "Vitezslav", "non-dropping-particle" : "", "parse-names" : false, "suffix" : "" }, { "dropping-particle" : "", "family" : "Rybicki", "given" : "Benjamin A", "non-dropping-particle" : "", "parse-names" : false, "suffix" : "" }, { "dropping-particle" : "", "family" : "Iannuzzi", "given" : "Michael C", "non-dropping-particle" : "", "parse-names" : false, "suffix" : "" }, { "dropping-particle" : "", "family" : "Petrek", "given" : "Martin", "non-dropping-particle" : "", "parse-names" : false, "suffix" : "" }, { "dropping-particle" : "", "family" : "Grutters", "given" : "Jan C", "non-dropping-particle" : "", "parse-names" : false, "suffix" : "" }, { "dropping-particle" : "", "family" : "Montgomery", "given" : "Courtney", "non-dropping-particle" : "", "parse-names" : false, "suffix" : "" }, { "dropping-particle" : "", "family" : "Fischer", "given" : "Annegret", "non-dropping-particle" : "", "parse-names" : false, "suffix" : "" }, { "dropping-particle" : "", "family" : "Eklund", "given" : "Anders", "non-dropping-particle" : "", "parse-names" : false, "suffix" : "" }, { "dropping-particle" : "", "family" : "Padyukov", "given" : "Leonid", "non-dropping-particle" : "", "parse-names" : false, "suffix" : "" }, { "dropping-particle" : "", "family" : "Grunewald", "given" : "Johan", "non-dropping-particle" : "", "parse-names" : false, "suffix" : "" } ], "container-title" : "American journal of respiratory and critical care medicine", "id" : "ITEM-1", "issue" : "9", "issued" : { "date-parts" : [ [ "2016" ] ] }, "page" : "1008-1022", "title" : "High-Density Genetic Mapping Identifies New Susceptibility Variants in Sarcoidosis Phenotypes and Shows Genomic-driven Phenotypic Differences.", "type" : "article-journal", "volume" : "193" }, "uris" : [ "http://www.mendeley.com/documents/?uuid=3444866a-8eaf-3560-99a8-d5390537f8fd" ] } ], "mendeley" : { "formattedCitation" : "(9)", "plainTextFormattedCitation" : "(9)", "previouslyFormattedCitation" : "(7)"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(9)</w:t>
            </w:r>
            <w:r w:rsidRPr="000D1988">
              <w:rPr>
                <w:rFonts w:eastAsia="Times New Roman" w:cs="Times New Roman"/>
                <w:color w:val="000000"/>
                <w:sz w:val="22"/>
              </w:rPr>
              <w:fldChar w:fldCharType="end"/>
            </w:r>
          </w:p>
        </w:tc>
      </w:tr>
      <w:tr w:rsidR="00EF037E" w:rsidRPr="000D1988" w14:paraId="02F18FED" w14:textId="77777777" w:rsidTr="00DE09CD">
        <w:tc>
          <w:tcPr>
            <w:tcW w:w="1084" w:type="dxa"/>
            <w:tcBorders>
              <w:bottom w:val="nil"/>
            </w:tcBorders>
          </w:tcPr>
          <w:p w14:paraId="3D04816E"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Class II</w:t>
            </w:r>
          </w:p>
        </w:tc>
        <w:tc>
          <w:tcPr>
            <w:tcW w:w="1829" w:type="dxa"/>
            <w:tcBorders>
              <w:bottom w:val="nil"/>
            </w:tcBorders>
          </w:tcPr>
          <w:p w14:paraId="70E63C77"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 xml:space="preserve">HLA-DRB1 </w:t>
            </w:r>
          </w:p>
        </w:tc>
        <w:tc>
          <w:tcPr>
            <w:tcW w:w="1414" w:type="dxa"/>
          </w:tcPr>
          <w:p w14:paraId="4BAA8376"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*01, *04</w:t>
            </w:r>
          </w:p>
        </w:tc>
        <w:tc>
          <w:tcPr>
            <w:tcW w:w="3503" w:type="dxa"/>
          </w:tcPr>
          <w:p w14:paraId="678224CD" w14:textId="77777777" w:rsidR="00EF037E" w:rsidRPr="000D1988" w:rsidRDefault="00EF037E" w:rsidP="00DE09CD">
            <w:pPr>
              <w:spacing w:before="50" w:after="50"/>
              <w:rPr>
                <w:rFonts w:eastAsia="Times New Roman" w:cs="Times New Roman"/>
                <w:color w:val="000000"/>
                <w:sz w:val="22"/>
              </w:rPr>
            </w:pPr>
            <w:r w:rsidRPr="000D1988">
              <w:rPr>
                <w:rFonts w:cs="Times New Roman"/>
                <w:sz w:val="22"/>
              </w:rPr>
              <w:t>Lower risk</w:t>
            </w:r>
          </w:p>
        </w:tc>
        <w:tc>
          <w:tcPr>
            <w:tcW w:w="1924" w:type="dxa"/>
          </w:tcPr>
          <w:p w14:paraId="06CAABA3" w14:textId="77777777" w:rsidR="00EF037E" w:rsidRPr="000D1988" w:rsidRDefault="00EF037E" w:rsidP="00DE09CD">
            <w:pPr>
              <w:spacing w:before="50" w:after="50"/>
              <w:rPr>
                <w:rFonts w:eastAsia="Times New Roman" w:cs="Times New Roman"/>
                <w:sz w:val="22"/>
              </w:rPr>
            </w:pPr>
            <w:r w:rsidRPr="000D1988">
              <w:rPr>
                <w:rFonts w:eastAsia="Times New Roman" w:cs="Times New Roman"/>
                <w:sz w:val="22"/>
              </w:rPr>
              <w:t>Multiple</w:t>
            </w:r>
          </w:p>
        </w:tc>
        <w:tc>
          <w:tcPr>
            <w:tcW w:w="1350" w:type="dxa"/>
          </w:tcPr>
          <w:p w14:paraId="2827338E" w14:textId="5327045E"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"DOI" : "10.1016/j.ccm.2015.08.002", "ISBN" : "9780323402408", "ISSN" : "1557-8216", "PMID" : "26593134", "abstract" : "Sarcoidosis is a disease with highly variable presentation and progression; although it is hypothesized that disease phenotype is related to genetic variation, how much of this variability is driven by genetic factors is not known. The HLA region is the most strongly and consistently associated genetic risk factor for sarcoidosis, supporting the notion that sarcoidosis is an exposure-mediated immunologic disease. Most of the genetic etiology of sarcoidosis remains unknown in terms of the specific variants that increase risk in various populations, their biologic functions, and how they interact with environmental exposures.", "author" : [ { "dropping-particle" : "", "family" : "Fingerlin", "given" : "Tasha E.", "non-dropping-particle" : "", "parse-names" : false, "suffix" : "" }, { "dropping-particle" : "", "family" : "Hamzeh", "given" : "Nabeel", "non-dropping-particle" : "", "parse-names" : false, "suffix" : "" }, { "dropping-particle" : "", "family" : "Maier", "given" : "Lisa A.", "non-dropping-particle" : "", "parse-names" : false, "suffix" : "" } ], "container-title" : "Clinics in chest medicine", "id" : "ITEM-1", "issue" : "4", "issued" : { "date-parts" : [ [ "2015", "12" ] ] }, "page" : "569-84", "title" : "Genetics of Sarcoidosis.", "type" : "article-journal", "volume" : "36" }, "uris" : [ "http://www.mendeley.com/documents/?uuid=0756ce18-1de6-32f0-b676-fd7177b527cc" ] }, { "id" : "ITEM-2", "itemData" : { "DOI" : "10.5772/55116", "author" : [ { "dropping-particle" : "", "family" : "Sah", "given" : "Birendra P.", "non-dropping-particle" : "", "parse-names" : false, "suffix" : "" }, { "dropping-particle" : "", "family" : "Iannuzzi", "given" : "Michael C.", "non-dropping-particle" : "", "parse-names" : false, "suffix" : "" } ], "container-title" : "Sarcoidosis", "id" : "ITEM-2", "issued" : { "date-parts" : [ [ "2013", "3", "13" ] ] }, "page" : "53-77", "publisher" : "InTech", "title" : "Genetic Factors Involved in Sarcoidosis", "type" : "chapter" }, "uris" : [ "http://www.mendeley.com/documents/?uuid=cd3949a0-0613-38d3-a194-e620b733a584" ] }, { "id" : "ITEM-3", "itemData" : { "DOI" : "10.1093/hmg/ddq325", "ISBN" : "2073518354", "ISSN" : "09646906", "PMID" : "20685690", "abstract" : "The HLA class II (DRB1 and DQB1) associations with sarcoidosis have been studied by several groups but often without consistent results. In this paper, we consider the hypothesis that observed inconsistencies relate to distinct, genetically encoded disease phenotypes which differ in prevalence between centres. We therefore typed HLA-DRB1 and DQB1 in 340 UK, 139 Dutch and 163 Japanese sarcoidosis patients and, respectively, 354, 218 and 168 healthy controls from these populations. We applied consistent phenotyping and genotyping and investigated associations between HLA class II alleles and distinct disease phenotypes within and between ethnic groups. DRB1*01 and DQB1*0501 are protective against all manifestations of sarcoidosis. Lung-predominant sarcoidosis is associated with DRB1*12 and *14. L\u00f6fgren's syndrome is a common sarcoidosis phenotype in the Dutch and is strongly associated with the DRB1*0301 allele. This phenotype is not seen among the Japanese in whom DRB1*0301 is absent. The same allele is protective for UK uveitis. Sarcoid uveitis is common in Japan. The DRB1*04-DQB1*0301 haplotype is a risk factor for this disease manifestation in Japanese and UK subjects but protective for sarcoidosis overall. We show that distinct sarcoidosis phenotypes have similar genetic associations across ethnic groups. The disease case mix differs between centres and may be explained by different ethnic allelic frequencies.", "author" : [ { "dropping-particle" : "", "family" : "Sato", "given" : "Hiroe", "non-dropping-particle" : "", "parse-names" : false, "suffix" : "" }, { "dropping-particle" : "", "family" : "Woodhead", "given" : "Felix A.", "non-dropping-particle" : "", "parse-names" : false, "suffix" : "" }, { "dropping-particle" : "", "family" : "Ahmad", "given" : "Tariq", "non-dropping-particle" : "", "parse-names" : false, "suffix" : "" }, { "dropping-particle" : "", "family" : "Grutters", "given" : "Jan C.", "non-dropping-particle" : "", "parse-names" : false, "suffix" : "" }, { "dropping-particle" : "", "family" : "Spagnolo", "given" : "Paolo", "non-dropping-particle" : "", "parse-names" : false, "suffix" : "" }, { "dropping-particle" : "", "family" : "Bosch", "given" : "Jules M.M.", "non-dropping-particle" : "van den", "parse-names" : false, "suffix" : "" }, { "dropping-particle" : "", "family" : "Maier", "given" : "Lisa A.", "non-dropping-particle" : "", "parse-names" : false, "suffix" : "" }, { "dropping-particle" : "", "family" : "Newman", "given" : "Lee S.", "non-dropping-particle" : "", "parse-names" : false, "suffix" : "" }, { "dropping-particle" : "", "family" : "Nagai", "given" : "Sonoko", "non-dropping-particle" : "", "parse-names" : false, "suffix" : "" }, { "dropping-particle" : "", "family" : "Izumi", "given" : "Takateru", "non-dropping-particle" : "", "parse-names" : false, "suffix" : "" }, { "dropping-particle" : "", "family" : "Wells", "given" : "Athol U.", "non-dropping-particle" : "", "parse-names" : false, "suffix" : "" }, { "dropping-particle" : "", "family" : "Bois", "given" : "Roland M.", "non-dropping-particle" : "du", "parse-names" : false, "suffix" : "" }, { "dropping-particle" : "", "family" : "Welsh", "given" : "Kenneth I.", "non-dropping-particle" : "", "parse-names" : false, "suffix" : "" } ], "container-title" : "Human Molecular Genetics", "id" : "ITEM-3", "issue" : "20", "issued" : { "date-parts" : [ [ "2010" ] ] }, "page" : "4100-4111", "title" : "Sarcoidosis HLA class II genotyping distinguishes differences of clinical phenotype across ethnic groups", "type" : "article-journal", "volume" : "19" }, "uris" : [ "http://www.mendeley.com/documents/?uuid=9239fee3-d02e-4a77-b7ca-e8007bebabca" ] } ], "mendeley" : { "formattedCitation" : "(5,7,10)", "plainTextFormattedCitation" : "(5,7,10)", "previouslyFormattedCitation" : "(3,5,8)"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(5,7,10)</w:t>
            </w:r>
            <w:r w:rsidRPr="000D1988">
              <w:rPr>
                <w:rFonts w:eastAsia="Times New Roman" w:cs="Times New Roman"/>
                <w:color w:val="000000"/>
                <w:sz w:val="22"/>
              </w:rPr>
              <w:fldChar w:fldCharType="end"/>
            </w:r>
          </w:p>
        </w:tc>
      </w:tr>
      <w:tr w:rsidR="00EF037E" w:rsidRPr="000D1988" w14:paraId="1CA0ED43" w14:textId="77777777" w:rsidTr="00DE09CD">
        <w:tc>
          <w:tcPr>
            <w:tcW w:w="1084" w:type="dxa"/>
            <w:tcBorders>
              <w:top w:val="nil"/>
              <w:bottom w:val="nil"/>
            </w:tcBorders>
          </w:tcPr>
          <w:p w14:paraId="082B3990" w14:textId="77777777" w:rsidR="00EF037E" w:rsidRPr="000D1988" w:rsidRDefault="00EF037E" w:rsidP="00DE09CD">
            <w:pPr>
              <w:spacing w:before="50" w:after="50"/>
              <w:rPr>
                <w:rFonts w:eastAsia="Times New Roman" w:cs="Times New Roman"/>
                <w:color w:val="000000"/>
                <w:sz w:val="22"/>
              </w:rPr>
            </w:pPr>
          </w:p>
        </w:tc>
        <w:tc>
          <w:tcPr>
            <w:tcW w:w="1829" w:type="dxa"/>
            <w:tcBorders>
              <w:top w:val="nil"/>
              <w:bottom w:val="nil"/>
            </w:tcBorders>
          </w:tcPr>
          <w:p w14:paraId="7D4C0135" w14:textId="77777777" w:rsidR="00EF037E" w:rsidRPr="000D1988" w:rsidRDefault="00EF037E" w:rsidP="00DE09CD">
            <w:pPr>
              <w:spacing w:before="50" w:after="50"/>
              <w:rPr>
                <w:rFonts w:eastAsia="Times New Roman" w:cs="Times New Roman"/>
                <w:color w:val="000000"/>
                <w:sz w:val="22"/>
              </w:rPr>
            </w:pPr>
          </w:p>
        </w:tc>
        <w:tc>
          <w:tcPr>
            <w:tcW w:w="1414" w:type="dxa"/>
          </w:tcPr>
          <w:p w14:paraId="67D7526A"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*03:01</w:t>
            </w:r>
          </w:p>
        </w:tc>
        <w:tc>
          <w:tcPr>
            <w:tcW w:w="3503" w:type="dxa"/>
          </w:tcPr>
          <w:p w14:paraId="4A81AD76"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LS; acute onset; good prognosis</w:t>
            </w:r>
          </w:p>
        </w:tc>
        <w:tc>
          <w:tcPr>
            <w:tcW w:w="1924" w:type="dxa"/>
          </w:tcPr>
          <w:p w14:paraId="6BE8527E" w14:textId="77777777" w:rsidR="00EF037E" w:rsidRPr="000D1988" w:rsidRDefault="00EF037E" w:rsidP="00DE09CD">
            <w:pPr>
              <w:spacing w:before="50" w:after="50"/>
              <w:rPr>
                <w:rFonts w:eastAsia="Times New Roman" w:cs="Times New Roman"/>
                <w:sz w:val="22"/>
              </w:rPr>
            </w:pPr>
            <w:r w:rsidRPr="000D1988">
              <w:rPr>
                <w:rFonts w:eastAsia="Times New Roman" w:cs="Times New Roman"/>
                <w:sz w:val="22"/>
              </w:rPr>
              <w:t>Multiple</w:t>
            </w:r>
          </w:p>
        </w:tc>
        <w:tc>
          <w:tcPr>
            <w:tcW w:w="1350" w:type="dxa"/>
          </w:tcPr>
          <w:p w14:paraId="4AB1A8AE" w14:textId="0CB81FE8"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"DOI" : "10.1016/j.ccm.2015.08.002", "ISBN" : "9780323402408", "ISSN" : "1557-8216", "PMID" : "26593134", "abstract" : "Sarcoidosis is a disease with highly variable presentation and progression; although it is hypothesized that disease phenotype is related to genetic variation, how much of this variability is driven by genetic factors is not known. The HLA region is the most strongly and consistently associated genetic risk factor for sarcoidosis, supporting the notion that sarcoidosis is an exposure-mediated immunologic disease. Most of the genetic etiology of sarcoidosis remains unknown in terms of the specific variants that increase risk in various populations, their biologic functions, and how they interact with environmental exposures.", "author" : [ { "dropping-particle" : "", "family" : "Fingerlin", "given" : "Tasha E.", "non-dropping-particle" : "", "parse-names" : false, "suffix" : "" }, { "dropping-particle" : "", "family" : "Hamzeh", "given" : "Nabeel", "non-dropping-particle" : "", "parse-names" : false, "suffix" : "" }, { "dropping-particle" : "", "family" : "Maier", "given" : "Lisa A.", "non-dropping-particle" : "", "parse-names" : false, "suffix" : "" } ], "container-title" : "Clinics in chest medicine", "id" : "ITEM-1", "issue" : "4", "issued" : { "date-parts" : [ [ "2015", "12" ] ] }, "page" : "569-84", "title" : "Genetics of Sarcoidosis.", "type" : "article-journal", "volume" : "36" }, "uris" : [ "http://www.mendeley.com/documents/?uuid=0756ce18-1de6-32f0-b676-fd7177b527cc" ] }, { "id" : "ITEM-2", "itemData" : { "DOI" : "10.5772/55116", "author" : [ { "dropping-particle" : "", "family" : "Sah", "given" : "Birendra P.", "non-dropping-particle" : "", "parse-names" : false, "suffix" : "" }, { "dropping-particle" : "", "family" : "Iannuzzi", "given" : "Michael C.", "non-dropping-particle" : "", "parse-names" : false, "suffix" : "" } ], "container-title" : "Sarcoidosis", "id" : "ITEM-2", "issued" : { "date-parts" : [ [ "2013", "3", "13" ] ] }, "page" : "53-77", "publisher" : "InTech", "title" : "Genetic Factors Involved in Sarcoidosis", "type" : "chapter" }, "uris" : [ "http://www.mendeley.com/documents/?uuid=cd3949a0-0613-38d3-a194-e620b733a584" ] }, { "id" : "ITEM-3", "itemData" : { "DOI" : "10.1093/hmg/ddq325", "ISBN" : "2073518354", "ISSN" : "09646906", "PMID" : "20685690", "abstract" : "The HLA class II (DRB1 and DQB1) associations with sarcoidosis have been studied by several groups but often without consistent results. In this paper, we consider the hypothesis that observed inconsistencies relate to distinct, genetically encoded disease phenotypes which differ in prevalence between centres. We therefore typed HLA-DRB1 and DQB1 in 340 UK, 139 Dutch and 163 Japanese sarcoidosis patients and, respectively, 354, 218 and 168 healthy controls from these populations. We applied consistent phenotyping and genotyping and investigated associations between HLA class II alleles and distinct disease phenotypes within and between ethnic groups. DRB1*01 and DQB1*0501 are protective against all manifestations of sarcoidosis. Lung-predominant sarcoidosis is associated with DRB1*12 and *14. L\u00f6fgren's syndrome is a common sarcoidosis phenotype in the Dutch and is strongly associated with the DRB1*0301 allele. This phenotype is not seen among the Japanese in whom DRB1*0301 is absent. The same allele is protective for UK uveitis. Sarcoid uveitis is common in Japan. The DRB1*04-DQB1*0301 haplotype is a risk factor for this disease manifestation in Japanese and UK subjects but protective for sarcoidosis overall. We show that distinct sarcoidosis phenotypes have similar genetic associations across ethnic groups. The disease case mix differs between centres and may be explained by different ethnic allelic frequencies.", "author" : [ { "dropping-particle" : "", "family" : "Sato", "given" : "Hiroe", "non-dropping-particle" : "", "parse-names" : false, "suffix" : "" }, { "dropping-particle" : "", "family" : "Woodhead", "given" : "Felix A.", "non-dropping-particle" : "", "parse-names" : false, "suffix" : "" }, { "dropping-particle" : "", "family" : "Ahmad", "given" : "Tariq", "non-dropping-particle" : "", "parse-names" : false, "suffix" : "" }, { "dropping-particle" : "", "family" : "Grutters", "given" : "Jan C.", "non-dropping-particle" : "", "parse-names" : false, "suffix" : "" }, { "dropping-particle" : "", "family" : "Spagnolo", "given" : "Paolo", "non-dropping-particle" : "", "parse-names" : false, "suffix" : "" }, { "dropping-particle" : "", "family" : "Bosch", "given" : "Jules M.M.", "non-dropping-particle" : "van den", "parse-names" : false, "suffix" : "" }, { "dropping-particle" : "", "family" : "Maier", "given" : "Lisa A.", "non-dropping-particle" : "", "parse-names" : false, "suffix" : "" }, { "dropping-particle" : "", "family" : "Newman", "given" : "Lee S.", "non-dropping-particle" : "", "parse-names" : false, "suffix" : "" }, { "dropping-particle" : "", "family" : "Nagai", "given" : "Sonoko", "non-dropping-particle" : "", "parse-names" : false, "suffix" : "" }, { "dropping-particle" : "", "family" : "Izumi", "given" : "Takateru", "non-dropping-particle" : "", "parse-names" : false, "suffix" : "" }, { "dropping-particle" : "", "family" : "Wells", "given" : "Athol U.", "non-dropping-particle" : "", "parse-names" : false, "suffix" : "" }, { "dropping-particle" : "", "family" : "Bois", "given" : "Roland M.", "non-dropping-particle" : "du", "parse-names" : false, "suffix" : "" }, { "dropping-particle" : "", "family" : "Welsh", "given" : "Kenneth I.", "non-dropping-particle" : "", "parse-names" : false, "suffix" : "" } ], "container-title" : "Human Molecular Genetics", "id" : "ITEM-3", "issue" : "20", "issued" : { "date-parts" : [ [ "2010" ] ] }, "page" : "4100-4111", "title" : "Sarcoidosis HLA class II genotyping distinguishes differences of clinical phenotype across ethnic groups", "type" : "article-journal", "volume" : "19" }, "uris" : [ "http://www.mendeley.com/documents/?uuid=9239fee3-d02e-4a77-b7ca-e8007bebabca" ] }, { "id" : "ITEM-4", "itemData" : { "DOI" : "10.1183/09031936.00035213", "ISSN" : "1399-3003", "PMID" : "23904553", "abstract" : "To the Editor: \n\nSarcoidosis is a multiple organ immune-mediated disease of unknown aetiology. Identified genetic risk factors within the major histocompatibility complex (MHC), such as butyrophilin-like ( BTNL)2 , human leukocyte antigen ( HLA)-DRB1*03 and HLA-DRB1*15 , and protective factors, such as HLA-DRB1*01 , are found in many populations [1, 2]. The vast majority of sarcoidosis patients have a favourable prognosis, but approximately 20% develop a chronic, disabling disease [3].\n\nChronic beryllium disease (CBD) and chronic sarcoidosis share similarities as granulomatous diseases and they are pathologically indistinguishable from each other. CBD has been associated with HLA-DPB1*02:01 , especially with a glutamic acid residue at position 69 (Glu69) [4]. A functional splice-site polymorphism rs2076530 within the BTNL2 gene has been suggested to predispose to sarcoidosis [5]. However, previous studies have shown conflicting results as to whether HLA-DPB1 also predisposes to sarcoidosis, and whether the BTNL2 association is a result of linkage disequilibrium with HLA-DRB1 [6, 7].\n\nThe main objective of this study was to evaluate the HLA-DPB1 polymorphisms and the BTNL2 splice-site variant in Finnish patients suffering from sarcoidosis followed-up for 5\u201315 years and clinically categorised into subgroups based on disease prognosis. In addition, we constructed haplotypes containing MHC class II genes ( HLA-DRB1 and - DPB1 ) and rs2076530, and studied the influence of MHC markers and their combinations on disease susceptibility.\n\nWe examined a total of 188 patients with verified pulmonary sarcoidosis. The patients were divided into those with a disease resolved within 2 years (n = 90) and those with persisting activity at \u2026", "author" : [ { "dropping-particle" : "", "family" : "Wennerstr\u00f6m", "given" : "Annika", "non-dropping-particle" : "", "parse-names" : false, "suffix" : "" }, { "dropping-particle" : "", "family" : "Pietinalho", "given" : "Anne", "non-dropping-particle" : "", "parse-names" : false, "suffix" : "" }, { "dropping-particle" : "", "family" : "Lasota", "given" : "Jagoda", "non-dropping-particle" : "", "parse-names" : false, "suffix" : "" }, { "dropping-particle" : "", "family" : "Salli", "given" : "Krista", "non-dropping-particle" : "", "parse-names" : false, "suffix" : "" }, { "dropping-particle" : "", "family" : "Surakka", "given" : "Ida", "non-dropping-particle" : "", "parse-names" : false, "suffix" : "" }, { "dropping-particle" : "", "family" : "Sepp\u00e4nen", "given" : "Mikko", "non-dropping-particle" : "", "parse-names" : false, "suffix" : "" }, { "dropping-particle" : "", "family" : "Selroos", "given" : "Olof", "non-dropping-particle" : "", "parse-names" : false, "suffix" : "" }, { "dropping-particle" : "", "family" : "Lokki", "given" : "Marja-Liisa", "non-dropping-particle" : "", "parse-names" : false, "suffix" : "" } ], "container-title" : "The European respiratory journal", "id" : "ITEM-4", "issue" : "2", "issued" : { "date-parts" : [ [ "2013" ] ] }, "page" : "550-3", "title" : "Major histocompatibility complex class II and BTNL2 associations in sarcoidosis.", "type" : "article-journal", "volume" : "42" }, "uris" : [ "http://www.mendeley.com/documents/?uuid=c2ed8c06-e294-4b51-a9ec-ed2e175cc8bf" ] } ], "mendeley" : { "formattedCitation" : "(5,7,8,10)", "plainTextFormattedCitation" : "(5,7,8,10)", "previouslyFormattedCitation" : "(3,5,6,8)"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(5,7,8,10)</w:t>
            </w:r>
            <w:r w:rsidRPr="000D1988">
              <w:rPr>
                <w:rFonts w:eastAsia="Times New Roman" w:cs="Times New Roman"/>
                <w:color w:val="000000"/>
                <w:sz w:val="22"/>
              </w:rPr>
              <w:fldChar w:fldCharType="end"/>
            </w:r>
          </w:p>
        </w:tc>
      </w:tr>
      <w:tr w:rsidR="00EF037E" w:rsidRPr="000D1988" w14:paraId="7BEACA35" w14:textId="77777777" w:rsidTr="00DE09CD">
        <w:tc>
          <w:tcPr>
            <w:tcW w:w="1084" w:type="dxa"/>
            <w:tcBorders>
              <w:top w:val="nil"/>
              <w:bottom w:val="nil"/>
            </w:tcBorders>
          </w:tcPr>
          <w:p w14:paraId="64BAD2D8" w14:textId="77777777" w:rsidR="00EF037E" w:rsidRPr="000D1988" w:rsidRDefault="00EF037E" w:rsidP="00DE09CD">
            <w:pPr>
              <w:spacing w:before="50" w:after="50"/>
              <w:rPr>
                <w:rFonts w:eastAsia="Times New Roman" w:cs="Times New Roman"/>
                <w:color w:val="000000"/>
                <w:sz w:val="22"/>
              </w:rPr>
            </w:pPr>
          </w:p>
        </w:tc>
        <w:tc>
          <w:tcPr>
            <w:tcW w:w="1829" w:type="dxa"/>
            <w:tcBorders>
              <w:top w:val="nil"/>
              <w:bottom w:val="nil"/>
            </w:tcBorders>
          </w:tcPr>
          <w:p w14:paraId="6E378873" w14:textId="77777777" w:rsidR="00EF037E" w:rsidRPr="000D1988" w:rsidRDefault="00EF037E" w:rsidP="00DE09CD">
            <w:pPr>
              <w:spacing w:before="50" w:after="50"/>
              <w:rPr>
                <w:rFonts w:eastAsia="Times New Roman" w:cs="Times New Roman"/>
                <w:color w:val="000000"/>
                <w:sz w:val="22"/>
              </w:rPr>
            </w:pPr>
          </w:p>
        </w:tc>
        <w:tc>
          <w:tcPr>
            <w:tcW w:w="1414" w:type="dxa"/>
          </w:tcPr>
          <w:p w14:paraId="637A97C4"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*11:01</w:t>
            </w:r>
          </w:p>
        </w:tc>
        <w:tc>
          <w:tcPr>
            <w:tcW w:w="3503" w:type="dxa"/>
          </w:tcPr>
          <w:p w14:paraId="711D1AEF"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Susceptible</w:t>
            </w:r>
          </w:p>
        </w:tc>
        <w:tc>
          <w:tcPr>
            <w:tcW w:w="1924" w:type="dxa"/>
          </w:tcPr>
          <w:p w14:paraId="049F2FC6" w14:textId="77777777" w:rsidR="00EF037E" w:rsidRPr="000D1988" w:rsidRDefault="00EF037E" w:rsidP="00DE09CD">
            <w:pPr>
              <w:spacing w:before="50" w:after="50"/>
              <w:rPr>
                <w:rFonts w:eastAsia="Times New Roman" w:cs="Times New Roman"/>
                <w:sz w:val="22"/>
              </w:rPr>
            </w:pPr>
            <w:r w:rsidRPr="000D1988">
              <w:rPr>
                <w:rFonts w:eastAsia="Times New Roman" w:cs="Times New Roman"/>
                <w:sz w:val="22"/>
              </w:rPr>
              <w:t>AA and EA</w:t>
            </w:r>
          </w:p>
        </w:tc>
        <w:tc>
          <w:tcPr>
            <w:tcW w:w="1350" w:type="dxa"/>
          </w:tcPr>
          <w:p w14:paraId="69F87699" w14:textId="3AB6B7F6"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"DOI" : "10.5772/55116", "author" : [ { "dropping-particle" : "", "family" : "Sah", "given" : "Birendra P.", "non-dropping-particle" : "", "parse-names" : false, "suffix" : "" }, { "dropping-particle" : "", "family" : "Iannuzzi", "given" : "Michael C.", "non-dropping-particle" : "", "parse-names" : false, "suffix" : "" } ], "container-title" : "Sarcoidosis", "id" : "ITEM-1", "issued" : { "date-parts" : [ [ "2013", "3", "13" ] ] }, "page" : "53-77", "publisher" : "InTech", "title" : "Genetic Factors Involved in Sarcoidosis", "type" : "chapter" }, "uris" : [ "http://www.mendeley.com/documents/?uuid=cd3949a0-0613-38d3-a194-e620b733a584" ] } ], "mendeley" : { "formattedCitation" : "(5)", "plainTextFormattedCitation" : "(5)", "previouslyFormattedCitation" : "(3)"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(5)</w:t>
            </w:r>
            <w:r w:rsidRPr="000D1988">
              <w:rPr>
                <w:rFonts w:eastAsia="Times New Roman" w:cs="Times New Roman"/>
                <w:color w:val="000000"/>
                <w:sz w:val="22"/>
              </w:rPr>
              <w:fldChar w:fldCharType="end"/>
            </w:r>
          </w:p>
        </w:tc>
      </w:tr>
      <w:tr w:rsidR="00EF037E" w:rsidRPr="000D1988" w14:paraId="3553D6C9" w14:textId="77777777" w:rsidTr="00DE09CD">
        <w:tc>
          <w:tcPr>
            <w:tcW w:w="1084" w:type="dxa"/>
            <w:tcBorders>
              <w:top w:val="nil"/>
              <w:bottom w:val="nil"/>
            </w:tcBorders>
          </w:tcPr>
          <w:p w14:paraId="795C5267" w14:textId="77777777" w:rsidR="00EF037E" w:rsidRPr="000D1988" w:rsidRDefault="00EF037E" w:rsidP="00DE09CD">
            <w:pPr>
              <w:spacing w:before="50" w:after="50"/>
              <w:rPr>
                <w:rFonts w:eastAsia="Times New Roman" w:cs="Times New Roman"/>
                <w:color w:val="000000"/>
                <w:sz w:val="22"/>
              </w:rPr>
            </w:pPr>
          </w:p>
        </w:tc>
        <w:tc>
          <w:tcPr>
            <w:tcW w:w="1829" w:type="dxa"/>
            <w:tcBorders>
              <w:top w:val="nil"/>
              <w:bottom w:val="nil"/>
            </w:tcBorders>
          </w:tcPr>
          <w:p w14:paraId="65D2430F" w14:textId="77777777" w:rsidR="00EF037E" w:rsidRPr="000D1988" w:rsidRDefault="00EF037E" w:rsidP="00DE09CD">
            <w:pPr>
              <w:spacing w:before="50" w:after="50"/>
              <w:rPr>
                <w:rFonts w:eastAsia="Times New Roman" w:cs="Times New Roman"/>
                <w:sz w:val="22"/>
              </w:rPr>
            </w:pPr>
          </w:p>
        </w:tc>
        <w:tc>
          <w:tcPr>
            <w:tcW w:w="1414" w:type="dxa"/>
            <w:tcBorders>
              <w:bottom w:val="single" w:sz="4" w:space="0" w:color="auto"/>
            </w:tcBorders>
          </w:tcPr>
          <w:p w14:paraId="4E638A36"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*12:01, *14:01</w:t>
            </w:r>
          </w:p>
        </w:tc>
        <w:tc>
          <w:tcPr>
            <w:tcW w:w="3503" w:type="dxa"/>
          </w:tcPr>
          <w:p w14:paraId="5BBA2BCE"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Chronic sarcoidosis; increased risk of Non-LS</w:t>
            </w:r>
          </w:p>
        </w:tc>
        <w:tc>
          <w:tcPr>
            <w:tcW w:w="1924" w:type="dxa"/>
          </w:tcPr>
          <w:p w14:paraId="102F7726" w14:textId="77777777" w:rsidR="00EF037E" w:rsidRPr="000D1988" w:rsidRDefault="00EF037E" w:rsidP="00DE09CD">
            <w:pPr>
              <w:spacing w:before="50" w:after="50"/>
              <w:rPr>
                <w:rFonts w:eastAsia="Times New Roman" w:cs="Times New Roman"/>
                <w:sz w:val="22"/>
              </w:rPr>
            </w:pPr>
            <w:r w:rsidRPr="000D1988">
              <w:rPr>
                <w:rFonts w:eastAsia="Times New Roman" w:cs="Times New Roman"/>
                <w:sz w:val="22"/>
              </w:rPr>
              <w:t>AA and EA</w:t>
            </w:r>
          </w:p>
        </w:tc>
        <w:tc>
          <w:tcPr>
            <w:tcW w:w="1350" w:type="dxa"/>
          </w:tcPr>
          <w:p w14:paraId="07FAA335" w14:textId="14343629"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"abstract" : "Sarcoidosis is a multi-facets disease. Along with environment, the role of genetic component in this immune-mediated granulomatous disorder is undisputable, irrespective of the tissue/ organ involved (lung, eyes, heart, etc.). Due to undefined etiology of this complex disorder, it has remained as challenge to control the disease progression. Further, identification of prognostic genetic maker for this disease at functional as well as non-functional level has remained intriguing. To understand the sarcoidosis susceptibility at genetic level, several molecular approaches, such as meta-analysis of GWAS, significant association of coding and rare variants, fine mapping of susceptible loci, gene networking and their associated mechanism, copy number variations, single nucleotide polymorphisms in miRNAs (mirSNPs) and epigenetic changes in case control studies across cohorts of different ethnic groups would reveal a better insight.", "author" : [ { "dropping-particle" : "", "family" : "Kishore", "given" : "Amit", "non-dropping-particle" : "", "parse-names" : false, "suffix" : "" }, { "dropping-particle" : "", "family" : "Petrek", "given" : "Martin", "non-dropping-particle" : "", "parse-names" : false, "suffix" : "" } ], "container-title" : "International Trends in Immunity", "id" : "ITEM-1", "issue" : "4", "issued" : { "date-parts" : [ [ "2013" ] ] }, "page" : "43-53", "title" : "Immunogenetics of Saarcoidosis", "type" : "article-journal", "volume" : "1" }, "uris" : [ "http://www.mendeley.com/documents/?uuid=56b661c0-7ce1-3f1e-b01e-f1a5f2ec5785" ] }, { "id" : "ITEM-2", "itemData" : { "DOI" : "10.1016/j.ccm.2015.08.002", "ISBN" : "9780323402408", "ISSN" : "1557-8216", "PMID" : "26593134", "abstract" : "Sarcoidosis is a disease with highly variable presentation and progression; although it is hypothesized that disease phenotype is related to genetic variation, how much of this variability is driven by genetic factors is not known. The HLA region is the most strongly and consistently associated genetic risk factor for sarcoidosis, supporting the notion that sarcoidosis is an exposure-mediated immunologic disease. Most of the genetic etiology of sarcoidosis remains unknown in terms of the specific variants that increase risk in various populations, their biologic functions, and how they interact with environmental exposures.", "author" : [ { "dropping-particle" : "", "family" : "Fingerlin", "given" : "Tasha E.", "non-dropping-particle" : "", "parse-names" : false, "suffix" : "" }, { "dropping-particle" : "", "family" : "Hamzeh", "given" : "Nabeel", "non-dropping-particle" : "", "parse-names" : false, "suffix" : "" }, { "dropping-particle" : "", "family" : "Maier", "given" : "Lisa A.", "non-dropping-particle" : "", "parse-names" : false, "suffix" : "" } ], "container-title" : "Clinics in chest medicine", "id" : "ITEM-2", "issue" : "4", "issued" : { "date-parts" : [ [ "2015", "12" ] ] }, "page" : "569-84", "title" : "Genetics of Sarcoidosis.", "type" : "article-journal", "volume" : "36" }, "uris" : [ "http://www.mendeley.com/documents/?uuid=0756ce18-1de6-32f0-b676-fd7177b527cc" ] } ], "mendeley" : { "formattedCitation" : "(4,7)", "plainTextFormattedCitation" : "(4,7)", "previouslyFormattedCitation" : "(2,5)"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(4,7)</w:t>
            </w:r>
            <w:r w:rsidRPr="000D1988">
              <w:rPr>
                <w:rFonts w:eastAsia="Times New Roman" w:cs="Times New Roman"/>
                <w:color w:val="000000"/>
                <w:sz w:val="22"/>
              </w:rPr>
              <w:fldChar w:fldCharType="end"/>
            </w:r>
          </w:p>
        </w:tc>
      </w:tr>
      <w:tr w:rsidR="00EF037E" w:rsidRPr="000D1988" w14:paraId="17B62B31" w14:textId="77777777" w:rsidTr="00DE09CD">
        <w:tc>
          <w:tcPr>
            <w:tcW w:w="1084" w:type="dxa"/>
            <w:tcBorders>
              <w:top w:val="nil"/>
              <w:bottom w:val="nil"/>
            </w:tcBorders>
          </w:tcPr>
          <w:p w14:paraId="6C63AF23" w14:textId="77777777" w:rsidR="00EF037E" w:rsidRPr="000D1988" w:rsidRDefault="00EF037E" w:rsidP="00DE09CD">
            <w:pPr>
              <w:spacing w:before="50" w:after="50"/>
              <w:rPr>
                <w:rFonts w:eastAsia="Times New Roman" w:cs="Times New Roman"/>
                <w:color w:val="000000"/>
                <w:sz w:val="22"/>
              </w:rPr>
            </w:pPr>
          </w:p>
        </w:tc>
        <w:tc>
          <w:tcPr>
            <w:tcW w:w="1829" w:type="dxa"/>
            <w:tcBorders>
              <w:top w:val="nil"/>
              <w:bottom w:val="nil"/>
            </w:tcBorders>
          </w:tcPr>
          <w:p w14:paraId="4742D4EA" w14:textId="77777777" w:rsidR="00EF037E" w:rsidRPr="000D1988" w:rsidRDefault="00EF037E" w:rsidP="00DE09CD">
            <w:pPr>
              <w:spacing w:before="50" w:after="50"/>
              <w:rPr>
                <w:rFonts w:eastAsia="Times New Roman" w:cs="Times New Roman"/>
                <w:sz w:val="22"/>
              </w:rPr>
            </w:pPr>
          </w:p>
        </w:tc>
        <w:tc>
          <w:tcPr>
            <w:tcW w:w="1414" w:type="dxa"/>
            <w:tcBorders>
              <w:bottom w:val="nil"/>
            </w:tcBorders>
          </w:tcPr>
          <w:p w14:paraId="69EEF0F1"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*15:01</w:t>
            </w:r>
          </w:p>
        </w:tc>
        <w:tc>
          <w:tcPr>
            <w:tcW w:w="3503" w:type="dxa"/>
          </w:tcPr>
          <w:p w14:paraId="0E9E48E3"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LS</w:t>
            </w:r>
          </w:p>
        </w:tc>
        <w:tc>
          <w:tcPr>
            <w:tcW w:w="1924" w:type="dxa"/>
          </w:tcPr>
          <w:p w14:paraId="695EDF30" w14:textId="77777777" w:rsidR="00EF037E" w:rsidRPr="000D1988" w:rsidRDefault="00EF037E" w:rsidP="00DE09CD">
            <w:pPr>
              <w:spacing w:before="50" w:after="50"/>
              <w:rPr>
                <w:rFonts w:eastAsia="Times New Roman" w:cs="Times New Roman"/>
                <w:sz w:val="22"/>
              </w:rPr>
            </w:pPr>
            <w:r w:rsidRPr="000D1988">
              <w:rPr>
                <w:rFonts w:eastAsia="Times New Roman" w:cs="Times New Roman"/>
                <w:sz w:val="22"/>
              </w:rPr>
              <w:t>Polish</w:t>
            </w:r>
          </w:p>
        </w:tc>
        <w:tc>
          <w:tcPr>
            <w:tcW w:w="1350" w:type="dxa"/>
          </w:tcPr>
          <w:p w14:paraId="77A53383" w14:textId="00414AAB"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"abstract" : "Sarcoidosis is a multi-facets disease. Along with environment, the role of genetic component in this immune-mediated granulomatous disorder is undisputable, irrespective of the tissue/ organ involved (lung, eyes, heart, etc.). Due to undefined etiology of this complex disorder, it has remained as challenge to control the disease progression. Further, identification of prognostic genetic maker for this disease at functional as well as non-functional level has remained intriguing. To understand the sarcoidosis susceptibility at genetic level, several molecular approaches, such as meta-analysis of GWAS, significant association of coding and rare variants, fine mapping of susceptible loci, gene networking and their associated mechanism, copy number variations, single nucleotide polymorphisms in miRNAs (mirSNPs) and epigenetic changes in case control studies across cohorts of different ethnic groups would reveal a better insight.", "author" : [ { "dropping-particle" : "", "family" : "Kishore", "given" : "Amit", "non-dropping-particle" : "", "parse-names" : false, "suffix" : "" }, { "dropping-particle" : "", "family" : "Petrek", "given" : "Martin", "non-dropping-particle" : "", "parse-names" : false, "suffix" : "" } ], "container-title" : "International Trends in Immunity", "id" : "ITEM-1", "issue" : "4", "issued" : { "date-parts" : [ [ "2013" ] ] }, "page" : "43-53", "title" : "Immunogenetics of Saarcoidosis", "type" : "article-journal", "volume" : "1" }, "uris" : [ "http://www.mendeley.com/documents/?uuid=56b661c0-7ce1-3f1e-b01e-f1a5f2ec5785" ] }, { "id" : "ITEM-2", "itemData" : { "DOI" : "10.1016/j.ccm.2015.08.002", "ISBN" : "9780323402408", "ISSN" : "1557-8216", "PMID" : "26593134", "abstract" : "Sarcoidosis is a disease with highly variable presentation and progression; although it is hypothesized that disease phenotype is related to genetic variation, how much of this variability is driven by genetic factors is not known. The HLA region is the most strongly and consistently associated genetic risk factor for sarcoidosis, supporting the notion that sarcoidosis is an exposure-mediated immunologic disease. Most of the genetic etiology of sarcoidosis remains unknown in terms of the specific variants that increase risk in various populations, their biologic functions, and how they interact with environmental exposures.", "author" : [ { "dropping-particle" : "", "family" : "Fingerlin", "given" : "Tasha E.", "non-dropping-particle" : "", "parse-names" : false, "suffix" : "" }, { "dropping-particle" : "", "family" : "Hamzeh", "given" : "Nabeel", "non-dropping-particle" : "", "parse-names" : false, "suffix" : "" }, { "dropping-particle" : "", "family" : "Maier", "given" : "Lisa A.", "non-dropping-particle" : "", "parse-names" : false, "suffix" : "" } ], "container-title" : "Clinics in chest medicine", "id" : "ITEM-2", "issue" : "4", "issued" : { "date-parts" : [ [ "2015", "12" ] ] }, "page" : "569-84", "title" : "Genetics of Sarcoidosis.", "type" : "article-journal", "volume" : "36" }, "uris" : [ "http://www.mendeley.com/documents/?uuid=0756ce18-1de6-32f0-b676-fd7177b527cc" ] } ], "mendeley" : { "formattedCitation" : "(4,7)", "plainTextFormattedCitation" : "(4,7)", "previouslyFormattedCitation" : "(2,5)"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(4,7)</w:t>
            </w:r>
            <w:r w:rsidRPr="000D1988">
              <w:rPr>
                <w:rFonts w:eastAsia="Times New Roman" w:cs="Times New Roman"/>
                <w:color w:val="000000"/>
                <w:sz w:val="22"/>
              </w:rPr>
              <w:fldChar w:fldCharType="end"/>
            </w:r>
          </w:p>
        </w:tc>
      </w:tr>
      <w:tr w:rsidR="00EF037E" w:rsidRPr="000D1988" w14:paraId="480288E7" w14:textId="77777777" w:rsidTr="00DE09CD">
        <w:tc>
          <w:tcPr>
            <w:tcW w:w="1084" w:type="dxa"/>
            <w:tcBorders>
              <w:top w:val="nil"/>
              <w:bottom w:val="nil"/>
            </w:tcBorders>
          </w:tcPr>
          <w:p w14:paraId="42A3C15B" w14:textId="77777777" w:rsidR="00EF037E" w:rsidRPr="000D1988" w:rsidRDefault="00EF037E" w:rsidP="00DE09CD">
            <w:pPr>
              <w:spacing w:before="50" w:after="50"/>
              <w:rPr>
                <w:rFonts w:eastAsia="Times New Roman" w:cs="Times New Roman"/>
                <w:color w:val="000000"/>
                <w:sz w:val="22"/>
              </w:rPr>
            </w:pPr>
          </w:p>
        </w:tc>
        <w:tc>
          <w:tcPr>
            <w:tcW w:w="1829" w:type="dxa"/>
            <w:tcBorders>
              <w:top w:val="nil"/>
              <w:bottom w:val="nil"/>
            </w:tcBorders>
          </w:tcPr>
          <w:p w14:paraId="1F3D8FA3" w14:textId="77777777" w:rsidR="00EF037E" w:rsidRPr="000D1988" w:rsidRDefault="00EF037E" w:rsidP="00DE09CD">
            <w:pPr>
              <w:spacing w:before="50" w:after="50"/>
              <w:rPr>
                <w:rFonts w:eastAsia="Times New Roman" w:cs="Times New Roman"/>
                <w:sz w:val="22"/>
              </w:rPr>
            </w:pPr>
          </w:p>
        </w:tc>
        <w:tc>
          <w:tcPr>
            <w:tcW w:w="1414" w:type="dxa"/>
            <w:tcBorders>
              <w:top w:val="nil"/>
            </w:tcBorders>
          </w:tcPr>
          <w:p w14:paraId="17BC0FF2" w14:textId="77777777" w:rsidR="00EF037E" w:rsidRPr="000D1988" w:rsidRDefault="00EF037E" w:rsidP="00DE09CD">
            <w:pPr>
              <w:spacing w:before="50" w:after="50"/>
              <w:rPr>
                <w:rFonts w:eastAsia="Times New Roman" w:cs="Times New Roman"/>
                <w:color w:val="000000"/>
                <w:sz w:val="22"/>
              </w:rPr>
            </w:pPr>
          </w:p>
        </w:tc>
        <w:tc>
          <w:tcPr>
            <w:tcW w:w="3503" w:type="dxa"/>
          </w:tcPr>
          <w:p w14:paraId="24BC8571"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Risk of Non-LS</w:t>
            </w:r>
          </w:p>
        </w:tc>
        <w:tc>
          <w:tcPr>
            <w:tcW w:w="1924" w:type="dxa"/>
          </w:tcPr>
          <w:p w14:paraId="6F580150" w14:textId="77777777" w:rsidR="00EF037E" w:rsidRPr="000D1988" w:rsidRDefault="00EF037E" w:rsidP="00DE09CD">
            <w:pPr>
              <w:spacing w:before="50" w:after="50"/>
              <w:rPr>
                <w:rFonts w:eastAsia="Times New Roman" w:cs="Times New Roman"/>
                <w:sz w:val="22"/>
              </w:rPr>
            </w:pPr>
            <w:r w:rsidRPr="000D1988">
              <w:rPr>
                <w:rFonts w:eastAsia="Times New Roman" w:cs="Times New Roman"/>
                <w:sz w:val="22"/>
              </w:rPr>
              <w:t>AA and EA</w:t>
            </w:r>
          </w:p>
        </w:tc>
        <w:tc>
          <w:tcPr>
            <w:tcW w:w="1350" w:type="dxa"/>
          </w:tcPr>
          <w:p w14:paraId="1E373BEC" w14:textId="4136353F"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"abstract" : "Sarcoidosis is a multi-facets disease. Along with environment, the role of genetic component in this immune-mediated granulomatous disorder is undisputable, irrespective of the tissue/ organ involved (lung, eyes, heart, etc.). Due to undefined etiology of this complex disorder, it has remained as challenge to control the disease progression. Further, identification of prognostic genetic maker for this disease at functional as well as non-functional level has remained intriguing. To understand the sarcoidosis susceptibility at genetic level, several molecular approaches, such as meta-analysis of GWAS, significant association of coding and rare variants, fine mapping of susceptible loci, gene networking and their associated mechanism, copy number variations, single nucleotide polymorphisms in miRNAs (mirSNPs) and epigenetic changes in case control studies across cohorts of different ethnic groups would reveal a better insight.", "author" : [ { "dropping-particle" : "", "family" : "Kishore", "given" : "Amit", "non-dropping-particle" : "", "parse-names" : false, "suffix" : "" }, { "dropping-particle" : "", "family" : "Petrek", "given" : "Martin", "non-dropping-particle" : "", "parse-names" : false, "suffix" : "" } ], "container-title" : "International Trends in Immunity", "id" : "ITEM-1", "issue" : "4", "issued" : { "date-parts" : [ [ "2013" ] ] }, "page" : "43-53", "title" : "Immunogenetics of Saarcoidosis", "type" : "article-journal", "volume" : "1" }, "uris" : [ "http://www.mendeley.com/documents/?uuid=56b661c0-7ce1-3f1e-b01e-f1a5f2ec5785" ] }, { "id" : "ITEM-2", "itemData" : { "DOI" : "10.1016/j.ccm.2015.08.002", "ISBN" : "9780323402408", "ISSN" : "1557-8216", "PMID" : "26593134", "abstract" : "Sarcoidosis is a disease with highly variable presentation and progression; although it is hypothesized that disease phenotype is related to genetic variation, how much of this variability is driven by genetic factors is not known. The HLA region is the most strongly and consistently associated genetic risk factor for sarcoidosis, supporting the notion that sarcoidosis is an exposure-mediated immunologic disease. Most of the genetic etiology of sarcoidosis remains unknown in terms of the specific variants that increase risk in various populations, their biologic functions, and how they interact with environmental exposures.", "author" : [ { "dropping-particle" : "", "family" : "Fingerlin", "given" : "Tasha E.", "non-dropping-particle" : "", "parse-names" : false, "suffix" : "" }, { "dropping-particle" : "", "family" : "Hamzeh", "given" : "Nabeel", "non-dropping-particle" : "", "parse-names" : false, "suffix" : "" }, { "dropping-particle" : "", "family" : "Maier", "given" : "Lisa A.", "non-dropping-particle" : "", "parse-names" : false, "suffix" : "" } ], "container-title" : "Clinics in chest medicine", "id" : "ITEM-2", "issue" : "4", "issued" : { "date-parts" : [ [ "2015", "12" ] ] }, "page" : "569-84", "title" : "Genetics of Sarcoidosis.", "type" : "article-journal", "volume" : "36" }, "uris" : [ "http://www.mendeley.com/documents/?uuid=0756ce18-1de6-32f0-b676-fd7177b527cc" ] } ], "mendeley" : { "formattedCitation" : "(4,7)", "plainTextFormattedCitation" : "(4,7)", "previouslyFormattedCitation" : "(2,5)"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(4,7)</w:t>
            </w:r>
            <w:r w:rsidRPr="000D1988">
              <w:rPr>
                <w:rFonts w:eastAsia="Times New Roman" w:cs="Times New Roman"/>
                <w:color w:val="000000"/>
                <w:sz w:val="22"/>
              </w:rPr>
              <w:fldChar w:fldCharType="end"/>
            </w:r>
          </w:p>
        </w:tc>
      </w:tr>
      <w:tr w:rsidR="00EF037E" w:rsidRPr="000D1988" w14:paraId="4BCFB6EA" w14:textId="77777777" w:rsidTr="00DE09CD">
        <w:tc>
          <w:tcPr>
            <w:tcW w:w="1084" w:type="dxa"/>
            <w:tcBorders>
              <w:top w:val="nil"/>
              <w:bottom w:val="single" w:sz="4" w:space="0" w:color="auto"/>
            </w:tcBorders>
          </w:tcPr>
          <w:p w14:paraId="244ADA4A" w14:textId="77777777" w:rsidR="00EF037E" w:rsidRPr="000D1988" w:rsidRDefault="00EF037E" w:rsidP="00DE09CD">
            <w:pPr>
              <w:spacing w:before="50" w:after="50"/>
              <w:rPr>
                <w:rFonts w:eastAsia="Times New Roman" w:cs="Times New Roman"/>
                <w:color w:val="000000"/>
                <w:sz w:val="22"/>
              </w:rPr>
            </w:pPr>
          </w:p>
        </w:tc>
        <w:tc>
          <w:tcPr>
            <w:tcW w:w="1829" w:type="dxa"/>
            <w:tcBorders>
              <w:top w:val="nil"/>
              <w:bottom w:val="single" w:sz="4" w:space="0" w:color="auto"/>
            </w:tcBorders>
          </w:tcPr>
          <w:p w14:paraId="66A51096" w14:textId="77777777" w:rsidR="00EF037E" w:rsidRPr="000D1988" w:rsidRDefault="00EF037E" w:rsidP="00DE09CD">
            <w:pPr>
              <w:spacing w:before="50" w:after="50"/>
              <w:rPr>
                <w:rFonts w:eastAsia="Times New Roman" w:cs="Times New Roman"/>
                <w:color w:val="000000"/>
                <w:sz w:val="22"/>
              </w:rPr>
            </w:pPr>
          </w:p>
        </w:tc>
        <w:tc>
          <w:tcPr>
            <w:tcW w:w="1414" w:type="dxa"/>
          </w:tcPr>
          <w:p w14:paraId="657A442C"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rs3830135</w:t>
            </w:r>
          </w:p>
        </w:tc>
        <w:tc>
          <w:tcPr>
            <w:tcW w:w="3503" w:type="dxa"/>
          </w:tcPr>
          <w:p w14:paraId="1E964B97"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Non-LS</w:t>
            </w:r>
          </w:p>
        </w:tc>
        <w:tc>
          <w:tcPr>
            <w:tcW w:w="1924" w:type="dxa"/>
          </w:tcPr>
          <w:p w14:paraId="06DEA026" w14:textId="77777777" w:rsidR="00EF037E" w:rsidRPr="000D1988" w:rsidRDefault="00EF037E" w:rsidP="00DE09CD">
            <w:pPr>
              <w:spacing w:before="50" w:after="50"/>
              <w:rPr>
                <w:rFonts w:eastAsia="Times New Roman" w:cs="Times New Roman"/>
                <w:sz w:val="22"/>
              </w:rPr>
            </w:pPr>
            <w:r w:rsidRPr="000D1988">
              <w:rPr>
                <w:rFonts w:cs="Times New Roman"/>
                <w:sz w:val="22"/>
              </w:rPr>
              <w:t>European cohorts</w:t>
            </w:r>
          </w:p>
        </w:tc>
        <w:tc>
          <w:tcPr>
            <w:tcW w:w="1350" w:type="dxa"/>
          </w:tcPr>
          <w:p w14:paraId="25B27F70" w14:textId="349F2145"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"ISSN" : "1535-4970", "PMID" : "26651848", "abstract" : "RATIONALE Sarcoidosis is a multisystem disease of unknown cause. L\u00f6fgren's syndrome (LS) is a characteristic subgroup of sarcoidosis that is associated with a good prognosis in sarcoidosis. However, little is known about its genetic architecture or its broader phenotype, non-LS sarcoidosis. OBJECTIVES To address the genetic architecture of sarcoidosis phenotypes, LS and non-LS. METHODS An association study in a white Swedish cohort of 384 LS, 664 non-LS, and 2,086 control subjects, totaling 3,134 subjects using a fine-mapping genotyping platform was conducted. Replication was performed in four independent cohorts, three of white European descent (Germany, n = 4,975; the Netherlands, n = 613; and Czech Republic, n = 521), and one of black African descent (United States, n = 1,657), totaling 7,766 subjects. MEASUREMENTS AND MAIN RESULTS A total of 727 LS-associated variants expanding throughout the extended major histocompatibility complex (MHC) region and 68 non-LS-associated variants located in the MHC class II region were identified and confirmed. A shared overlap between LS and non-LS defined by 17 variants located in the MHC class II region was found. Outside the MHC region, two LS-associated loci, in ADCY3 and between CSMD1 and MCPH1, were observed and replicated. CONCLUSIONS Comprehensive and integrative analyses of genetics, transcription, and pathway modeling on LS and non-LS indicates that these sarcoidosis phenotypes have different genetic susceptibility, genomic distributions, and cellular activities, suggesting distinct molecular mechanisms in pathways related to immune response with a common region.", "author" : [ { "dropping-particle" : "V", "family" : "Rivera", "given" : "Natalia", "non-dropping-particle" : "", "parse-names" : false, "suffix" : "" }, { "dropping-particle" : "", "family" : "Ronninger", "given" : "Marcus", "non-dropping-particle" : "", "parse-names" : false, "suffix" : "" }, { "dropping-particle" : "", "family" : "Shchetynsky", "given" : "Klementy", "non-dropping-particle" : "", "parse-names" : false, "suffix" : "" }, { "dropping-particle" : "", "family" : "Franke", "given" : "Andre", "non-dropping-particle" : "", "parse-names" : false, "suffix" : "" }, { "dropping-particle" : "", "family" : "N\u00f6then", "given" : "Markus M", "non-dropping-particle" : "", "parse-names" : false, "suffix" : "" }, { "dropping-particle" : "", "family" : "M\u00fcller-Quernheim", "given" : "Joachim", "non-dropping-particle" : "", "parse-names" : false, "suffix" : "" }, { "dropping-particle" : "", "family" : "Schreiber", "given" : "Stefan", "non-dropping-particle" : "", "parse-names" : false, "suffix" : "" }, { "dropping-particle" : "", "family" : "Adrianto", "given" : "Indra", "non-dropping-particle" : "", "parse-names" : false, "suffix" : "" }, { "dropping-particle" : "", "family" : "Karakaya", "given" : "Bekir", "non-dropping-particle" : "", "parse-names" : false, "suffix" : "" }, { "dropping-particle" : "", "family" : "Moorsel", "given" : "Coline H M", "non-dropping-particle" : "van", "parse-names" : false, "suffix" : "" }, { "dropping-particle" : "", "family" : "Navratilova", "given" : "Zdenka", "non-dropping-particle" : "", "parse-names" : false, "suffix" : "" }, { "dropping-particle" : "", "family" : "Kolek", "given" : "Vitezslav", "non-dropping-particle" : "", "parse-names" : false, "suffix" : "" }, { "dropping-particle" : "", "family" : "Rybicki", "given" : "Benjamin A", "non-dropping-particle" : "", "parse-names" : false, "suffix" : "" }, { "dropping-particle" : "", "family" : "Iannuzzi", "given" : "Michael C", "non-dropping-particle" : "", "parse-names" : false, "suffix" : "" }, { "dropping-particle" : "", "family" : "Petrek", "given" : "Martin", "non-dropping-particle" : "", "parse-names" : false, "suffix" : "" }, { "dropping-particle" : "", "family" : "Grutters", "given" : "Jan C", "non-dropping-particle" : "", "parse-names" : false, "suffix" : "" }, { "dropping-particle" : "", "family" : "Montgomery", "given" : "Courtney", "non-dropping-particle" : "", "parse-names" : false, "suffix" : "" }, { "dropping-particle" : "", "family" : "Fischer", "given" : "Annegret", "non-dropping-particle" : "", "parse-names" : false, "suffix" : "" }, { "dropping-particle" : "", "family" : "Eklund", "given" : "Anders", "non-dropping-particle" : "", "parse-names" : false, "suffix" : "" }, { "dropping-particle" : "", "family" : "Padyukov", "given" : "Leonid", "non-dropping-particle" : "", "parse-names" : false, "suffix" : "" }, { "dropping-particle" : "", "family" : "Grunewald", "given" : "Johan", "non-dropping-particle" : "", "parse-names" : false, "suffix" : "" } ], "container-title" : "American journal of respiratory and critical care medicine", "id" : "ITEM-1", "issue" : "9", "issued" : { "date-parts" : [ [ "2016" ] ] }, "page" : "1008-1022", "title" : "High-Density Genetic Mapping Identifies New Susceptibility Variants in Sarcoidosis Phenotypes and Shows Genomic-driven Phenotypic Differences.", "type" : "article-journal", "volume" : "193" }, "uris" : [ "http://www.mendeley.com/documents/?uuid=3444866a-8eaf-3560-99a8-d5390537f8fd" ] } ], "mendeley" : { "formattedCitation" : "(9)", "plainTextFormattedCitation" : "(9)", "previouslyFormattedCitation" : "(7)"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(9)</w:t>
            </w:r>
            <w:r w:rsidRPr="000D1988">
              <w:rPr>
                <w:rFonts w:eastAsia="Times New Roman" w:cs="Times New Roman"/>
                <w:color w:val="000000"/>
                <w:sz w:val="22"/>
              </w:rPr>
              <w:fldChar w:fldCharType="end"/>
            </w:r>
          </w:p>
        </w:tc>
      </w:tr>
      <w:tr w:rsidR="00EF037E" w:rsidRPr="000D1988" w14:paraId="72C10136" w14:textId="77777777" w:rsidTr="00DE09CD">
        <w:tc>
          <w:tcPr>
            <w:tcW w:w="1084" w:type="dxa"/>
            <w:tcBorders>
              <w:bottom w:val="nil"/>
            </w:tcBorders>
          </w:tcPr>
          <w:p w14:paraId="7AA916EE"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Class II</w:t>
            </w:r>
          </w:p>
        </w:tc>
        <w:tc>
          <w:tcPr>
            <w:tcW w:w="1829" w:type="dxa"/>
            <w:tcBorders>
              <w:bottom w:val="nil"/>
            </w:tcBorders>
          </w:tcPr>
          <w:p w14:paraId="43E1A631"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HLA-DRB3</w:t>
            </w:r>
          </w:p>
        </w:tc>
        <w:tc>
          <w:tcPr>
            <w:tcW w:w="1414" w:type="dxa"/>
          </w:tcPr>
          <w:p w14:paraId="42B177D9"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*01</w:t>
            </w:r>
            <w:r w:rsidR="00864AE9" w:rsidRPr="000D1988">
              <w:rPr>
                <w:rFonts w:eastAsia="Times New Roman" w:cs="Times New Roman"/>
                <w:color w:val="000000"/>
                <w:sz w:val="22"/>
              </w:rPr>
              <w:t>:</w:t>
            </w:r>
            <w:r w:rsidRPr="000D1988">
              <w:rPr>
                <w:rFonts w:eastAsia="Times New Roman" w:cs="Times New Roman"/>
                <w:color w:val="000000"/>
                <w:sz w:val="22"/>
              </w:rPr>
              <w:t>01</w:t>
            </w:r>
          </w:p>
        </w:tc>
        <w:tc>
          <w:tcPr>
            <w:tcW w:w="3503" w:type="dxa"/>
          </w:tcPr>
          <w:p w14:paraId="2D4F95B4"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Non-LS and disease progression</w:t>
            </w:r>
          </w:p>
        </w:tc>
        <w:tc>
          <w:tcPr>
            <w:tcW w:w="1924" w:type="dxa"/>
          </w:tcPr>
          <w:p w14:paraId="612ED402" w14:textId="77777777" w:rsidR="00EF037E" w:rsidRPr="000D1988" w:rsidRDefault="00EF037E" w:rsidP="00DE09CD">
            <w:pPr>
              <w:spacing w:before="50" w:after="50"/>
              <w:rPr>
                <w:rFonts w:eastAsia="Times New Roman" w:cs="Times New Roman"/>
                <w:sz w:val="22"/>
              </w:rPr>
            </w:pPr>
            <w:r w:rsidRPr="000D1988">
              <w:rPr>
                <w:rFonts w:eastAsia="Times New Roman" w:cs="Times New Roman"/>
                <w:sz w:val="22"/>
              </w:rPr>
              <w:t>AA and EA</w:t>
            </w:r>
          </w:p>
        </w:tc>
        <w:tc>
          <w:tcPr>
            <w:tcW w:w="1350" w:type="dxa"/>
          </w:tcPr>
          <w:p w14:paraId="5C8844B7" w14:textId="433FF536"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"DOI" : "10.1016/j.ccm.2015.08.002", "ISBN" : "9780323402408", "ISSN" : "1557-8216", "PMID" : "26593134", "abstract" : "Sarcoidosis is a disease with highly variable presentation and progression; although it is hypothesized that disease phenotype is related to genetic variation, how much of this variability is driven by genetic factors is not known. The HLA region is the most strongly and consistently associated genetic risk factor for sarcoidosis, supporting the notion that sarcoidosis is an exposure-mediated immunologic disease. Most of the genetic etiology of sarcoidosis remains unknown in terms of the specific variants that increase risk in various populations, their biologic functions, and how they interact with environmental exposures.", "author" : [ { "dropping-particle" : "", "family" : "Fingerlin", "given" : "Tasha E.", "non-dropping-particle" : "", "parse-names" : false, "suffix" : "" }, { "dropping-particle" : "", "family" : "Hamzeh", "given" : "Nabeel", "non-dropping-particle" : "", "parse-names" : false, "suffix" : "" }, { "dropping-particle" : "", "family" : "Maier", "given" : "Lisa A.", "non-dropping-particle" : "", "parse-names" : false, "suffix" : "" } ], "container-title" : "Clinics in chest medicine", "id" : "ITEM-1", "issue" : "4", "issued" : { "date-parts" : [ [ "2015", "12" ] ] }, "page" : "569-84", "title" : "Genetics of Sarcoidosis.", "type" : "article-journal", "volume" : "36" }, "uris" : [ "http://www.mendeley.com/documents/?uuid=0756ce18-1de6-32f0-b676-fd7177b527cc" ] }, { "id" : "ITEM-2", "itemData" : { "abstract" : "Sarcoidosis is a multi-facets disease. Along with environment, the role of genetic component in this immune-mediated granulomatous disorder is undisputable, irrespective of the tissue/ organ involved (lung, eyes, heart, etc.). Due to undefined etiology of this complex disorder, it has remained as challenge to control the disease progression. Further, identification of prognostic genetic maker for this disease at functional as well as non-functional level has remained intriguing. To understand the sarcoidosis susceptibility at genetic level, several molecular approaches, such as meta-analysis of GWAS, significant association of coding and rare variants, fine mapping of susceptible loci, gene networking and their associated mechanism, copy number variations, single nucleotide polymorphisms in miRNAs (mirSNPs) and epigenetic changes in case control studies across cohorts of different ethnic groups would reveal a better insight.", "author" : [ { "dropping-particle" : "", "family" : "Kishore", "given" : "Amit", "non-dropping-particle" : "", "parse-names" : false, "suffix" : "" }, { "dropping-particle" : "", "family" : "Petrek", "given" : "Martin", "non-dropping-particle" : "", "parse-names" : false, "suffix" : "" } ], "container-title" : "International Trends in Immunity", "id" : "ITEM-2", "issue" : "4", "issued" : { "date-parts" : [ [ "2013" ] ] }, "page" : "43-53", "title" : "Immunogenetics of Saarcoidosis", "type" : "article-journal", "volume" : "1" }, "uris" : [ "http://www.mendeley.com/documents/?uuid=56b661c0-7ce1-3f1e-b01e-f1a5f2ec5785" ] }, { "id" : "ITEM-3", "itemData" : { "DOI" : "10.5772/55116", "author" : [ { "dropping-particle" : "", "family" : "Sah", "given" : "Birendra P.", "non-dropping-particle" : "", "parse-names" : false, "suffix" : "" }, { "dropping-particle" : "", "family" : "Iannuzzi", "given" : "Michael C.", "non-dropping-particle" : "", "parse-names" : false, "suffix" : "" } ], "container-title" : "Sarcoidosis", "id" : "ITEM-3", "issued" : { "date-parts" : [ [ "2013", "3", "13" ] ] }, "page" : "53-77", "publisher" : "InTech", "title" : "Genetic Factors Involved in Sarcoidosis", "type" : "chapter" }, "uris" : [ "http://www.mendeley.com/documents/?uuid=cd3949a0-0613-38d3-a194-e620b733a584" ] } ], "mendeley" : { "formattedCitation" : "(4,5,7)", "plainTextFormattedCitation" : "(4,5,7)", "previouslyFormattedCitation" : "(2,3,5)"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(4,5,7)</w:t>
            </w:r>
            <w:r w:rsidRPr="000D1988">
              <w:rPr>
                <w:rFonts w:eastAsia="Times New Roman" w:cs="Times New Roman"/>
                <w:color w:val="000000"/>
                <w:sz w:val="22"/>
              </w:rPr>
              <w:fldChar w:fldCharType="end"/>
            </w:r>
          </w:p>
        </w:tc>
      </w:tr>
      <w:tr w:rsidR="00EF037E" w:rsidRPr="000D1988" w14:paraId="5CAB2767" w14:textId="77777777" w:rsidTr="00DE09CD">
        <w:tc>
          <w:tcPr>
            <w:tcW w:w="1084" w:type="dxa"/>
            <w:tcBorders>
              <w:bottom w:val="nil"/>
            </w:tcBorders>
          </w:tcPr>
          <w:p w14:paraId="7158618F" w14:textId="77777777" w:rsidR="00EF037E" w:rsidRPr="000D1988" w:rsidRDefault="00EF037E" w:rsidP="00DE09CD">
            <w:pPr>
              <w:widowControl w:val="0"/>
              <w:autoSpaceDE w:val="0"/>
              <w:autoSpaceDN w:val="0"/>
              <w:adjustRightInd w:val="0"/>
              <w:spacing w:before="50" w:after="50"/>
              <w:jc w:val="both"/>
              <w:rPr>
                <w:rFonts w:eastAsia="Times New Roman" w:cs="Times New Roman"/>
                <w:noProof/>
                <w:sz w:val="22"/>
              </w:rPr>
            </w:pPr>
            <w:r w:rsidRPr="000D1988">
              <w:rPr>
                <w:rFonts w:eastAsia="Times New Roman" w:cs="Times New Roman"/>
                <w:noProof/>
                <w:sz w:val="22"/>
              </w:rPr>
              <w:t>HLA</w:t>
            </w:r>
          </w:p>
        </w:tc>
        <w:tc>
          <w:tcPr>
            <w:tcW w:w="3243" w:type="dxa"/>
            <w:gridSpan w:val="2"/>
          </w:tcPr>
          <w:p w14:paraId="66A3AF58"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HLA-DRB1*04</w:t>
            </w:r>
            <w:r w:rsidR="00864AE9" w:rsidRPr="000D1988">
              <w:rPr>
                <w:rFonts w:eastAsia="Times New Roman" w:cs="Times New Roman"/>
                <w:color w:val="000000"/>
                <w:sz w:val="22"/>
              </w:rPr>
              <w:t>:</w:t>
            </w:r>
            <w:r w:rsidRPr="000D1988">
              <w:rPr>
                <w:rFonts w:eastAsia="Times New Roman" w:cs="Times New Roman"/>
                <w:color w:val="000000"/>
                <w:sz w:val="22"/>
              </w:rPr>
              <w:t>01-DPB1*04</w:t>
            </w:r>
            <w:r w:rsidR="00864AE9" w:rsidRPr="000D1988">
              <w:rPr>
                <w:rFonts w:eastAsia="Times New Roman" w:cs="Times New Roman"/>
                <w:color w:val="000000"/>
                <w:sz w:val="22"/>
              </w:rPr>
              <w:t>:</w:t>
            </w:r>
            <w:r w:rsidRPr="000D1988">
              <w:rPr>
                <w:rFonts w:eastAsia="Times New Roman" w:cs="Times New Roman"/>
                <w:color w:val="000000"/>
                <w:sz w:val="22"/>
              </w:rPr>
              <w:t>01</w:t>
            </w:r>
          </w:p>
        </w:tc>
        <w:tc>
          <w:tcPr>
            <w:tcW w:w="3503" w:type="dxa"/>
          </w:tcPr>
          <w:p w14:paraId="308AC1AC"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Resolved sarcoidosis</w:t>
            </w:r>
          </w:p>
        </w:tc>
        <w:tc>
          <w:tcPr>
            <w:tcW w:w="1924" w:type="dxa"/>
          </w:tcPr>
          <w:p w14:paraId="5634C33E" w14:textId="77777777" w:rsidR="00EF037E" w:rsidRPr="000D1988" w:rsidRDefault="00EF037E" w:rsidP="00DE09CD">
            <w:pPr>
              <w:spacing w:before="50" w:after="50"/>
              <w:rPr>
                <w:rFonts w:eastAsia="Times New Roman" w:cs="Times New Roman"/>
                <w:sz w:val="22"/>
              </w:rPr>
            </w:pPr>
            <w:r w:rsidRPr="000D1988">
              <w:rPr>
                <w:rFonts w:eastAsia="Times New Roman" w:cs="Times New Roman"/>
                <w:sz w:val="22"/>
              </w:rPr>
              <w:t>Finnish</w:t>
            </w:r>
          </w:p>
        </w:tc>
        <w:tc>
          <w:tcPr>
            <w:tcW w:w="1350" w:type="dxa"/>
          </w:tcPr>
          <w:p w14:paraId="4133009C" w14:textId="3C633021"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"abstract" : "Sarcoidosis is a multi-facets disease. Along with environment, the role of genetic component in this immune-mediated granulomatous disorder is undisputable, irrespective of the tissue/ organ involved (lung, eyes, heart, etc.). Due to undefined etiology of this complex disorder, it has remained as challenge to control the disease progression. Further, identification of prognostic genetic maker for this disease at functional as well as non-functional level has remained intriguing. To understand the sarcoidosis susceptibility at genetic level, several molecular approaches, such as meta-analysis of GWAS, significant association of coding and rare variants, fine mapping of susceptible loci, gene networking and their associated mechanism, copy number variations, single nucleotide polymorphisms in miRNAs (mirSNPs) and epigenetic changes in case control studies across cohorts of different ethnic groups would reveal a better insight.", "author" : [ { "dropping-particle" : "", "family" : "Kishore", "given" : "Amit", "non-dropping-particle" : "", "parse-names" : false, "suffix" : "" }, { "dropping-particle" : "", "family" : "Petrek", "given" : "Martin", "non-dropping-particle" : "", "parse-names" : false, "suffix" : "" } ], "container-title" : "International Trends in Immunity", "id" : "ITEM-1", "issue" : "4", "issued" : { "date-parts" : [ [ "2013" ] ] }, "page" : "43-53", "title" : "Immunogenetics of Saarcoidosis", "type" : "article-journal", "volume" : "1" }, "uris" : [ "http://www.mendeley.com/documents/?uuid=56b661c0-7ce1-3f1e-b01e-f1a5f2ec5785" ] } ], "mendeley" : { "formattedCitation" : "(4)", "plainTextFormattedCitation" : "(4)", "previouslyFormattedCitation" : "(2)"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(4)</w:t>
            </w:r>
            <w:r w:rsidRPr="000D1988">
              <w:rPr>
                <w:rFonts w:eastAsia="Times New Roman" w:cs="Times New Roman"/>
                <w:color w:val="000000"/>
                <w:sz w:val="22"/>
              </w:rPr>
              <w:fldChar w:fldCharType="end"/>
            </w:r>
          </w:p>
        </w:tc>
      </w:tr>
      <w:tr w:rsidR="00EF037E" w:rsidRPr="000D1988" w14:paraId="0879D61E" w14:textId="77777777" w:rsidTr="00DE09CD">
        <w:tc>
          <w:tcPr>
            <w:tcW w:w="1084" w:type="dxa"/>
            <w:tcBorders>
              <w:top w:val="nil"/>
              <w:bottom w:val="nil"/>
            </w:tcBorders>
          </w:tcPr>
          <w:p w14:paraId="2D13863E" w14:textId="77777777" w:rsidR="00EF037E" w:rsidRPr="000D1988" w:rsidRDefault="00EF037E" w:rsidP="00DE09CD">
            <w:pPr>
              <w:widowControl w:val="0"/>
              <w:autoSpaceDE w:val="0"/>
              <w:autoSpaceDN w:val="0"/>
              <w:adjustRightInd w:val="0"/>
              <w:spacing w:before="50" w:after="50"/>
              <w:jc w:val="both"/>
              <w:rPr>
                <w:rFonts w:eastAsia="Times New Roman" w:cs="Times New Roman"/>
                <w:noProof/>
                <w:sz w:val="22"/>
              </w:rPr>
            </w:pPr>
            <w:r w:rsidRPr="000D1988">
              <w:rPr>
                <w:rFonts w:eastAsia="Times New Roman" w:cs="Times New Roman"/>
                <w:noProof/>
                <w:sz w:val="22"/>
              </w:rPr>
              <w:t>haplotype</w:t>
            </w:r>
          </w:p>
        </w:tc>
        <w:tc>
          <w:tcPr>
            <w:tcW w:w="3243" w:type="dxa"/>
            <w:gridSpan w:val="2"/>
          </w:tcPr>
          <w:p w14:paraId="6111BA9C"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HLA-DRB1*15</w:t>
            </w:r>
            <w:r w:rsidR="00864AE9" w:rsidRPr="000D1988">
              <w:rPr>
                <w:rFonts w:eastAsia="Times New Roman" w:cs="Times New Roman"/>
                <w:color w:val="000000"/>
                <w:sz w:val="22"/>
              </w:rPr>
              <w:t>:</w:t>
            </w:r>
            <w:r w:rsidRPr="000D1988">
              <w:rPr>
                <w:rFonts w:eastAsia="Times New Roman" w:cs="Times New Roman"/>
                <w:color w:val="000000"/>
                <w:sz w:val="22"/>
              </w:rPr>
              <w:t>01-DQB1*06</w:t>
            </w:r>
            <w:r w:rsidR="00864AE9" w:rsidRPr="000D1988">
              <w:rPr>
                <w:rFonts w:eastAsia="Times New Roman" w:cs="Times New Roman"/>
                <w:color w:val="000000"/>
                <w:sz w:val="22"/>
              </w:rPr>
              <w:t>:</w:t>
            </w:r>
            <w:r w:rsidRPr="000D1988">
              <w:rPr>
                <w:rFonts w:eastAsia="Times New Roman" w:cs="Times New Roman"/>
                <w:color w:val="000000"/>
                <w:sz w:val="22"/>
              </w:rPr>
              <w:t>02</w:t>
            </w:r>
          </w:p>
        </w:tc>
        <w:tc>
          <w:tcPr>
            <w:tcW w:w="3503" w:type="dxa"/>
          </w:tcPr>
          <w:p w14:paraId="0030D475"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Strong marker for severe pulmonary sarcoidosis</w:t>
            </w:r>
          </w:p>
        </w:tc>
        <w:tc>
          <w:tcPr>
            <w:tcW w:w="1924" w:type="dxa"/>
          </w:tcPr>
          <w:p w14:paraId="6C53418D" w14:textId="77777777" w:rsidR="00EF037E" w:rsidRPr="000D1988" w:rsidRDefault="00EF037E" w:rsidP="00DE09CD">
            <w:pPr>
              <w:spacing w:before="50" w:after="50"/>
              <w:rPr>
                <w:rFonts w:eastAsia="Times New Roman" w:cs="Times New Roman"/>
                <w:sz w:val="22"/>
              </w:rPr>
            </w:pPr>
            <w:r w:rsidRPr="000D1988">
              <w:rPr>
                <w:rFonts w:eastAsia="Times New Roman" w:cs="Times New Roman"/>
                <w:sz w:val="22"/>
              </w:rPr>
              <w:t>Dutch</w:t>
            </w:r>
          </w:p>
        </w:tc>
        <w:tc>
          <w:tcPr>
            <w:tcW w:w="1350" w:type="dxa"/>
          </w:tcPr>
          <w:p w14:paraId="5106AF24" w14:textId="1FA3BE6C"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"abstract" : "Sarcoidosis is a multi-facets disease. Along with environment, the role of genetic component in this immune-mediated granulomatous disorder is undisputable, irrespective of the tissue/ organ involved (lung, eyes, heart, etc.). Due to undefined etiology of this complex disorder, it has remained as challenge to control the disease progression. Further, identification of prognostic genetic maker for this disease at functional as well as non-functional level has remained intriguing. To understand the sarcoidosis susceptibility at genetic level, several molecular approaches, such as meta-analysis of GWAS, significant association of coding and rare variants, fine mapping of susceptible loci, gene networking and their associated mechanism, copy number variations, single nucleotide polymorphisms in miRNAs (mirSNPs) and epigenetic changes in case control studies across cohorts of different ethnic groups would reveal a better insight.", "author" : [ { "dropping-particle" : "", "family" : "Kishore", "given" : "Amit", "non-dropping-particle" : "", "parse-names" : false, "suffix" : "" }, { "dropping-particle" : "", "family" : "Petrek", "given" : "Martin", "non-dropping-particle" : "", "parse-names" : false, "suffix" : "" } ], "container-title" : "International Trends in Immunity", "id" : "ITEM-1", "issue" : "4", "issued" : { "date-parts" : [ [ "2013" ] ] }, "page" : "43-53", "title" : "Immunogenetics of Saarcoidosis", "type" : "article-journal", "volume" : "1" }, "uris" : [ "http://www.mendeley.com/documents/?uuid=56b661c0-7ce1-3f1e-b01e-f1a5f2ec5785" ] } ], "mendeley" : { "formattedCitation" : "(4)", "plainTextFormattedCitation" : "(4)", "previouslyFormattedCitation" : "(2)"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(4)</w:t>
            </w:r>
            <w:r w:rsidRPr="000D1988">
              <w:rPr>
                <w:rFonts w:eastAsia="Times New Roman" w:cs="Times New Roman"/>
                <w:color w:val="000000"/>
                <w:sz w:val="22"/>
              </w:rPr>
              <w:fldChar w:fldCharType="end"/>
            </w:r>
          </w:p>
        </w:tc>
      </w:tr>
      <w:tr w:rsidR="00EF037E" w:rsidRPr="000D1988" w14:paraId="39EB60B7" w14:textId="77777777" w:rsidTr="00DE09CD">
        <w:tc>
          <w:tcPr>
            <w:tcW w:w="1084" w:type="dxa"/>
            <w:tcBorders>
              <w:top w:val="nil"/>
              <w:bottom w:val="nil"/>
            </w:tcBorders>
          </w:tcPr>
          <w:p w14:paraId="4517EECD" w14:textId="77777777" w:rsidR="00EF037E" w:rsidRPr="000D1988" w:rsidRDefault="00EF037E" w:rsidP="00DE09CD">
            <w:pPr>
              <w:widowControl w:val="0"/>
              <w:autoSpaceDE w:val="0"/>
              <w:autoSpaceDN w:val="0"/>
              <w:adjustRightInd w:val="0"/>
              <w:spacing w:before="50" w:after="50"/>
              <w:jc w:val="both"/>
              <w:rPr>
                <w:rFonts w:eastAsia="Times New Roman" w:cs="Times New Roman"/>
                <w:b/>
                <w:noProof/>
                <w:sz w:val="22"/>
              </w:rPr>
            </w:pPr>
          </w:p>
        </w:tc>
        <w:tc>
          <w:tcPr>
            <w:tcW w:w="3243" w:type="dxa"/>
            <w:gridSpan w:val="2"/>
          </w:tcPr>
          <w:p w14:paraId="42310743"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HLA-DRB1*04-DQB1*03</w:t>
            </w:r>
            <w:r w:rsidR="00864AE9" w:rsidRPr="000D1988">
              <w:rPr>
                <w:rFonts w:eastAsia="Times New Roman" w:cs="Times New Roman"/>
                <w:color w:val="000000"/>
                <w:sz w:val="22"/>
              </w:rPr>
              <w:t>:</w:t>
            </w:r>
            <w:r w:rsidRPr="000D1988">
              <w:rPr>
                <w:rFonts w:eastAsia="Times New Roman" w:cs="Times New Roman"/>
                <w:color w:val="000000"/>
                <w:sz w:val="22"/>
              </w:rPr>
              <w:t>01</w:t>
            </w:r>
          </w:p>
        </w:tc>
        <w:tc>
          <w:tcPr>
            <w:tcW w:w="3503" w:type="dxa"/>
          </w:tcPr>
          <w:p w14:paraId="6DF0788B"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 xml:space="preserve">Risk for disease manifestation; overall </w:t>
            </w:r>
            <w:r w:rsidRPr="000D1988">
              <w:rPr>
                <w:rFonts w:cs="Times New Roman"/>
                <w:sz w:val="22"/>
              </w:rPr>
              <w:t>lower risk</w:t>
            </w:r>
          </w:p>
        </w:tc>
        <w:tc>
          <w:tcPr>
            <w:tcW w:w="1924" w:type="dxa"/>
          </w:tcPr>
          <w:p w14:paraId="3D4D5938" w14:textId="77777777" w:rsidR="00EF037E" w:rsidRPr="000D1988" w:rsidRDefault="00EF037E" w:rsidP="00DE09CD">
            <w:pPr>
              <w:spacing w:before="50" w:after="50"/>
              <w:rPr>
                <w:rFonts w:eastAsia="Times New Roman" w:cs="Times New Roman"/>
                <w:sz w:val="22"/>
              </w:rPr>
            </w:pPr>
            <w:r w:rsidRPr="000D1988">
              <w:rPr>
                <w:rFonts w:eastAsia="Times New Roman" w:cs="Times New Roman"/>
                <w:sz w:val="22"/>
              </w:rPr>
              <w:t xml:space="preserve">British, Japanese </w:t>
            </w:r>
          </w:p>
        </w:tc>
        <w:tc>
          <w:tcPr>
            <w:tcW w:w="1350" w:type="dxa"/>
          </w:tcPr>
          <w:p w14:paraId="5B648266" w14:textId="0C11E0A6"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"DOI" : "10.1093/hmg/ddq325", "ISBN" : "2073518354", "ISSN" : "09646906", "PMID" : "20685690", "abstract" : "The HLA class II (DRB1 and DQB1) associations with sarcoidosis have been studied by several groups but often without consistent results. In this paper, we consider the hypothesis that observed inconsistencies relate to distinct, genetically encoded disease phenotypes which differ in prevalence between centres. We therefore typed HLA-DRB1 and DQB1 in 340 UK, 139 Dutch and 163 Japanese sarcoidosis patients and, respectively, 354, 218 and 168 healthy controls from these populations. We applied consistent phenotyping and genotyping and investigated associations between HLA class II alleles and distinct disease phenotypes within and between ethnic groups. DRB1*01 and DQB1*0501 are protective against all manifestations of sarcoidosis. Lung-predominant sarcoidosis is associated with DRB1*12 and *14. L\u00f6fgren's syndrome is a common sarcoidosis phenotype in the Dutch and is strongly associated with the DRB1*0301 allele. This phenotype is not seen among the Japanese in whom DRB1*0301 is absent. The same allele is protective for UK uveitis. Sarcoid uveitis is common in Japan. The DRB1*04-DQB1*0301 haplotype is a risk factor for this disease manifestation in Japanese and UK subjects but protective for sarcoidosis overall. We show that distinct sarcoidosis phenotypes have similar genetic associations across ethnic groups. The disease case mix differs between centres and may be explained by different ethnic allelic frequencies.", "author" : [ { "dropping-particle" : "", "family" : "Sato", "given" : "Hiroe", "non-dropping-particle" : "", "parse-names" : false, "suffix" : "" }, { "dropping-particle" : "", "family" : "Woodhead", "given" : "Felix A.", "non-dropping-particle" : "", "parse-names" : false, "suffix" : "" }, { "dropping-particle" : "", "family" : "Ahmad", "given" : "Tariq", "non-dropping-particle" : "", "parse-names" : false, "suffix" : "" }, { "dropping-particle" : "", "family" : "Grutters", "given" : "Jan C.", "non-dropping-particle" : "", "parse-names" : false, "suffix" : "" }, { "dropping-particle" : "", "family" : "Spagnolo", "given" : "Paolo", "non-dropping-particle" : "", "parse-names" : false, "suffix" : "" }, { "dropping-particle" : "", "family" : "Bosch", "given" : "Jules M.M.", "non-dropping-particle" : "van den", "parse-names" : false, "suffix" : "" }, { "dropping-particle" : "", "family" : "Maier", "given" : "Lisa A.", "non-dropping-particle" : "", "parse-names" : false, "suffix" : "" }, { "dropping-particle" : "", "family" : "Newman", "given" : "Lee S.", "non-dropping-particle" : "", "parse-names" : false, "suffix" : "" }, { "dropping-particle" : "", "family" : "Nagai", "given" : "Sonoko", "non-dropping-particle" : "", "parse-names" : false, "suffix" : "" }, { "dropping-particle" : "", "family" : "Izumi", "given" : "Takateru", "non-dropping-particle" : "", "parse-names" : false, "suffix" : "" }, { "dropping-particle" : "", "family" : "Wells", "given" : "Athol U.", "non-dropping-particle" : "", "parse-names" : false, "suffix" : "" }, { "dropping-particle" : "", "family" : "Bois", "given" : "Roland M.", "non-dropping-particle" : "du", "parse-names" : false, "suffix" : "" }, { "dropping-particle" : "", "family" : "Welsh", "given" : "Kenneth I.", "non-dropping-particle" : "", "parse-names" : false, "suffix" : "" } ], "container-title" : "Human Molecular Genetics", "id" : "ITEM-1", "issue" : "20", "issued" : { "date-parts" : [ [ "2010" ] ] }, "page" : "4100-4111", "title" : "Sarcoidosis HLA class II genotyping distinguishes differences of clinical phenotype across ethnic groups", "type" : "article-journal", "volume" : "19" }, "uris" : [ "http://www.mendeley.com/documents/?uuid=9239fee3-d02e-4a77-b7ca-e8007bebabca" ] }, { "id" : "ITEM-2", "itemData" : { "abstract" : "Sarcoidosis is a multi-facets disease. Along with environment, the role of genetic component in this immune-mediated granulomatous disorder is undisputable, irrespective of the tissue/ organ involved (lung, eyes, heart, etc.). Due to undefined etiology of this complex disorder, it has remained as challenge to control the disease progression. Further, identification of prognostic genetic maker for this disease at functional as well as non-functional level has remained intriguing. To understand the sarcoidosis susceptibility at genetic level, several molecular approaches, such as meta-analysis of GWAS, significant association of coding and rare variants, fine mapping of susceptible loci, gene networking and their associated mechanism, copy number variations, single nucleotide polymorphisms in miRNAs (mirSNPs) and epigenetic changes in case control studies across cohorts of different ethnic groups would reveal a better insight.", "author" : [ { "dropping-particle" : "", "family" : "Kishore", "given" : "Amit", "non-dropping-particle" : "", "parse-names" : false, "suffix" : "" }, { "dropping-particle" : "", "family" : "Petrek", "given" : "Martin", "non-dropping-particle" : "", "parse-names" : false, "suffix" : "" } ], "container-title" : "International Trends in Immunity", "id" : "ITEM-2", "issue" : "4", "issued" : { "date-parts" : [ [ "2013" ] ] }, "page" : "43-53", "title" : "Immunogenetics of Saarcoidosis", "type" : "article-journal", "volume" : "1" }, "uris" : [ "http://www.mendeley.com/documents/?uuid=56b661c0-7ce1-3f1e-b01e-f1a5f2ec5785" ] } ], "mendeley" : { "formattedCitation" : "(4,10)", "plainTextFormattedCitation" : "(4,10)", "previouslyFormattedCitation" : "(2,8)"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(4,10)</w:t>
            </w:r>
            <w:r w:rsidRPr="000D1988">
              <w:rPr>
                <w:rFonts w:eastAsia="Times New Roman" w:cs="Times New Roman"/>
                <w:color w:val="000000"/>
                <w:sz w:val="22"/>
              </w:rPr>
              <w:fldChar w:fldCharType="end"/>
            </w:r>
          </w:p>
        </w:tc>
      </w:tr>
      <w:tr w:rsidR="00EF037E" w:rsidRPr="000D1988" w14:paraId="5364728F" w14:textId="77777777" w:rsidTr="00DE09CD">
        <w:tc>
          <w:tcPr>
            <w:tcW w:w="1084" w:type="dxa"/>
            <w:tcBorders>
              <w:top w:val="nil"/>
              <w:bottom w:val="nil"/>
            </w:tcBorders>
          </w:tcPr>
          <w:p w14:paraId="15EA2845" w14:textId="77777777" w:rsidR="00EF037E" w:rsidRPr="000D1988" w:rsidRDefault="00EF037E" w:rsidP="00DE09CD">
            <w:pPr>
              <w:widowControl w:val="0"/>
              <w:autoSpaceDE w:val="0"/>
              <w:autoSpaceDN w:val="0"/>
              <w:adjustRightInd w:val="0"/>
              <w:spacing w:before="50" w:after="50"/>
              <w:jc w:val="both"/>
              <w:rPr>
                <w:rFonts w:eastAsia="Times New Roman" w:cs="Times New Roman"/>
                <w:b/>
                <w:noProof/>
                <w:sz w:val="22"/>
              </w:rPr>
            </w:pPr>
          </w:p>
        </w:tc>
        <w:tc>
          <w:tcPr>
            <w:tcW w:w="3243" w:type="dxa"/>
            <w:gridSpan w:val="2"/>
          </w:tcPr>
          <w:p w14:paraId="5317A619"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HLA-DRB1*03</w:t>
            </w:r>
            <w:r w:rsidR="00864AE9" w:rsidRPr="000D1988">
              <w:rPr>
                <w:rFonts w:eastAsia="Times New Roman" w:cs="Times New Roman"/>
                <w:color w:val="000000"/>
                <w:sz w:val="22"/>
              </w:rPr>
              <w:t>:</w:t>
            </w:r>
            <w:r w:rsidRPr="000D1988">
              <w:rPr>
                <w:rFonts w:eastAsia="Times New Roman" w:cs="Times New Roman"/>
                <w:color w:val="000000"/>
                <w:sz w:val="22"/>
              </w:rPr>
              <w:t>01-DRB3*01</w:t>
            </w:r>
            <w:r w:rsidR="00864AE9" w:rsidRPr="000D1988">
              <w:rPr>
                <w:rFonts w:eastAsia="Times New Roman" w:cs="Times New Roman"/>
                <w:color w:val="000000"/>
                <w:sz w:val="22"/>
              </w:rPr>
              <w:t>:</w:t>
            </w:r>
            <w:r w:rsidRPr="000D1988">
              <w:rPr>
                <w:rFonts w:eastAsia="Times New Roman" w:cs="Times New Roman"/>
                <w:color w:val="000000"/>
                <w:sz w:val="22"/>
              </w:rPr>
              <w:t>01</w:t>
            </w:r>
          </w:p>
        </w:tc>
        <w:tc>
          <w:tcPr>
            <w:tcW w:w="3503" w:type="dxa"/>
          </w:tcPr>
          <w:p w14:paraId="4D4BEE6A"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Pulmonary sarcoidosis</w:t>
            </w:r>
          </w:p>
        </w:tc>
        <w:tc>
          <w:tcPr>
            <w:tcW w:w="1924" w:type="dxa"/>
          </w:tcPr>
          <w:p w14:paraId="75063079" w14:textId="77777777" w:rsidR="00EF037E" w:rsidRPr="000D1988" w:rsidRDefault="00EF037E" w:rsidP="00DE09CD">
            <w:pPr>
              <w:spacing w:before="50" w:after="50"/>
              <w:rPr>
                <w:rFonts w:eastAsia="Times New Roman" w:cs="Times New Roman"/>
                <w:sz w:val="22"/>
              </w:rPr>
            </w:pPr>
            <w:r w:rsidRPr="000D1988">
              <w:rPr>
                <w:rFonts w:eastAsia="Times New Roman" w:cs="Times New Roman"/>
                <w:sz w:val="22"/>
              </w:rPr>
              <w:t>Multiple</w:t>
            </w:r>
          </w:p>
        </w:tc>
        <w:tc>
          <w:tcPr>
            <w:tcW w:w="1350" w:type="dxa"/>
          </w:tcPr>
          <w:p w14:paraId="097E753E" w14:textId="78FD1DF9"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"abstract" : "Sarcoidosis is a multi-facets disease. Along with environment, the role of genetic component in this immune-mediated granulomatous disorder is undisputable, irrespective of the tissue/ organ involved (lung, eyes, heart, etc.). Due to undefined etiology of this complex disorder, it has remained as challenge to control the disease progression. Further, identification of prognostic genetic maker for this disease at functional as well as non-functional level has remained intriguing. To understand the sarcoidosis susceptibility at genetic level, several molecular approaches, such as meta-analysis of GWAS, significant association of coding and rare variants, fine mapping of susceptible loci, gene networking and their associated mechanism, copy number variations, single nucleotide polymorphisms in miRNAs (mirSNPs) and epigenetic changes in case control studies across cohorts of different ethnic groups would reveal a better insight.", "author" : [ { "dropping-particle" : "", "family" : "Kishore", "given" : "Amit", "non-dropping-particle" : "", "parse-names" : false, "suffix" : "" }, { "dropping-particle" : "", "family" : "Petrek", "given" : "Martin", "non-dropping-particle" : "", "parse-names" : false, "suffix" : "" } ], "container-title" : "International Trends in Immunity", "id" : "ITEM-1", "issue" : "4", "issued" : { "date-parts" : [ [ "2013" ] ] }, "page" : "43-53", "title" : "Immunogenetics of Saarcoidosis", "type" : "article-journal", "volume" : "1" }, "uris" : [ "http://www.mendeley.com/documents/?uuid=56b661c0-7ce1-3f1e-b01e-f1a5f2ec5785" ] } ], "mendeley" : { "formattedCitation" : "(4)", "plainTextFormattedCitation" : "(4)", "previouslyFormattedCitation" : "(2)"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(4)</w:t>
            </w:r>
            <w:r w:rsidRPr="000D1988">
              <w:rPr>
                <w:rFonts w:eastAsia="Times New Roman" w:cs="Times New Roman"/>
                <w:color w:val="000000"/>
                <w:sz w:val="22"/>
              </w:rPr>
              <w:fldChar w:fldCharType="end"/>
            </w:r>
          </w:p>
        </w:tc>
      </w:tr>
      <w:tr w:rsidR="00EF037E" w:rsidRPr="000D1988" w14:paraId="235ED59C" w14:textId="77777777" w:rsidTr="00DE09CD">
        <w:tc>
          <w:tcPr>
            <w:tcW w:w="1084" w:type="dxa"/>
            <w:tcBorders>
              <w:top w:val="nil"/>
              <w:bottom w:val="nil"/>
            </w:tcBorders>
          </w:tcPr>
          <w:p w14:paraId="4F8BCA24" w14:textId="77777777" w:rsidR="00EF037E" w:rsidRPr="000D1988" w:rsidRDefault="00EF037E" w:rsidP="00DE09CD">
            <w:pPr>
              <w:widowControl w:val="0"/>
              <w:autoSpaceDE w:val="0"/>
              <w:autoSpaceDN w:val="0"/>
              <w:adjustRightInd w:val="0"/>
              <w:spacing w:before="50" w:after="50"/>
              <w:jc w:val="both"/>
              <w:rPr>
                <w:rFonts w:eastAsia="Times New Roman" w:cs="Times New Roman"/>
                <w:b/>
                <w:noProof/>
                <w:sz w:val="22"/>
              </w:rPr>
            </w:pPr>
          </w:p>
        </w:tc>
        <w:tc>
          <w:tcPr>
            <w:tcW w:w="3243" w:type="dxa"/>
            <w:gridSpan w:val="2"/>
          </w:tcPr>
          <w:p w14:paraId="40D69A06"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HLA-DRB1*03</w:t>
            </w:r>
            <w:r w:rsidR="00864AE9" w:rsidRPr="000D1988">
              <w:rPr>
                <w:rFonts w:eastAsia="Times New Roman" w:cs="Times New Roman"/>
                <w:color w:val="000000"/>
                <w:sz w:val="22"/>
              </w:rPr>
              <w:t>:</w:t>
            </w:r>
            <w:r w:rsidRPr="000D1988">
              <w:rPr>
                <w:rFonts w:eastAsia="Times New Roman" w:cs="Times New Roman"/>
                <w:color w:val="000000"/>
                <w:sz w:val="22"/>
              </w:rPr>
              <w:t>01-DQB1*02</w:t>
            </w:r>
            <w:r w:rsidR="00864AE9" w:rsidRPr="000D1988">
              <w:rPr>
                <w:rFonts w:eastAsia="Times New Roman" w:cs="Times New Roman"/>
                <w:color w:val="000000"/>
                <w:sz w:val="22"/>
              </w:rPr>
              <w:t>:</w:t>
            </w:r>
            <w:r w:rsidRPr="000D1988">
              <w:rPr>
                <w:rFonts w:eastAsia="Times New Roman" w:cs="Times New Roman"/>
                <w:color w:val="000000"/>
                <w:sz w:val="22"/>
              </w:rPr>
              <w:t>01</w:t>
            </w:r>
          </w:p>
        </w:tc>
        <w:tc>
          <w:tcPr>
            <w:tcW w:w="3503" w:type="dxa"/>
          </w:tcPr>
          <w:p w14:paraId="03DFB4F2"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LS</w:t>
            </w:r>
          </w:p>
        </w:tc>
        <w:tc>
          <w:tcPr>
            <w:tcW w:w="1924" w:type="dxa"/>
          </w:tcPr>
          <w:p w14:paraId="382D5672" w14:textId="77777777" w:rsidR="00EF037E" w:rsidRPr="000D1988" w:rsidRDefault="00EF037E" w:rsidP="00DE09CD">
            <w:pPr>
              <w:spacing w:before="50" w:after="50"/>
              <w:rPr>
                <w:rFonts w:eastAsia="Times New Roman" w:cs="Times New Roman"/>
                <w:sz w:val="22"/>
              </w:rPr>
            </w:pPr>
            <w:r w:rsidRPr="000D1988">
              <w:rPr>
                <w:rFonts w:eastAsia="Times New Roman" w:cs="Times New Roman"/>
                <w:sz w:val="22"/>
              </w:rPr>
              <w:t>Dutch</w:t>
            </w:r>
          </w:p>
        </w:tc>
        <w:tc>
          <w:tcPr>
            <w:tcW w:w="1350" w:type="dxa"/>
          </w:tcPr>
          <w:p w14:paraId="3E5A2589" w14:textId="4373DF5F"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"abstract" : "Sarcoidosis is a multi-facets disease. Along with environment, the role of genetic component in this immune-mediated granulomatous disorder is undisputable, irrespective of the tissue/ organ involved (lung, eyes, heart, etc.). Due to undefined etiology of this complex disorder, it has remained as challenge to control the disease progression. Further, identification of prognostic genetic maker for this disease at functional as well as non-functional level has remained intriguing. To understand the sarcoidosis susceptibility at genetic level, several molecular approaches, such as meta-analysis of GWAS, significant association of coding and rare variants, fine mapping of susceptible loci, gene networking and their associated mechanism, copy number variations, single nucleotide polymorphisms in miRNAs (mirSNPs) and epigenetic changes in case control studies across cohorts of different ethnic groups would reveal a better insight.", "author" : [ { "dropping-particle" : "", "family" : "Kishore", "given" : "Amit", "non-dropping-particle" : "", "parse-names" : false, "suffix" : "" }, { "dropping-particle" : "", "family" : "Petrek", "given" : "Martin", "non-dropping-particle" : "", "parse-names" : false, "suffix" : "" } ], "container-title" : "International Trends in Immunity", "id" : "ITEM-1", "issue" : "4", "issued" : { "date-parts" : [ [ "2013" ] ] }, "page" : "43-53", "title" : "Immunogenetics of Saarcoidosis", "type" : "article-journal", "volume" : "1" }, "uris" : [ "http://www.mendeley.com/documents/?uuid=56b661c0-7ce1-3f1e-b01e-f1a5f2ec5785" ] }, { "id" : "ITEM-2", "itemData" : { "DOI" : "10.1016/j.ccm.2015.08.002", "ISBN" : "9780323402408", "ISSN" : "1557-8216", "PMID" : "26593134", "abstract" : "Sarcoidosis is a disease with highly variable presentation and progression; although it is hypothesized that disease phenotype is related to genetic variation, how much of this variability is driven by genetic factors is not known. The HLA region is the most strongly and consistently associated genetic risk factor for sarcoidosis, supporting the notion that sarcoidosis is an exposure-mediated immunologic disease. Most of the genetic etiology of sarcoidosis remains unknown in terms of the specific variants that increase risk in various populations, their biologic functions, and how they interact with environmental exposures.", "author" : [ { "dropping-particle" : "", "family" : "Fingerlin", "given" : "Tasha E.", "non-dropping-particle" : "", "parse-names" : false, "suffix" : "" }, { "dropping-particle" : "", "family" : "Hamzeh", "given" : "Nabeel", "non-dropping-particle" : "", "parse-names" : false, "suffix" : "" }, { "dropping-particle" : "", "family" : "Maier", "given" : "Lisa A.", "non-dropping-particle" : "", "parse-names" : false, "suffix" : "" } ], "container-title" : "Clinics in chest medicine", "id" : "ITEM-2", "issue" : "4", "issued" : { "date-parts" : [ [ "2015", "12" ] ] }, "page" : "569-84", "title" : "Genetics of Sarcoidosis.", "type" : "article-journal", "volume" : "36" }, "uris" : [ "http://www.mendeley.com/documents/?uuid=0756ce18-1de6-32f0-b676-fd7177b527cc" ] }, { "id" : "ITEM-3", "itemData" : { "DOI" : "10.1093/hmg/ddq325", "ISBN" : "2073518354", "ISSN" : "09646906", "PMID" : "20685690", "abstract" : "The HLA class II (DRB1 and DQB1) associations with sarcoidosis have been studied by several groups but often without consistent results. In this paper, we consider the hypothesis that observed inconsistencies relate to distinct, genetically encoded disease phenotypes which differ in prevalence between centres. We therefore typed HLA-DRB1 and DQB1 in 340 UK, 139 Dutch and 163 Japanese sarcoidosis patients and, respectively, 354, 218 and 168 healthy controls from these populations. We applied consistent phenotyping and genotyping and investigated associations between HLA class II alleles and distinct disease phenotypes within and between ethnic groups. DRB1*01 and DQB1*0501 are protective against all manifestations of sarcoidosis. Lung-predominant sarcoidosis is associated with DRB1*12 and *14. L\u00f6fgren's syndrome is a common sarcoidosis phenotype in the Dutch and is strongly associated with the DRB1*0301 allele. This phenotype is not seen among the Japanese in whom DRB1*0301 is absent. The same allele is protective for UK uveitis. Sarcoid uveitis is common in Japan. The DRB1*04-DQB1*0301 haplotype is a risk factor for this disease manifestation in Japanese and UK subjects but protective for sarcoidosis overall. We show that distinct sarcoidosis phenotypes have similar genetic associations across ethnic groups. The disease case mix differs between centres and may be explained by different ethnic allelic frequencies.", "author" : [ { "dropping-particle" : "", "family" : "Sato", "given" : "Hiroe", "non-dropping-particle" : "", "parse-names" : false, "suffix" : "" }, { "dropping-particle" : "", "family" : "Woodhead", "given" : "Felix A.", "non-dropping-particle" : "", "parse-names" : false, "suffix" : "" }, { "dropping-particle" : "", "family" : "Ahmad", "given" : "Tariq", "non-dropping-particle" : "", "parse-names" : false, "suffix" : "" }, { "dropping-particle" : "", "family" : "Grutters", "given" : "Jan C.", "non-dropping-particle" : "", "parse-names" : false, "suffix" : "" }, { "dropping-particle" : "", "family" : "Spagnolo", "given" : "Paolo", "non-dropping-particle" : "", "parse-names" : false, "suffix" : "" }, { "dropping-particle" : "", "family" : "Bosch", "given" : "Jules M.M.", "non-dropping-particle" : "van den", "parse-names" : false, "suffix" : "" }, { "dropping-particle" : "", "family" : "Maier", "given" : "Lisa A.", "non-dropping-particle" : "", "parse-names" : false, "suffix" : "" }, { "dropping-particle" : "", "family" : "Newman", "given" : "Lee S.", "non-dropping-particle" : "", "parse-names" : false, "suffix" : "" }, { "dropping-particle" : "", "family" : "Nagai", "given" : "Sonoko", "non-dropping-particle" : "", "parse-names" : false, "suffix" : "" }, { "dropping-particle" : "", "family" : "Izumi", "given" : "Takateru", "non-dropping-particle" : "", "parse-names" : false, "suffix" : "" }, { "dropping-particle" : "", "family" : "Wells", "given" : "Athol U.", "non-dropping-particle" : "", "parse-names" : false, "suffix" : "" }, { "dropping-particle" : "", "family" : "Bois", "given" : "Roland M.", "non-dropping-particle" : "du", "parse-names" : false, "suffix" : "" }, { "dropping-particle" : "", "family" : "Welsh", "given" : "Kenneth I.", "non-dropping-particle" : "", "parse-names" : false, "suffix" : "" } ], "container-title" : "Human Molecular Genetics", "id" : "ITEM-3", "issue" : "20", "issued" : { "date-parts" : [ [ "2010" ] ] }, "page" : "4100-4111", "title" : "Sarcoidosis HLA class II genotyping distinguishes differences of clinical phenotype across ethnic groups", "type" : "article-journal", "volume" : "19" }, "uris" : [ "http://www.mendeley.com/documents/?uuid=9239fee3-d02e-4a77-b7ca-e8007bebabca" ] } ], "mendeley" : { "formattedCitation" : "(4,7,10)", "plainTextFormattedCitation" : "(4,7,10)", "previouslyFormattedCitation" : "(2,5,8)"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(4,7,10)</w:t>
            </w:r>
            <w:r w:rsidRPr="000D1988">
              <w:rPr>
                <w:rFonts w:eastAsia="Times New Roman" w:cs="Times New Roman"/>
                <w:color w:val="000000"/>
                <w:sz w:val="22"/>
              </w:rPr>
              <w:fldChar w:fldCharType="end"/>
            </w:r>
          </w:p>
        </w:tc>
      </w:tr>
      <w:tr w:rsidR="00EF037E" w:rsidRPr="000D1988" w14:paraId="217E5FCF" w14:textId="77777777" w:rsidTr="00DE09CD">
        <w:tc>
          <w:tcPr>
            <w:tcW w:w="1084" w:type="dxa"/>
            <w:tcBorders>
              <w:top w:val="nil"/>
            </w:tcBorders>
          </w:tcPr>
          <w:p w14:paraId="0835772D" w14:textId="77777777" w:rsidR="00EF037E" w:rsidRPr="000D1988" w:rsidRDefault="00EF037E" w:rsidP="00DE09CD">
            <w:pPr>
              <w:widowControl w:val="0"/>
              <w:autoSpaceDE w:val="0"/>
              <w:autoSpaceDN w:val="0"/>
              <w:adjustRightInd w:val="0"/>
              <w:spacing w:before="50" w:after="50"/>
              <w:jc w:val="both"/>
              <w:rPr>
                <w:rFonts w:eastAsia="Times New Roman" w:cs="Times New Roman"/>
                <w:b/>
                <w:noProof/>
                <w:sz w:val="22"/>
              </w:rPr>
            </w:pPr>
          </w:p>
        </w:tc>
        <w:tc>
          <w:tcPr>
            <w:tcW w:w="3243" w:type="dxa"/>
            <w:gridSpan w:val="2"/>
          </w:tcPr>
          <w:p w14:paraId="0629A0FD"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HLA-DQB1*06</w:t>
            </w:r>
            <w:r w:rsidR="00864AE9" w:rsidRPr="000D1988">
              <w:rPr>
                <w:rFonts w:eastAsia="Times New Roman" w:cs="Times New Roman"/>
                <w:color w:val="000000"/>
                <w:sz w:val="22"/>
              </w:rPr>
              <w:t>:</w:t>
            </w:r>
            <w:r w:rsidRPr="000D1988">
              <w:rPr>
                <w:rFonts w:eastAsia="Times New Roman" w:cs="Times New Roman"/>
                <w:color w:val="000000"/>
                <w:sz w:val="22"/>
              </w:rPr>
              <w:t>02-DRB1*15</w:t>
            </w:r>
          </w:p>
        </w:tc>
        <w:tc>
          <w:tcPr>
            <w:tcW w:w="3503" w:type="dxa"/>
          </w:tcPr>
          <w:p w14:paraId="0611C0C3" w14:textId="77777777"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t>Increased risk of Non-LS</w:t>
            </w:r>
          </w:p>
        </w:tc>
        <w:tc>
          <w:tcPr>
            <w:tcW w:w="1924" w:type="dxa"/>
          </w:tcPr>
          <w:p w14:paraId="721CAAD0" w14:textId="77777777" w:rsidR="00EF037E" w:rsidRPr="000D1988" w:rsidRDefault="00EF037E" w:rsidP="00DE09CD">
            <w:pPr>
              <w:spacing w:before="50" w:after="50"/>
              <w:rPr>
                <w:rFonts w:eastAsia="Times New Roman" w:cs="Times New Roman"/>
                <w:sz w:val="22"/>
              </w:rPr>
            </w:pPr>
            <w:r w:rsidRPr="000D1988">
              <w:rPr>
                <w:rFonts w:eastAsia="Times New Roman" w:cs="Times New Roman"/>
                <w:sz w:val="22"/>
              </w:rPr>
              <w:t>Dutch</w:t>
            </w:r>
          </w:p>
        </w:tc>
        <w:tc>
          <w:tcPr>
            <w:tcW w:w="1350" w:type="dxa"/>
          </w:tcPr>
          <w:p w14:paraId="50D1F3AF" w14:textId="41008364" w:rsidR="00EF037E" w:rsidRPr="000D1988" w:rsidRDefault="00EF037E" w:rsidP="00DE09CD">
            <w:pPr>
              <w:spacing w:before="50" w:after="50"/>
              <w:rPr>
                <w:rFonts w:eastAsia="Times New Roman" w:cs="Times New Roman"/>
                <w:color w:val="000000"/>
                <w:sz w:val="22"/>
              </w:rPr>
            </w:pPr>
            <w:r w:rsidRPr="000D1988">
              <w:rPr>
                <w:rFonts w:eastAsia="Times New Roman" w:cs="Times New Roman"/>
                <w:color w:val="000000"/>
                <w:sz w:val="22"/>
              </w:rPr>
              <w:fldChar w:fldCharType="begin" w:fldLock="1"/>
            </w:r>
            <w:r w:rsidR="00160B99" w:rsidRPr="000D1988">
              <w:rPr>
                <w:rFonts w:eastAsia="Times New Roman" w:cs="Times New Roman"/>
                <w:color w:val="000000"/>
                <w:sz w:val="22"/>
              </w:rPr>
              <w:instrText>ADDIN CSL_CITATION { "citationItems" : [ { "id" : "ITEM-1", "itemData" : { "DOI" : "10.1016/j.ccm.2015.08.002", "ISBN" : "9780323402408", "ISSN" : "1557-8216", "PMID" : "26593134", "abstract" : "Sarcoidosis is a disease with highly variable presentation and progression; although it is hypothesized that disease phenotype is related to genetic variation, how much of this variability is driven by genetic factors is not known. The HLA region is the most strongly and consistently associated genetic risk factor for sarcoidosis, supporting the notion that sarcoidosis is an exposure-mediated immunologic disease. Most of the genetic etiology of sarcoidosis remains unknown in terms of the specific variants that increase risk in various populations, their biologic functions, and how they interact with environmental exposures.", "author" : [ { "dropping-particle" : "", "family" : "Fingerlin", "given" : "Tasha E.", "non-dropping-particle" : "", "parse-names" : false, "suffix" : "" }, { "dropping-particle" : "", "family" : "Hamzeh", "given" : "Nabeel", "non-dropping-particle" : "", "parse-names" : false, "suffix" : "" }, { "dropping-particle" : "", "family" : "Maier", "given" : "Lisa A.", "non-dropping-particle" : "", "parse-names" : false, "suffix" : "" } ], "container-title" : "Clinics in chest medicine", "id" : "ITEM-1", "issue" : "4", "issued" : { "date-parts" : [ [ "2015", "12" ] ] }, "page" : "569-84", "title" : "Genetics of Sarcoidosis.", "type" : "article-journal", "volume" : "36" }, "uris" : [ "http://www.mendeley.com/documents/?uuid=0756ce18-1de6-32f0-b676-fd7177b527cc" ] } ], "mendeley" : { "formattedCitation" : "(7)", "plainTextFormattedCitation" : "(7)", "previouslyFormattedCitation" : "(5)" }, "properties" : { "noteIndex" : 0 }, "schema" : "https://github.com/citation-style-language/schema/raw/master/csl-citation.json" }</w:instrText>
            </w:r>
            <w:r w:rsidRPr="000D1988">
              <w:rPr>
                <w:rFonts w:eastAsia="Times New Roman" w:cs="Times New Roman"/>
                <w:color w:val="000000"/>
                <w:sz w:val="22"/>
              </w:rPr>
              <w:fldChar w:fldCharType="separate"/>
            </w:r>
            <w:r w:rsidR="00160B99" w:rsidRPr="000D1988">
              <w:rPr>
                <w:rFonts w:eastAsia="Times New Roman" w:cs="Times New Roman"/>
                <w:noProof/>
                <w:color w:val="000000"/>
                <w:sz w:val="22"/>
              </w:rPr>
              <w:t>(7)</w:t>
            </w:r>
            <w:r w:rsidRPr="000D1988">
              <w:rPr>
                <w:rFonts w:eastAsia="Times New Roman" w:cs="Times New Roman"/>
                <w:color w:val="000000"/>
                <w:sz w:val="22"/>
              </w:rPr>
              <w:fldChar w:fldCharType="end"/>
            </w:r>
          </w:p>
        </w:tc>
      </w:tr>
    </w:tbl>
    <w:p w14:paraId="082E5CDF" w14:textId="77777777" w:rsidR="00EF037E" w:rsidRPr="000D1988" w:rsidRDefault="00EF037E" w:rsidP="00E51F7A">
      <w:pPr>
        <w:widowControl w:val="0"/>
        <w:autoSpaceDE w:val="0"/>
        <w:autoSpaceDN w:val="0"/>
        <w:adjustRightInd w:val="0"/>
        <w:spacing w:after="120"/>
        <w:ind w:right="-213"/>
        <w:jc w:val="both"/>
        <w:rPr>
          <w:rFonts w:eastAsia="Times New Roman" w:cs="Times New Roman"/>
          <w:color w:val="000000"/>
          <w:sz w:val="22"/>
        </w:rPr>
      </w:pPr>
      <w:r w:rsidRPr="000D1988">
        <w:rPr>
          <w:rFonts w:eastAsia="Times New Roman" w:cs="Times New Roman"/>
          <w:noProof/>
          <w:sz w:val="22"/>
        </w:rPr>
        <w:t>Abbreviations as AA, African Americans; EA, Americans of European ancestry; HLA, human leukocyte antigen (</w:t>
      </w:r>
      <w:r w:rsidRPr="000D1988">
        <w:rPr>
          <w:rFonts w:cs="Times New Roman"/>
          <w:sz w:val="22"/>
        </w:rPr>
        <w:t>major histocompatibility complex)</w:t>
      </w:r>
      <w:r w:rsidRPr="000D1988">
        <w:rPr>
          <w:rFonts w:eastAsia="Times New Roman" w:cs="Times New Roman"/>
          <w:noProof/>
          <w:sz w:val="22"/>
        </w:rPr>
        <w:t>; LS,</w:t>
      </w:r>
      <w:r w:rsidRPr="000D1988">
        <w:rPr>
          <w:rFonts w:eastAsia="Times New Roman" w:cs="Times New Roman"/>
          <w:b/>
          <w:noProof/>
          <w:sz w:val="22"/>
        </w:rPr>
        <w:t xml:space="preserve"> </w:t>
      </w:r>
      <w:proofErr w:type="spellStart"/>
      <w:r w:rsidRPr="000D1988">
        <w:rPr>
          <w:rFonts w:eastAsia="Times New Roman" w:cs="Times New Roman"/>
          <w:color w:val="000000"/>
          <w:sz w:val="22"/>
        </w:rPr>
        <w:t>Löfgren’s</w:t>
      </w:r>
      <w:proofErr w:type="spellEnd"/>
      <w:r w:rsidRPr="000D1988">
        <w:rPr>
          <w:rFonts w:eastAsia="Times New Roman" w:cs="Times New Roman"/>
          <w:color w:val="000000"/>
          <w:sz w:val="22"/>
        </w:rPr>
        <w:t xml:space="preserve"> syndrome; </w:t>
      </w:r>
      <w:proofErr w:type="spellStart"/>
      <w:r w:rsidRPr="000D1988">
        <w:rPr>
          <w:rFonts w:eastAsia="Times New Roman" w:cs="Times New Roman"/>
          <w:color w:val="000000"/>
          <w:sz w:val="22"/>
        </w:rPr>
        <w:t>rs</w:t>
      </w:r>
      <w:proofErr w:type="spellEnd"/>
      <w:r w:rsidRPr="000D1988">
        <w:rPr>
          <w:rFonts w:eastAsia="Times New Roman" w:cs="Times New Roman"/>
          <w:color w:val="000000"/>
          <w:sz w:val="22"/>
        </w:rPr>
        <w:t xml:space="preserve">, reference </w:t>
      </w:r>
      <w:r w:rsidR="00012187" w:rsidRPr="000D1988">
        <w:rPr>
          <w:rFonts w:eastAsia="Times New Roman" w:cs="Times New Roman"/>
          <w:color w:val="000000"/>
          <w:sz w:val="22"/>
        </w:rPr>
        <w:t>SNP</w:t>
      </w:r>
      <w:r w:rsidRPr="000D1988">
        <w:rPr>
          <w:rFonts w:eastAsia="Times New Roman" w:cs="Times New Roman"/>
          <w:color w:val="000000"/>
          <w:sz w:val="22"/>
        </w:rPr>
        <w:t>; UTR, untranslated region.</w:t>
      </w:r>
    </w:p>
    <w:p w14:paraId="20BFB8AB" w14:textId="77777777" w:rsidR="002F539E" w:rsidRPr="000D1988" w:rsidRDefault="002F539E" w:rsidP="00EF037E">
      <w:pPr>
        <w:widowControl w:val="0"/>
        <w:autoSpaceDE w:val="0"/>
        <w:autoSpaceDN w:val="0"/>
        <w:adjustRightInd w:val="0"/>
        <w:spacing w:after="120" w:line="360" w:lineRule="auto"/>
        <w:jc w:val="both"/>
        <w:rPr>
          <w:rFonts w:eastAsia="Times New Roman" w:cs="Times New Roman"/>
          <w:b/>
          <w:noProof/>
          <w:sz w:val="22"/>
        </w:rPr>
      </w:pPr>
    </w:p>
    <w:p w14:paraId="75AD943A" w14:textId="1A856CA1" w:rsidR="00EF037E" w:rsidRPr="000D1988" w:rsidRDefault="00EF037E" w:rsidP="00EF037E">
      <w:pPr>
        <w:widowControl w:val="0"/>
        <w:autoSpaceDE w:val="0"/>
        <w:autoSpaceDN w:val="0"/>
        <w:adjustRightInd w:val="0"/>
        <w:spacing w:after="120" w:line="360" w:lineRule="auto"/>
        <w:jc w:val="both"/>
        <w:rPr>
          <w:rFonts w:eastAsia="Times New Roman" w:cs="Times New Roman"/>
          <w:noProof/>
          <w:sz w:val="22"/>
        </w:rPr>
      </w:pPr>
      <w:r w:rsidRPr="000D1988">
        <w:rPr>
          <w:rFonts w:eastAsia="Times New Roman" w:cs="Times New Roman"/>
          <w:b/>
          <w:noProof/>
          <w:sz w:val="22"/>
        </w:rPr>
        <w:lastRenderedPageBreak/>
        <w:t>Table S</w:t>
      </w:r>
      <w:r w:rsidR="00D843C5" w:rsidRPr="000D1988">
        <w:rPr>
          <w:rFonts w:eastAsia="Times New Roman" w:cs="Times New Roman"/>
          <w:b/>
          <w:noProof/>
          <w:sz w:val="22"/>
        </w:rPr>
        <w:t>3</w:t>
      </w:r>
      <w:r w:rsidRPr="000D1988">
        <w:rPr>
          <w:rFonts w:eastAsia="Times New Roman" w:cs="Times New Roman"/>
          <w:b/>
          <w:noProof/>
          <w:sz w:val="22"/>
        </w:rPr>
        <w:t>:</w:t>
      </w:r>
      <w:r w:rsidRPr="000D1988">
        <w:rPr>
          <w:rFonts w:eastAsia="Times New Roman" w:cs="Times New Roman"/>
          <w:noProof/>
          <w:sz w:val="22"/>
        </w:rPr>
        <w:t xml:space="preserve"> </w:t>
      </w:r>
      <w:r w:rsidR="00205441" w:rsidRPr="000D1988">
        <w:rPr>
          <w:rFonts w:eastAsia="Times New Roman" w:cs="Times New Roman"/>
          <w:noProof/>
          <w:sz w:val="22"/>
        </w:rPr>
        <w:t>N</w:t>
      </w:r>
      <w:r w:rsidRPr="000D1988">
        <w:rPr>
          <w:rFonts w:eastAsia="Times New Roman" w:cs="Times New Roman"/>
          <w:noProof/>
          <w:sz w:val="22"/>
        </w:rPr>
        <w:t>on-HLA gene variants associated with sarcoidosis and its subtypes with emphasis on L</w:t>
      </w:r>
      <w:proofErr w:type="spellStart"/>
      <w:r w:rsidRPr="000D1988">
        <w:rPr>
          <w:rFonts w:cs="Times New Roman"/>
          <w:sz w:val="22"/>
        </w:rPr>
        <w:t>ö</w:t>
      </w:r>
      <w:r w:rsidRPr="000D1988">
        <w:rPr>
          <w:rFonts w:eastAsia="Times New Roman" w:cs="Times New Roman"/>
          <w:noProof/>
          <w:sz w:val="22"/>
        </w:rPr>
        <w:t>fgren’s</w:t>
      </w:r>
      <w:proofErr w:type="spellEnd"/>
      <w:r w:rsidRPr="000D1988">
        <w:rPr>
          <w:rFonts w:eastAsia="Times New Roman" w:cs="Times New Roman"/>
          <w:noProof/>
          <w:sz w:val="22"/>
        </w:rPr>
        <w:t xml:space="preserve"> syndrome (selection). </w:t>
      </w:r>
    </w:p>
    <w:tbl>
      <w:tblPr>
        <w:tblStyle w:val="TableGrid"/>
        <w:tblW w:w="10643" w:type="dxa"/>
        <w:tblInd w:w="-342" w:type="dxa"/>
        <w:tblLayout w:type="fixed"/>
        <w:tblLook w:val="04A0" w:firstRow="1" w:lastRow="0" w:firstColumn="1" w:lastColumn="0" w:noHBand="0" w:noVBand="1"/>
      </w:tblPr>
      <w:tblGrid>
        <w:gridCol w:w="1530"/>
        <w:gridCol w:w="1800"/>
        <w:gridCol w:w="3818"/>
        <w:gridCol w:w="2302"/>
        <w:gridCol w:w="1193"/>
      </w:tblGrid>
      <w:tr w:rsidR="00EF037E" w:rsidRPr="000D1988" w14:paraId="39C5B288" w14:textId="77777777" w:rsidTr="00E51F7A">
        <w:tc>
          <w:tcPr>
            <w:tcW w:w="1530" w:type="dxa"/>
            <w:tcBorders>
              <w:bottom w:val="single" w:sz="4" w:space="0" w:color="auto"/>
            </w:tcBorders>
          </w:tcPr>
          <w:p w14:paraId="1F1C5E46" w14:textId="77777777" w:rsidR="00EF037E" w:rsidRPr="000D1988" w:rsidRDefault="00EF037E" w:rsidP="00DE09CD">
            <w:pPr>
              <w:spacing w:before="40" w:after="40"/>
              <w:rPr>
                <w:rFonts w:eastAsia="Times New Roman" w:cs="Times New Roman"/>
                <w:b/>
                <w:bCs/>
                <w:color w:val="000000"/>
                <w:sz w:val="22"/>
              </w:rPr>
            </w:pPr>
            <w:r w:rsidRPr="000D1988">
              <w:rPr>
                <w:rFonts w:eastAsia="Times New Roman" w:cs="Times New Roman"/>
                <w:b/>
                <w:bCs/>
                <w:color w:val="000000"/>
                <w:sz w:val="22"/>
              </w:rPr>
              <w:t>Gene</w:t>
            </w:r>
          </w:p>
        </w:tc>
        <w:tc>
          <w:tcPr>
            <w:tcW w:w="1800" w:type="dxa"/>
          </w:tcPr>
          <w:p w14:paraId="1E5957CF" w14:textId="77777777" w:rsidR="00EF037E" w:rsidRPr="000D1988" w:rsidRDefault="00EF037E" w:rsidP="00DE09CD">
            <w:pPr>
              <w:spacing w:before="40" w:after="40"/>
              <w:rPr>
                <w:rFonts w:eastAsia="Times New Roman" w:cs="Times New Roman"/>
                <w:b/>
                <w:bCs/>
                <w:color w:val="000000"/>
                <w:sz w:val="22"/>
              </w:rPr>
            </w:pPr>
            <w:r w:rsidRPr="000D1988">
              <w:rPr>
                <w:rFonts w:eastAsia="Times New Roman" w:cs="Times New Roman"/>
                <w:b/>
                <w:bCs/>
                <w:color w:val="000000"/>
                <w:sz w:val="22"/>
              </w:rPr>
              <w:t>variant</w:t>
            </w:r>
          </w:p>
        </w:tc>
        <w:tc>
          <w:tcPr>
            <w:tcW w:w="3818" w:type="dxa"/>
          </w:tcPr>
          <w:p w14:paraId="648A5266" w14:textId="77777777" w:rsidR="00EF037E" w:rsidRPr="000D1988" w:rsidRDefault="00EF037E" w:rsidP="00DE09CD">
            <w:pPr>
              <w:spacing w:before="40" w:after="40"/>
              <w:rPr>
                <w:rFonts w:eastAsia="Times New Roman" w:cs="Times New Roman"/>
                <w:b/>
                <w:bCs/>
                <w:color w:val="000000"/>
                <w:sz w:val="22"/>
              </w:rPr>
            </w:pPr>
            <w:r w:rsidRPr="000D1988">
              <w:rPr>
                <w:rFonts w:eastAsia="Times New Roman" w:cs="Times New Roman"/>
                <w:b/>
                <w:bCs/>
                <w:color w:val="000000"/>
                <w:sz w:val="22"/>
              </w:rPr>
              <w:t>Putative functional significance</w:t>
            </w:r>
          </w:p>
        </w:tc>
        <w:tc>
          <w:tcPr>
            <w:tcW w:w="2302" w:type="dxa"/>
          </w:tcPr>
          <w:p w14:paraId="298807B8" w14:textId="77777777" w:rsidR="00EF037E" w:rsidRPr="000D1988" w:rsidRDefault="00EF037E" w:rsidP="00DE09CD">
            <w:pPr>
              <w:spacing w:before="40" w:after="40"/>
              <w:rPr>
                <w:rFonts w:eastAsia="Times New Roman" w:cs="Times New Roman"/>
                <w:b/>
                <w:bCs/>
                <w:sz w:val="22"/>
              </w:rPr>
            </w:pPr>
            <w:r w:rsidRPr="000D1988">
              <w:rPr>
                <w:rFonts w:eastAsia="Times New Roman" w:cs="Times New Roman"/>
                <w:b/>
                <w:bCs/>
                <w:sz w:val="22"/>
              </w:rPr>
              <w:t>Associated population</w:t>
            </w:r>
          </w:p>
        </w:tc>
        <w:tc>
          <w:tcPr>
            <w:tcW w:w="1193" w:type="dxa"/>
          </w:tcPr>
          <w:p w14:paraId="629CF090" w14:textId="77777777" w:rsidR="00EF037E" w:rsidRPr="000D1988" w:rsidRDefault="00EF037E" w:rsidP="00DE09CD">
            <w:pPr>
              <w:spacing w:before="40" w:after="40"/>
              <w:rPr>
                <w:rFonts w:eastAsia="Times New Roman" w:cs="Times New Roman"/>
                <w:b/>
                <w:bCs/>
                <w:color w:val="000000"/>
                <w:sz w:val="22"/>
              </w:rPr>
            </w:pPr>
            <w:r w:rsidRPr="000D1988">
              <w:rPr>
                <w:rFonts w:eastAsia="Times New Roman" w:cs="Times New Roman"/>
                <w:b/>
                <w:bCs/>
                <w:color w:val="000000"/>
                <w:sz w:val="22"/>
              </w:rPr>
              <w:t>Reference</w:t>
            </w:r>
          </w:p>
        </w:tc>
      </w:tr>
      <w:tr w:rsidR="00EF037E" w:rsidRPr="000D1988" w14:paraId="683AA444" w14:textId="77777777" w:rsidTr="00E51F7A">
        <w:tc>
          <w:tcPr>
            <w:tcW w:w="1530" w:type="dxa"/>
            <w:tcBorders>
              <w:bottom w:val="nil"/>
            </w:tcBorders>
          </w:tcPr>
          <w:p w14:paraId="705EECA9" w14:textId="6D32F34D" w:rsidR="00EF037E" w:rsidRPr="000D1988" w:rsidRDefault="00EF037E" w:rsidP="00DE09CD">
            <w:pPr>
              <w:spacing w:before="40" w:after="40"/>
              <w:rPr>
                <w:rFonts w:cs="Times New Roman"/>
                <w:sz w:val="22"/>
              </w:rPr>
            </w:pPr>
            <w:r w:rsidRPr="000D1988">
              <w:rPr>
                <w:rFonts w:cs="Times New Roman"/>
                <w:sz w:val="22"/>
              </w:rPr>
              <w:t>BTNL2</w:t>
            </w:r>
            <w:r w:rsidR="00865F8A" w:rsidRPr="000D1988">
              <w:rPr>
                <w:rFonts w:cs="Times New Roman"/>
                <w:sz w:val="22"/>
                <w:vertAlign w:val="superscript"/>
              </w:rPr>
              <w:t>#</w:t>
            </w:r>
          </w:p>
        </w:tc>
        <w:tc>
          <w:tcPr>
            <w:tcW w:w="1800" w:type="dxa"/>
          </w:tcPr>
          <w:p w14:paraId="04AA06C2" w14:textId="77777777" w:rsidR="00EF037E" w:rsidRPr="000D1988" w:rsidRDefault="00EF037E" w:rsidP="00DE09CD">
            <w:pPr>
              <w:spacing w:before="40" w:after="40"/>
              <w:rPr>
                <w:rFonts w:cs="Times New Roman"/>
                <w:sz w:val="22"/>
              </w:rPr>
            </w:pPr>
            <w:r w:rsidRPr="000D1988">
              <w:rPr>
                <w:rFonts w:cs="Times New Roman"/>
                <w:sz w:val="22"/>
              </w:rPr>
              <w:t>rs3117099</w:t>
            </w:r>
          </w:p>
        </w:tc>
        <w:tc>
          <w:tcPr>
            <w:tcW w:w="3818" w:type="dxa"/>
          </w:tcPr>
          <w:p w14:paraId="09D20198" w14:textId="77777777" w:rsidR="00EF037E" w:rsidRPr="000D1988" w:rsidRDefault="00EF037E" w:rsidP="00DE09CD">
            <w:pPr>
              <w:spacing w:before="40" w:after="40"/>
              <w:rPr>
                <w:rFonts w:cs="Times New Roman"/>
                <w:sz w:val="22"/>
              </w:rPr>
            </w:pPr>
            <w:r w:rsidRPr="000D1988">
              <w:rPr>
                <w:rFonts w:cs="Times New Roman"/>
                <w:sz w:val="22"/>
              </w:rPr>
              <w:t>Löfgren’s syndrome ‘LS’</w:t>
            </w:r>
          </w:p>
        </w:tc>
        <w:tc>
          <w:tcPr>
            <w:tcW w:w="2302" w:type="dxa"/>
          </w:tcPr>
          <w:p w14:paraId="5893D1C6" w14:textId="77777777" w:rsidR="00EF037E" w:rsidRPr="000D1988" w:rsidRDefault="00EF037E" w:rsidP="00DE09CD">
            <w:pPr>
              <w:spacing w:before="40" w:after="40"/>
              <w:rPr>
                <w:rFonts w:cs="Times New Roman"/>
                <w:sz w:val="22"/>
              </w:rPr>
            </w:pPr>
            <w:r w:rsidRPr="000D1988">
              <w:rPr>
                <w:rFonts w:cs="Times New Roman"/>
                <w:sz w:val="22"/>
              </w:rPr>
              <w:t>British and Dutch</w:t>
            </w:r>
          </w:p>
        </w:tc>
        <w:tc>
          <w:tcPr>
            <w:tcW w:w="1193" w:type="dxa"/>
          </w:tcPr>
          <w:p w14:paraId="39E3838E" w14:textId="6D835123" w:rsidR="00EF037E" w:rsidRPr="000D1988" w:rsidRDefault="00EF037E" w:rsidP="00DE09CD">
            <w:pPr>
              <w:spacing w:before="40" w:after="40"/>
              <w:rPr>
                <w:rFonts w:cs="Times New Roman"/>
                <w:sz w:val="22"/>
              </w:rPr>
            </w:pPr>
            <w:r w:rsidRPr="000D1988">
              <w:rPr>
                <w:rFonts w:cs="Times New Roman"/>
                <w:sz w:val="22"/>
              </w:rPr>
              <w:fldChar w:fldCharType="begin" w:fldLock="1"/>
            </w:r>
            <w:r w:rsidR="00160B99" w:rsidRPr="000D1988">
              <w:rPr>
                <w:rFonts w:cs="Times New Roman"/>
                <w:sz w:val="22"/>
              </w:rPr>
              <w:instrText>ADDIN CSL_CITATION { "citationItems" : [ { "id" : "ITEM-1", "itemData" : { "DOI" : "10.1111/j.1399-0039.2007.00879.x", "ISBN" : "0001-2815 (Print)\\r0001-2815 (Linking)", "ISSN" : "00012815", "PMID" : "17661910", "abstract" : "Sarcoidosis is a heterogeneous disorder, both phenotypically and genetically. Two independent studies have recently shown that a functional polymorphism within butyrophilin-like 2 (BTNL2) gene predisposes to sarcoidosis independently of the human leukocyte antigen (HLA)-DRB1 alleles. However, in both studies, data analysis was not stratified by L\u00f6fgren's syndrome, a clinically and genetically distinct sarcoidosis subset. BTNL2, potentially encoding an immune coreceptor, is adjacent and in linkage disequilibrium (LD) with HLA-DRB1. We investigated six BTNL2 variants, including the functional rs2076530 (G &gt; A), as well as HLA-DRB1 alleles, by sequence-specific primers-polymerase chain reaction, in 288 patients and 446 controls from two European countries. In the patient group as a whole, the HLA-DRB1*14 [odds ratio (OR) = 3.1, P(c) = 0.0003], DRB1*12 (OR = 2.5, P(c) = 0.003), and BTNL2 rs2076530 A allele (OR = 1.49, P(c) = 0.002) were all associated with disease susceptibility. However, after exclusion of patients presenting with L\u00f6fgren's syndrome and after adjusting for HLA-DRB1 alleles, the association between BTNL2 rs2076530 A and disease disappeared (P = 0.23). By contrast, both HLA-DRB1*14 and DRB1*12 remained strongly significant (OR = 3.60, P &lt; 0.0001 and OR = 3.03, P = 0.003, respectively). BTNL2 haplotype 4, tagged by the rs2076530 G allele, also remained associated with non-L\u00f6fgren sarcoidosis after adjusting for HLA-DRB1 alleles (OR 0.37, P = 0.016). In summary, HLA-DRB1*14, DRB1*12, and BTNL2 haplotype 4--but not rs2076530 A--are associated with non-L\u00f6fgren sarcoidosis. However, the tight LD across the HLA complex makes it difficult to identify the precise location of the susceptibility locus/i. Larger sample sets from different ethnic groups, finer mapping, and more robust LD analyses across the HLA region are needed.", "author" : [ { "dropping-particle" : "", "family" : "Spagnolo", "given" : "P.", "non-dropping-particle" : "", "parse-names" : false, "suffix" : "" }, { "dropping-particle" : "", "family" : "Sato", "given" : "H.", "non-dropping-particle" : "", "parse-names" : false, "suffix" : "" }, { "dropping-particle" : "", "family" : "Grutters", "given" : "J. C.", "non-dropping-particle" : "", "parse-names" : false, "suffix" : "" }, { "dropping-particle" : "", "family" : "Renzoni", "given" : "E. A.", "non-dropping-particle" : "", "parse-names" : false, "suffix" : "" }, { "dropping-particle" : "", "family" : "Marshall", "given" : "S. E.", "non-dropping-particle" : "", "parse-names" : false, "suffix" : "" }, { "dropping-particle" : "", "family" : "Ruven", "given" : "H. J.T.", "non-dropping-particle" : "", "parse-names" : false, "suffix" : "" }, { "dropping-particle" : "", "family" : "Wells", "given" : "A. U.", "non-dropping-particle" : "", "parse-names" : false, "suffix" : "" }, { "dropping-particle" : "", "family" : "Tzouvelekis", "given" : "A.", "non-dropping-particle" : "", "parse-names" : false, "suffix" : "" }, { "dropping-particle" : "", "family" : "Moorsel", "given" : "C. H.M.", "non-dropping-particle" : "Van", "parse-names" : false, "suffix" : "" }, { "dropping-particle" : "", "family" : "Bosch", "given" : "J. M.M.", "non-dropping-particle" : "Van Den", "parse-names" : false, "suffix" : "" }, { "dropping-particle" : "", "family" : "Bois", "given" : "R. M.", "non-dropping-particle" : "Du", "parse-names" : false, "suffix" : "" }, { "dropping-particle" : "", "family" : "Welsh", "given" : "K. I.", "non-dropping-particle" : "", "parse-names" : false, "suffix" : "" } ], "container-title" : "Tissue Antigens", "id" : "ITEM-1", "issue" : "3", "issued" : { "date-parts" : [ [ "2007" ] ] }, "page" : "219-227", "title" : "Analysis of BTNL2 genetic polymorphisms in British and Dutch patients with sarcoidosis", "type" : "article-journal", "volume" : "70" }, "uris" : [ "http://www.mendeley.com/documents/?uuid=b29cea8c-5e4f-4ab5-9171-7216beae37f8" ] }, { "id" : "ITEM-2", "itemData" : { "DOI" : "10.1016/j.ccm.2015.08.002", "ISBN" : "9780323402408", "ISSN" : "1557-8216", "PMID" : "26593134", "abstract" : "Sarcoidosis is a disease with highly variable presentation and progression; although it is hypothesized that disease phenotype is related to genetic variation, how much of this variability is driven by genetic factors is not known. The HLA region is the most strongly and consistently associated genetic risk factor for sarcoidosis, supporting the notion that sarcoidosis is an exposure-mediated immunologic disease. Most of the genetic etiology of sarcoidosis remains unknown in terms of the specific variants that increase risk in various populations, their biologic functions, and how they interact with environmental exposures.", "author" : [ { "dropping-particle" : "", "family" : "Fingerlin", "given" : "Tasha E.", "non-dropping-particle" : "", "parse-names" : false, "suffix" : "" }, { "dropping-particle" : "", "family" : "Hamzeh", "given" : "Nabeel", "non-dropping-particle" : "", "parse-names" : false, "suffix" : "" }, { "dropping-particle" : "", "family" : "Maier", "given" : "Lisa A.", "non-dropping-particle" : "", "parse-names" : false, "suffix" : "" } ], "container-title" : "Clinics in chest medicine", "id" : "ITEM-2", "issue" : "4", "issued" : { "date-parts" : [ [ "2015", "12" ] ] }, "page" : "569-84", "title" : "Genetics of Sarcoidosis.", "type" : "article-journal", "volume" : "36" }, "uris" : [ "http://www.mendeley.com/documents/?uuid=0756ce18-1de6-32f0-b676-fd7177b527cc" ] } ], "mendeley" : { "formattedCitation" : "(7,12)", "plainTextFormattedCitation" : "(7,12)", "previouslyFormattedCitation" : "(5,10)" }, "properties" : { "noteIndex" : 0 }, "schema" : "https://github.com/citation-style-language/schema/raw/master/csl-citation.json" }</w:instrText>
            </w:r>
            <w:r w:rsidRPr="000D1988">
              <w:rPr>
                <w:rFonts w:cs="Times New Roman"/>
                <w:sz w:val="22"/>
              </w:rPr>
              <w:fldChar w:fldCharType="separate"/>
            </w:r>
            <w:r w:rsidR="00160B99" w:rsidRPr="000D1988">
              <w:rPr>
                <w:rFonts w:cs="Times New Roman"/>
                <w:noProof/>
                <w:sz w:val="22"/>
              </w:rPr>
              <w:t>(7,12)</w:t>
            </w:r>
            <w:r w:rsidRPr="000D1988">
              <w:rPr>
                <w:rFonts w:cs="Times New Roman"/>
                <w:sz w:val="22"/>
              </w:rPr>
              <w:fldChar w:fldCharType="end"/>
            </w:r>
          </w:p>
        </w:tc>
      </w:tr>
      <w:tr w:rsidR="00EF037E" w:rsidRPr="000D1988" w14:paraId="673AB157" w14:textId="77777777" w:rsidTr="00E51F7A">
        <w:tc>
          <w:tcPr>
            <w:tcW w:w="1530" w:type="dxa"/>
            <w:tcBorders>
              <w:top w:val="nil"/>
              <w:bottom w:val="nil"/>
            </w:tcBorders>
          </w:tcPr>
          <w:p w14:paraId="2CBCC20F" w14:textId="77777777" w:rsidR="00EF037E" w:rsidRPr="000D1988" w:rsidRDefault="00EF037E" w:rsidP="00DE09CD">
            <w:pPr>
              <w:spacing w:before="40" w:after="40"/>
              <w:rPr>
                <w:rFonts w:cs="Times New Roman"/>
                <w:sz w:val="22"/>
              </w:rPr>
            </w:pPr>
          </w:p>
        </w:tc>
        <w:tc>
          <w:tcPr>
            <w:tcW w:w="1800" w:type="dxa"/>
          </w:tcPr>
          <w:p w14:paraId="606D8EDE" w14:textId="77777777" w:rsidR="00EF037E" w:rsidRPr="000D1988" w:rsidRDefault="00EF037E" w:rsidP="00DE09CD">
            <w:pPr>
              <w:spacing w:before="40" w:after="40"/>
              <w:rPr>
                <w:rFonts w:cs="Times New Roman"/>
                <w:sz w:val="22"/>
              </w:rPr>
            </w:pPr>
            <w:r w:rsidRPr="000D1988">
              <w:rPr>
                <w:rFonts w:cs="Times New Roman"/>
                <w:sz w:val="22"/>
              </w:rPr>
              <w:t>rs2076530</w:t>
            </w:r>
          </w:p>
        </w:tc>
        <w:tc>
          <w:tcPr>
            <w:tcW w:w="3818" w:type="dxa"/>
          </w:tcPr>
          <w:p w14:paraId="660EB72F" w14:textId="77777777" w:rsidR="00EF037E" w:rsidRPr="000D1988" w:rsidRDefault="00EF037E" w:rsidP="00DE09CD">
            <w:pPr>
              <w:spacing w:before="40" w:after="40"/>
              <w:rPr>
                <w:rFonts w:cs="Times New Roman"/>
                <w:sz w:val="22"/>
              </w:rPr>
            </w:pPr>
            <w:r w:rsidRPr="000D1988">
              <w:rPr>
                <w:rFonts w:cs="Times New Roman"/>
                <w:sz w:val="22"/>
              </w:rPr>
              <w:t>Increased risk of Non-LS</w:t>
            </w:r>
          </w:p>
        </w:tc>
        <w:tc>
          <w:tcPr>
            <w:tcW w:w="2302" w:type="dxa"/>
          </w:tcPr>
          <w:p w14:paraId="5D966C6D" w14:textId="77777777" w:rsidR="00EF037E" w:rsidRPr="000D1988" w:rsidRDefault="00EF037E" w:rsidP="00DE09CD">
            <w:pPr>
              <w:spacing w:before="40" w:after="40"/>
              <w:rPr>
                <w:rFonts w:cs="Times New Roman"/>
                <w:sz w:val="22"/>
              </w:rPr>
            </w:pPr>
            <w:r w:rsidRPr="000D1988">
              <w:rPr>
                <w:rFonts w:cs="Times New Roman"/>
                <w:sz w:val="22"/>
              </w:rPr>
              <w:t>British,  Dutch, and Portuguese</w:t>
            </w:r>
          </w:p>
        </w:tc>
        <w:tc>
          <w:tcPr>
            <w:tcW w:w="1193" w:type="dxa"/>
          </w:tcPr>
          <w:p w14:paraId="6ECA7014" w14:textId="1EF9B77E" w:rsidR="00EF037E" w:rsidRPr="000D1988" w:rsidRDefault="00EF037E" w:rsidP="00DE09CD">
            <w:pPr>
              <w:spacing w:before="40" w:after="40"/>
              <w:rPr>
                <w:rFonts w:cs="Times New Roman"/>
                <w:sz w:val="22"/>
              </w:rPr>
            </w:pPr>
            <w:r w:rsidRPr="000D1988">
              <w:rPr>
                <w:rFonts w:cs="Times New Roman"/>
                <w:sz w:val="22"/>
              </w:rPr>
              <w:fldChar w:fldCharType="begin" w:fldLock="1"/>
            </w:r>
            <w:r w:rsidR="00160B99" w:rsidRPr="000D1988">
              <w:rPr>
                <w:rFonts w:cs="Times New Roman"/>
                <w:sz w:val="22"/>
              </w:rPr>
              <w:instrText>ADDIN CSL_CITATION { "citationItems" : [ { "id" : "ITEM-1", "itemData" : { "DOI" : "10.1016/j.ccm.2015.08.002", "ISBN" : "9780323402408", "ISSN" : "1557-8216", "PMID" : "26593134", "abstract" : "Sarcoidosis is a disease with highly variable presentation and progression; although it is hypothesized that disease phenotype is related to genetic variation, how much of this variability is driven by genetic factors is not known. The HLA region is the most strongly and consistently associated genetic risk factor for sarcoidosis, supporting the notion that sarcoidosis is an exposure-mediated immunologic disease. Most of the genetic etiology of sarcoidosis remains unknown in terms of the specific variants that increase risk in various populations, their biologic functions, and how they interact with environmental exposures.", "author" : [ { "dropping-particle" : "", "family" : "Fingerlin", "given" : "Tasha E.", "non-dropping-particle" : "", "parse-names" : false, "suffix" : "" }, { "dropping-particle" : "", "family" : "Hamzeh", "given" : "Nabeel", "non-dropping-particle" : "", "parse-names" : false, "suffix" : "" }, { "dropping-particle" : "", "family" : "Maier", "given" : "Lisa A.", "non-dropping-particle" : "", "parse-names" : false, "suffix" : "" } ], "container-title" : "Clinics in chest medicine", "id" : "ITEM-1", "issue" : "4", "issued" : { "date-parts" : [ [ "2015", "12" ] ] }, "page" : "569-84", "title" : "Genetics of Sarcoidosis.", "type" : "article-journal", "volume" : "36" }, "uris" : [ "http://www.mendeley.com/documents/?uuid=0756ce18-1de6-32f0-b676-fd7177b527cc" ] }, { "id" : "ITEM-2", "itemData" : { "DOI" : "10.1016/j.rmed.2012.08.009", "ISSN" : "09546111", "PMID" : "23017494", "abstract" : "A functional polymorphism within butyrophilin-like 2 (BTNL2) gene has been described as a potential risk factor for sarcoidosis. The association between chronicity and the rs2076530 SNP A allele has also been reported. This study evaluates the BTNL2 rs2076530 G/A allele associations with sarcoidosis susceptibility and disease evolution in a Portuguese cohort of patients. A case-control study of 151 patients and 150 controls was performed. Allele frequencies were compared with Chi-square test in a univariate analysis and with logistic regression in a multivariate analysis. BTNL2 rs206530 A allele frequencies were significantly higher in sarcoidosis with no linkage disequilibrium with HLA-DRB1 alleles, except in the subgroup of patients with L\u00f6fgren syndrome where the determinant allele was HLA-DRB1*03. The A allele was also increased in those with isolated thoracic disease, with no differences regarding radiological stages or disease evolution. HLA-DRB1*03, besides the association with L\u00f6fgren syndrome was significantly related with disease resolution. Our data confirms the association of BTNL2 rs2076530 A allele with sarcoidosis susceptibility in a Portuguese population. We found independent genetic risk factors in clinically distinct disease phenotypes: BTNL2 rs2076530 A allele in patients without L\u00f6fgren syndrome or with isolated thoracic disease, and HLA-DRB1*03 in L\u00f6fgren syndrome or disease resolution. \u00a9 2012 Elsevier Ltd. All rights reserved.", "author" : [ { "dropping-particle" : "", "family" : "Morais", "given" : "Ant\u00f3nio", "non-dropping-particle" : "", "parse-names" : false, "suffix" : "" }, { "dropping-particle" : "", "family" : "Lima", "given" : "Bruno", "non-dropping-particle" : "", "parse-names" : false, "suffix" : "" }, { "dropping-particle" : "", "family" : "Peixoto", "given" : "Maria Jos\u00e9", "non-dropping-particle" : "", "parse-names" : false, "suffix" : "" }, { "dropping-particle" : "", "family" : "Alves", "given" : "Helena", "non-dropping-particle" : "", "parse-names" : false, "suffix" : "" }, { "dropping-particle" : "", "family" : "Marques", "given" : "Agostinho", "non-dropping-particle" : "", "parse-names" : false, "suffix" : "" }, { "dropping-particle" : "", "family" : "Delgado", "given" : "Lu\u00eds", "non-dropping-particle" : "", "parse-names" : false, "suffix" : "" } ], "container-title" : "Respiratory Medicine", "id" : "ITEM-2", "issue" : "12", "issued" : { "date-parts" : [ [ "2012" ] ] }, "page" : "1771-1777", "title" : "BTNL2 gene polymorphism associations with susceptibility and phenotype expression in sarcoidosis", "type" : "article-journal", "volume" : "106" }, "uris" : [ "http://www.mendeley.com/documents/?uuid=8f46ec73-f702-4260-9eeb-cfae50658498" ] }, { "id" : "ITEM-3", "itemData" : { "DOI" : "10.1111/j.1399-0039.2007.00879.x", "ISBN" : "0001-2815 (Print)\\r0001-2815 (Linking)", "ISSN" : "00012815", "PMID" : "17661910", "abstract" : "Sarcoidosis is a heterogeneous disorder, both phenotypically and genetically. Two independent studies have recently shown that a functional polymorphism within butyrophilin-like 2 (BTNL2) gene predisposes to sarcoidosis independently of the human leukocyte antigen (HLA)-DRB1 alleles. However, in both studies, data analysis was not stratified by L\u00f6fgren's syndrome, a clinically and genetically distinct sarcoidosis subset. BTNL2, potentially encoding an immune coreceptor, is adjacent and in linkage disequilibrium (LD) with HLA-DRB1. We investigated six BTNL2 variants, including the functional rs2076530 (G &gt; A), as well as HLA-DRB1 alleles, by sequence-specific primers-polymerase chain reaction, in 288 patients and 446 controls from two European countries. In the patient group as a whole, the HLA-DRB1*14 [odds ratio (OR) = 3.1, P(c) = 0.0003], DRB1*12 (OR = 2.5, P(c) = 0.003), and BTNL2 rs2076530 A allele (OR = 1.49, P(c) = 0.002) were all associated with disease susceptibility. However, after exclusion of patients presenting with L\u00f6fgren's syndrome and after adjusting for HLA-DRB1 alleles, the association between BTNL2 rs2076530 A and disease disappeared (P = 0.23). By contrast, both HLA-DRB1*14 and DRB1*12 remained strongly significant (OR = 3.60, P &lt; 0.0001 and OR = 3.03, P = 0.003, respectively). BTNL2 haplotype 4, tagged by the rs2076530 G allele, also remained associated with non-L\u00f6fgren sarcoidosis after adjusting for HLA-DRB1 alleles (OR 0.37, P = 0.016). In summary, HLA-DRB1*14, DRB1*12, and BTNL2 haplotype 4--but not rs2076530 A--are associated with non-L\u00f6fgren sarcoidosis. However, the tight LD across the HLA complex makes it difficult to identify the precise location of the susceptibility locus/i. Larger sample sets from different ethnic groups, finer mapping, and more robust LD analyses across the HLA region are needed.", "author" : [ { "dropping-particle" : "", "family" : "Spagnolo", "given" : "P.", "non-dropping-particle" : "", "parse-names" : false, "suffix" : "" }, { "dropping-particle" : "", "family" : "Sato", "given" : "H.", "non-dropping-particle" : "", "parse-names" : false, "suffix" : "" }, { "dropping-particle" : "", "family" : "Grutters", "given" : "J. C.", "non-dropping-particle" : "", "parse-names" : false, "suffix" : "" }, { "dropping-particle" : "", "family" : "Renzoni", "given" : "E. A.", "non-dropping-particle" : "", "parse-names" : false, "suffix" : "" }, { "dropping-particle" : "", "family" : "Marshall", "given" : "S. E.", "non-dropping-particle" : "", "parse-names" : false, "suffix" : "" }, { "dropping-particle" : "", "family" : "Ruven", "given" : "H. J.T.", "non-dropping-particle" : "", "parse-names" : false, "suffix" : "" }, { "dropping-particle" : "", "family" : "Wells", "given" : "A. U.", "non-dropping-particle" : "", "parse-names" : false, "suffix" : "" }, { "dropping-particle" : "", "family" : "Tzouvelekis", "given" : "A.", "non-dropping-particle" : "", "parse-names" : false, "suffix" : "" }, { "dropping-particle" : "", "family" : "Moorsel", "given" : "C. H.M.", "non-dropping-particle" : "Van", "parse-names" : false, "suffix" : "" }, { "dropping-particle" : "", "family" : "Bosch", "given" : "J. M.M.", "non-dropping-particle" : "Van Den", "parse-names" : false, "suffix" : "" }, { "dropping-particle" : "", "family" : "Bois", "given" : "R. M.", "non-dropping-particle" : "Du", "parse-names" : false, "suffix" : "" }, { "dropping-particle" : "", "family" : "Welsh", "given" : "K. I.", "non-dropping-particle" : "", "parse-names" : false, "suffix" : "" } ], "container-title" : "Tissue Antigens", "id" : "ITEM-3", "issue" : "3", "issued" : { "date-parts" : [ [ "2007" ] ] }, "page" : "219-227", "title" : "Analysis of BTNL2 genetic polymorphisms in British and Dutch patients with sarcoidosis", "type" : "article-journal", "volume" : "70" }, "uris" : [ "http://www.mendeley.com/documents/?uuid=b29cea8c-5e4f-4ab5-9171-7216beae37f8" ] }, { "id" : "ITEM-4", "itemData" : { "DOI" : "10.5772/55116", "author" : [ { "dropping-particle" : "", "family" : "Sah", "given" : "Birendra P.", "non-dropping-particle" : "", "parse-names" : false, "suffix" : "" }, { "dropping-particle" : "", "family" : "Iannuzzi", "given" : "Michael C.", "non-dropping-particle" : "", "parse-names" : false, "suffix" : "" } ], "container-title" : "Sarcoidosis", "id" : "ITEM-4", "issued" : { "date-parts" : [ [ "2013", "3", "13" ] ] }, "page" : "53-77", "publisher" : "InTech", "title" : "Genetic Factors Involved in Sarcoidosis", "type" : "chapter" }, "uris" : [ "http://www.mendeley.com/documents/?uuid=cd3949a0-0613-38d3-a194-e620b733a584" ] } ], "mendeley" : { "formattedCitation" : "(5,7,12,13)", "plainTextFormattedCitation" : "(5,7,12,13)", "previouslyFormattedCitation" : "(3,5,10,11)" }, "properties" : { "noteIndex" : 0 }, "schema" : "https://github.com/citation-style-language/schema/raw/master/csl-citation.json" }</w:instrText>
            </w:r>
            <w:r w:rsidRPr="000D1988">
              <w:rPr>
                <w:rFonts w:cs="Times New Roman"/>
                <w:sz w:val="22"/>
              </w:rPr>
              <w:fldChar w:fldCharType="separate"/>
            </w:r>
            <w:r w:rsidR="00160B99" w:rsidRPr="000D1988">
              <w:rPr>
                <w:rFonts w:cs="Times New Roman"/>
                <w:noProof/>
                <w:sz w:val="22"/>
              </w:rPr>
              <w:t>(5,7,12,13)</w:t>
            </w:r>
            <w:r w:rsidRPr="000D1988">
              <w:rPr>
                <w:rFonts w:cs="Times New Roman"/>
                <w:sz w:val="22"/>
              </w:rPr>
              <w:fldChar w:fldCharType="end"/>
            </w:r>
          </w:p>
        </w:tc>
      </w:tr>
      <w:tr w:rsidR="00EF037E" w:rsidRPr="000D1988" w14:paraId="3D7E6ED4" w14:textId="77777777" w:rsidTr="00E51F7A">
        <w:tc>
          <w:tcPr>
            <w:tcW w:w="1530" w:type="dxa"/>
            <w:tcBorders>
              <w:top w:val="nil"/>
            </w:tcBorders>
          </w:tcPr>
          <w:p w14:paraId="51B23D08" w14:textId="77777777" w:rsidR="00EF037E" w:rsidRPr="000D1988" w:rsidRDefault="00EF037E" w:rsidP="00DE09CD">
            <w:pPr>
              <w:spacing w:before="40" w:after="40"/>
              <w:rPr>
                <w:rFonts w:cs="Times New Roman"/>
                <w:sz w:val="22"/>
              </w:rPr>
            </w:pPr>
          </w:p>
        </w:tc>
        <w:tc>
          <w:tcPr>
            <w:tcW w:w="1800" w:type="dxa"/>
          </w:tcPr>
          <w:p w14:paraId="3DDC415C" w14:textId="77777777" w:rsidR="00EF037E" w:rsidRPr="000D1988" w:rsidRDefault="00EF037E" w:rsidP="00DE09CD">
            <w:pPr>
              <w:spacing w:before="40" w:after="40"/>
              <w:rPr>
                <w:rFonts w:cs="Times New Roman"/>
                <w:sz w:val="22"/>
              </w:rPr>
            </w:pPr>
            <w:r w:rsidRPr="000D1988">
              <w:rPr>
                <w:rFonts w:cs="Times New Roman"/>
                <w:sz w:val="22"/>
              </w:rPr>
              <w:t>rs2294878</w:t>
            </w:r>
          </w:p>
        </w:tc>
        <w:tc>
          <w:tcPr>
            <w:tcW w:w="3818" w:type="dxa"/>
          </w:tcPr>
          <w:p w14:paraId="45C43E03" w14:textId="77777777" w:rsidR="00EF037E" w:rsidRPr="000D1988" w:rsidRDefault="00EF037E" w:rsidP="00DE09CD">
            <w:pPr>
              <w:spacing w:before="40" w:after="40"/>
              <w:rPr>
                <w:rFonts w:cs="Times New Roman"/>
                <w:sz w:val="22"/>
              </w:rPr>
            </w:pPr>
            <w:r w:rsidRPr="000D1988">
              <w:rPr>
                <w:rFonts w:cs="Times New Roman"/>
                <w:sz w:val="22"/>
              </w:rPr>
              <w:t>Increased risk of Non-LS</w:t>
            </w:r>
          </w:p>
        </w:tc>
        <w:tc>
          <w:tcPr>
            <w:tcW w:w="2302" w:type="dxa"/>
          </w:tcPr>
          <w:p w14:paraId="148BDFE5" w14:textId="77777777" w:rsidR="00EF037E" w:rsidRPr="000D1988" w:rsidRDefault="00EF037E" w:rsidP="00DE09CD">
            <w:pPr>
              <w:spacing w:before="40" w:after="40"/>
              <w:rPr>
                <w:rFonts w:cs="Times New Roman"/>
                <w:sz w:val="22"/>
              </w:rPr>
            </w:pPr>
            <w:r w:rsidRPr="000D1988">
              <w:rPr>
                <w:rFonts w:cs="Times New Roman"/>
                <w:sz w:val="22"/>
              </w:rPr>
              <w:t>British and Dutch</w:t>
            </w:r>
          </w:p>
        </w:tc>
        <w:tc>
          <w:tcPr>
            <w:tcW w:w="1193" w:type="dxa"/>
          </w:tcPr>
          <w:p w14:paraId="55190FC2" w14:textId="3CD17F17" w:rsidR="00EF037E" w:rsidRPr="000D1988" w:rsidRDefault="00EF037E" w:rsidP="00DE09CD">
            <w:pPr>
              <w:spacing w:before="40" w:after="40"/>
              <w:rPr>
                <w:rFonts w:cs="Times New Roman"/>
                <w:sz w:val="22"/>
              </w:rPr>
            </w:pPr>
            <w:r w:rsidRPr="000D1988">
              <w:rPr>
                <w:rFonts w:cs="Times New Roman"/>
                <w:sz w:val="22"/>
              </w:rPr>
              <w:fldChar w:fldCharType="begin" w:fldLock="1"/>
            </w:r>
            <w:r w:rsidR="00160B99" w:rsidRPr="000D1988">
              <w:rPr>
                <w:rFonts w:cs="Times New Roman"/>
                <w:sz w:val="22"/>
              </w:rPr>
              <w:instrText>ADDIN CSL_CITATION { "citationItems" : [ { "id" : "ITEM-1", "itemData" : { "DOI" : "10.1016/j.ccm.2015.08.002", "ISBN" : "9780323402408", "ISSN" : "1557-8216", "PMID" : "26593134", "abstract" : "Sarcoidosis is a disease with highly variable presentation and progression; although it is hypothesized that disease phenotype is related to genetic variation, how much of this variability is driven by genetic factors is not known. The HLA region is the most strongly and consistently associated genetic risk factor for sarcoidosis, supporting the notion that sarcoidosis is an exposure-mediated immunologic disease. Most of the genetic etiology of sarcoidosis remains unknown in terms of the specific variants that increase risk in various populations, their biologic functions, and how they interact with environmental exposures.", "author" : [ { "dropping-particle" : "", "family" : "Fingerlin", "given" : "Tasha E.", "non-dropping-particle" : "", "parse-names" : false, "suffix" : "" }, { "dropping-particle" : "", "family" : "Hamzeh", "given" : "Nabeel", "non-dropping-particle" : "", "parse-names" : false, "suffix" : "" }, { "dropping-particle" : "", "family" : "Maier", "given" : "Lisa A.", "non-dropping-particle" : "", "parse-names" : false, "suffix" : "" } ], "container-title" : "Clinics in chest medicine", "id" : "ITEM-1", "issue" : "4", "issued" : { "date-parts" : [ [ "2015", "12" ] ] }, "page" : "569-84", "title" : "Genetics of Sarcoidosis.", "type" : "article-journal", "volume" : "36" }, "uris" : [ "http://www.mendeley.com/documents/?uuid=0756ce18-1de6-32f0-b676-fd7177b527cc" ] }, { "id" : "ITEM-2", "itemData" : { "DOI" : "10.1111/j.1399-0039.2007.00879.x", "ISBN" : "0001-2815 (Print)\\r0001-2815 (Linking)", "ISSN" : "00012815", "PMID" : "17661910", "abstract" : "Sarcoidosis is a heterogeneous disorder, both phenotypically and genetically. Two independent studies have recently shown that a functional polymorphism within butyrophilin-like 2 (BTNL2) gene predisposes to sarcoidosis independently of the human leukocyte antigen (HLA)-DRB1 alleles. However, in both studies, data analysis was not stratified by L\u00f6fgren's syndrome, a clinically and genetically distinct sarcoidosis subset. BTNL2, potentially encoding an immune coreceptor, is adjacent and in linkage disequilibrium (LD) with HLA-DRB1. We investigated six BTNL2 variants, including the functional rs2076530 (G &gt; A), as well as HLA-DRB1 alleles, by sequence-specific primers-polymerase chain reaction, in 288 patients and 446 controls from two European countries. In the patient group as a whole, the HLA-DRB1*14 [odds ratio (OR) = 3.1, P(c) = 0.0003], DRB1*12 (OR = 2.5, P(c) = 0.003), and BTNL2 rs2076530 A allele (OR = 1.49, P(c) = 0.002) were all associated with disease susceptibility. However, after exclusion of patients presenting with L\u00f6fgren's syndrome and after adjusting for HLA-DRB1 alleles, the association between BTNL2 rs2076530 A and disease disappeared (P = 0.23). By contrast, both HLA-DRB1*14 and DRB1*12 remained strongly significant (OR = 3.60, P &lt; 0.0001 and OR = 3.03, P = 0.003, respectively). BTNL2 haplotype 4, tagged by the rs2076530 G allele, also remained associated with non-L\u00f6fgren sarcoidosis after adjusting for HLA-DRB1 alleles (OR 0.37, P = 0.016). In summary, HLA-DRB1*14, DRB1*12, and BTNL2 haplotype 4--but not rs2076530 A--are associated with non-L\u00f6fgren sarcoidosis. However, the tight LD across the HLA complex makes it difficult to identify the precise location of the susceptibility locus/i. Larger sample sets from different ethnic groups, finer mapping, and more robust LD analyses across the HLA region are needed.", "author" : [ { "dropping-particle" : "", "family" : "Spagnolo", "given" : "P.", "non-dropping-particle" : "", "parse-names" : false, "suffix" : "" }, { "dropping-particle" : "", "family" : "Sato", "given" : "H.", "non-dropping-particle" : "", "parse-names" : false, "suffix" : "" }, { "dropping-particle" : "", "family" : "Grutters", "given" : "J. C.", "non-dropping-particle" : "", "parse-names" : false, "suffix" : "" }, { "dropping-particle" : "", "family" : "Renzoni", "given" : "E. A.", "non-dropping-particle" : "", "parse-names" : false, "suffix" : "" }, { "dropping-particle" : "", "family" : "Marshall", "given" : "S. E.", "non-dropping-particle" : "", "parse-names" : false, "suffix" : "" }, { "dropping-particle" : "", "family" : "Ruven", "given" : "H. J.T.", "non-dropping-particle" : "", "parse-names" : false, "suffix" : "" }, { "dropping-particle" : "", "family" : "Wells", "given" : "A. U.", "non-dropping-particle" : "", "parse-names" : false, "suffix" : "" }, { "dropping-particle" : "", "family" : "Tzouvelekis", "given" : "A.", "non-dropping-particle" : "", "parse-names" : false, "suffix" : "" }, { "dropping-particle" : "", "family" : "Moorsel", "given" : "C. H.M.", "non-dropping-particle" : "Van", "parse-names" : false, "suffix" : "" }, { "dropping-particle" : "", "family" : "Bosch", "given" : "J. M.M.", "non-dropping-particle" : "Van Den", "parse-names" : false, "suffix" : "" }, { "dropping-particle" : "", "family" : "Bois", "given" : "R. M.", "non-dropping-particle" : "Du", "parse-names" : false, "suffix" : "" }, { "dropping-particle" : "", "family" : "Welsh", "given" : "K. I.", "non-dropping-particle" : "", "parse-names" : false, "suffix" : "" } ], "container-title" : "Tissue Antigens", "id" : "ITEM-2", "issue" : "3", "issued" : { "date-parts" : [ [ "2007" ] ] }, "page" : "219-227", "title" : "Analysis of BTNL2 genetic polymorphisms in British and Dutch patients with sarcoidosis", "type" : "article-journal", "volume" : "70" }, "uris" : [ "http://www.mendeley.com/documents/?uuid=b29cea8c-5e4f-4ab5-9171-7216beae37f8" ] } ], "mendeley" : { "formattedCitation" : "(7,12)", "plainTextFormattedCitation" : "(7,12)", "previouslyFormattedCitation" : "(5,10)" }, "properties" : { "noteIndex" : 0 }, "schema" : "https://github.com/citation-style-language/schema/raw/master/csl-citation.json" }</w:instrText>
            </w:r>
            <w:r w:rsidRPr="000D1988">
              <w:rPr>
                <w:rFonts w:cs="Times New Roman"/>
                <w:sz w:val="22"/>
              </w:rPr>
              <w:fldChar w:fldCharType="separate"/>
            </w:r>
            <w:r w:rsidR="00160B99" w:rsidRPr="000D1988">
              <w:rPr>
                <w:rFonts w:cs="Times New Roman"/>
                <w:noProof/>
                <w:sz w:val="22"/>
              </w:rPr>
              <w:t>(7,12)</w:t>
            </w:r>
            <w:r w:rsidRPr="000D1988">
              <w:rPr>
                <w:rFonts w:cs="Times New Roman"/>
                <w:sz w:val="22"/>
              </w:rPr>
              <w:fldChar w:fldCharType="end"/>
            </w:r>
          </w:p>
        </w:tc>
      </w:tr>
      <w:tr w:rsidR="00EF037E" w:rsidRPr="000D1988" w14:paraId="71788720" w14:textId="77777777" w:rsidTr="00E51F7A">
        <w:tc>
          <w:tcPr>
            <w:tcW w:w="1530" w:type="dxa"/>
            <w:tcBorders>
              <w:bottom w:val="single" w:sz="4" w:space="0" w:color="auto"/>
            </w:tcBorders>
          </w:tcPr>
          <w:p w14:paraId="366E7D54" w14:textId="68903C80" w:rsidR="00EF037E" w:rsidRPr="000D1988" w:rsidRDefault="00EF037E" w:rsidP="00DE09CD">
            <w:pPr>
              <w:spacing w:before="40" w:after="40"/>
              <w:rPr>
                <w:rFonts w:cs="Times New Roman"/>
                <w:sz w:val="22"/>
              </w:rPr>
            </w:pPr>
            <w:r w:rsidRPr="000D1988">
              <w:rPr>
                <w:rFonts w:cs="Times New Roman"/>
                <w:sz w:val="22"/>
              </w:rPr>
              <w:t>TNF</w:t>
            </w:r>
            <w:r w:rsidR="00865F8A" w:rsidRPr="000D1988">
              <w:rPr>
                <w:rFonts w:cs="Times New Roman"/>
                <w:sz w:val="22"/>
                <w:vertAlign w:val="superscript"/>
              </w:rPr>
              <w:t>#</w:t>
            </w:r>
          </w:p>
        </w:tc>
        <w:tc>
          <w:tcPr>
            <w:tcW w:w="1800" w:type="dxa"/>
          </w:tcPr>
          <w:p w14:paraId="47CACFD7" w14:textId="77777777" w:rsidR="00EF037E" w:rsidRPr="000D1988" w:rsidRDefault="00EF037E" w:rsidP="00DE09CD">
            <w:pPr>
              <w:spacing w:before="40" w:after="40"/>
              <w:rPr>
                <w:rFonts w:cs="Times New Roman"/>
                <w:sz w:val="22"/>
              </w:rPr>
            </w:pPr>
            <w:r w:rsidRPr="000D1988">
              <w:rPr>
                <w:rFonts w:cs="Times New Roman"/>
                <w:sz w:val="22"/>
              </w:rPr>
              <w:t>rs1800629</w:t>
            </w:r>
          </w:p>
        </w:tc>
        <w:tc>
          <w:tcPr>
            <w:tcW w:w="3818" w:type="dxa"/>
          </w:tcPr>
          <w:p w14:paraId="4A943A28" w14:textId="77777777" w:rsidR="00EF037E" w:rsidRPr="000D1988" w:rsidRDefault="00EF037E" w:rsidP="00DE09CD">
            <w:pPr>
              <w:spacing w:before="40" w:after="40"/>
              <w:rPr>
                <w:rFonts w:cs="Times New Roman"/>
                <w:sz w:val="22"/>
              </w:rPr>
            </w:pPr>
            <w:r w:rsidRPr="000D1988">
              <w:rPr>
                <w:rFonts w:cs="Times New Roman"/>
                <w:sz w:val="22"/>
              </w:rPr>
              <w:t>LS</w:t>
            </w:r>
          </w:p>
        </w:tc>
        <w:tc>
          <w:tcPr>
            <w:tcW w:w="2302" w:type="dxa"/>
          </w:tcPr>
          <w:p w14:paraId="3387DC36" w14:textId="77777777" w:rsidR="00EF037E" w:rsidRPr="000D1988" w:rsidRDefault="00EF037E" w:rsidP="00DE09CD">
            <w:pPr>
              <w:spacing w:before="40" w:after="40"/>
              <w:rPr>
                <w:rFonts w:cs="Times New Roman"/>
                <w:sz w:val="22"/>
              </w:rPr>
            </w:pPr>
            <w:r w:rsidRPr="000D1988">
              <w:rPr>
                <w:rFonts w:cs="Times New Roman"/>
                <w:sz w:val="22"/>
              </w:rPr>
              <w:t>Czech, Dutch, EA, German and Polish</w:t>
            </w:r>
          </w:p>
        </w:tc>
        <w:tc>
          <w:tcPr>
            <w:tcW w:w="1193" w:type="dxa"/>
          </w:tcPr>
          <w:p w14:paraId="7E17C89F" w14:textId="37B37D18" w:rsidR="00EF037E" w:rsidRPr="000D1988" w:rsidRDefault="00EF037E" w:rsidP="00DE09CD">
            <w:pPr>
              <w:spacing w:before="40" w:after="40"/>
              <w:rPr>
                <w:rFonts w:cs="Times New Roman"/>
                <w:sz w:val="22"/>
              </w:rPr>
            </w:pPr>
            <w:r w:rsidRPr="000D1988">
              <w:rPr>
                <w:rFonts w:cs="Times New Roman"/>
                <w:sz w:val="22"/>
              </w:rPr>
              <w:fldChar w:fldCharType="begin" w:fldLock="1"/>
            </w:r>
            <w:r w:rsidR="00160B99" w:rsidRPr="000D1988">
              <w:rPr>
                <w:rFonts w:cs="Times New Roman"/>
                <w:sz w:val="22"/>
              </w:rPr>
              <w:instrText>ADDIN CSL_CITATION { "citationItems" : [ { "id" : "ITEM-1", "itemData" : { "abstract" : "Sarcoidosis is a multi-facets disease. Along with environment, the role of genetic component in this immune-mediated granulomatous disorder is undisputable, irrespective of the tissue/ organ involved (lung, eyes, heart, etc.). Due to undefined etiology of this complex disorder, it has remained as challenge to control the disease progression. Further, identification of prognostic genetic maker for this disease at functional as well as non-functional level has remained intriguing. To understand the sarcoidosis susceptibility at genetic level, several molecular approaches, such as meta-analysis of GWAS, significant association of coding and rare variants, fine mapping of susceptible loci, gene networking and their associated mechanism, copy number variations, single nucleotide polymorphisms in miRNAs (mirSNPs) and epigenetic changes in case control studies across cohorts of different ethnic groups would reveal a better insight.", "author" : [ { "dropping-particle" : "", "family" : "Kishore", "given" : "Amit", "non-dropping-particle" : "", "parse-names" : false, "suffix" : "" }, { "dropping-particle" : "", "family" : "Petrek", "given" : "Martin", "non-dropping-particle" : "", "parse-names" : false, "suffix" : "" } ], "container-title" : "International Trends in Immunity", "id" : "ITEM-1", "issue" : "4", "issued" : { "date-parts" : [ [ "2013" ] ] }, "page" : "43-53", "title" : "Immunogenetics of Saarcoidosis", "type" : "article-journal", "volume" : "1" }, "uris" : [ "http://www.mendeley.com/documents/?uuid=56b661c0-7ce1-3f1e-b01e-f1a5f2ec5785" ] }, { "id" : "ITEM-2", "itemData" : { "DOI" : "10.1016/j.ccm.2015.08.002", "ISBN" : "9780323402408", "ISSN" : "1557-8216", "PMID" : "26593134", "abstract" : "Sarcoidosis is a disease with highly variable presentation and progression; although it is hypothesized that disease phenotype is related to genetic variation, how much of this variability is driven by genetic factors is not known. The HLA region is the most strongly and consistently associated genetic risk factor for sarcoidosis, supporting the notion that sarcoidosis is an exposure-mediated immunologic disease. Most of the genetic etiology of sarcoidosis remains unknown in terms of the specific variants that increase risk in various populations, their biologic functions, and how they interact with environmental exposures.", "author" : [ { "dropping-particle" : "", "family" : "Fingerlin", "given" : "Tasha E.", "non-dropping-particle" : "", "parse-names" : false, "suffix" : "" }, { "dropping-particle" : "", "family" : "Hamzeh", "given" : "Nabeel", "non-dropping-particle" : "", "parse-names" : false, "suffix" : "" }, { "dropping-particle" : "", "family" : "Maier", "given" : "Lisa A.", "non-dropping-particle" : "", "parse-names" : false, "suffix" : "" } ], "container-title" : "Clinics in chest medicine", "id" : "ITEM-2", "issue" : "4", "issued" : { "date-parts" : [ [ "2015", "12" ] ] }, "page" : "569-84", "title" : "Genetics of Sarcoidosis.", "type" : "article-journal", "volume" : "36" }, "uris" : [ "http://www.mendeley.com/documents/?uuid=0756ce18-1de6-32f0-b676-fd7177b527cc" ] }, { "id" : "ITEM-3", "itemData" : { "DOI" : "10.1111/j.1399-0039.2005.00370.x", "ISSN" : "0001-2815", "PMID" : "15713215", "abstract" : "Sarcoidosis is a granulomatous disorder showing a clear association with MHC (HLA) class I and class II genes. In order to investigate whether polymorphisms of nearby pro-inflammatory genes located within the MHC class III region may also contribute to susceptibility to sarcoidosis or to its clinical manifestation, tumour necrosis factor-alpha (TNF-alpha) and lymphotoxin-alpha (LT-alpha) genes were chosen for analysis in a case-control association study. In order to evaluate the findings on the TNF-alpha and LT-alpha genes in connection with the closely linked MHC class II region, 'classical' HLA-DRB1 locus was also investigated. Polymerase chain reaction-based methodologies were used in order to characterize two single-nucleotide polymorphisms (TNF-308*G/A and LTAlpha+252*A/G) and HLA-DRB1 allele groups in 114 Czech patients with pulmonary sarcoidosis and 425 healthy controls. LTA+252*G and HLA-DRB1*13 allele carriers were more frequent in patients, compared to those in controls. By contrast, HLA-DRB1*07 carriers were less frequent among sarcoidosis patients. The overrepresentation of TNF-308*A, LTAlpha+252*G and HLA-DRB1*03 allele carriers was found in a subgroup of sarcoidosis patients presenting with Lofgren's syndrome (LS) by comparison with the subgroup of patients without LS (NLS; phenotype frequency LS vs NLS: 68.8 vs 37.1% for TNF-308*A, 93.8 vs 66.3% for LTA+252*G and 68.8 vs 21.3% for DRB1*03). The data suggest that the LTAlpha and HLA-DRB1 genes themselves or a gene located nearby contributes to the susceptibility to sarcoidosis and that TNF-308*A, LTA+252*G and HLA-DRB1*03 alleles are associated (directly or via linkage with unknown causative locus) with LS as a specific manifestation of the disease.", "author" : [ { "dropping-particle" : "", "family" : "Mrazek", "given" : "F.", "non-dropping-particle" : "", "parse-names" : false, "suffix" : "" }, { "dropping-particle" : "", "family" : "Holla", "given" : "L. I.", "non-dropping-particle" : "", "parse-names" : false, "suffix" : "" }, { "dropping-particle" : "", "family" : "Hutyrova", "given" : "B.", "non-dropping-particle" : "", "parse-names" : false, "suffix" : "" }, { "dropping-particle" : "", "family" : "Znojil", "given" : "V.", "non-dropping-particle" : "", "parse-names" : false, "suffix" : "" }, { "dropping-particle" : "", "family" : "Vasku", "given" : "A.", "non-dropping-particle" : "", "parse-names" : false, "suffix" : "" }, { "dropping-particle" : "", "family" : "Kolek", "given" : "V.", "non-dropping-particle" : "", "parse-names" : false, "suffix" : "" }, { "dropping-particle" : "", "family" : "Welsh", "given" : "K. I.", "non-dropping-particle" : "", "parse-names" : false, "suffix" : "" }, { "dropping-particle" : "", "family" : "Vacha", "given" : "J.", "non-dropping-particle" : "", "parse-names" : false, "suffix" : "" }, { "dropping-particle" : "", "family" : "Bois", "given" : "R M", "non-dropping-particle" : "du", "parse-names" : false, "suffix" : "" }, { "dropping-particle" : "", "family" : "Petrek", "given" : "Martin", "non-dropping-particle" : "", "parse-names" : false, "suffix" : "" } ], "container-title" : "Tissue antigens", "id" : "ITEM-3", "issue" : "2", "issued" : { "date-parts" : [ [ "2005", "2" ] ] }, "page" : "163-71", "title" : "Association of tumour necrosis factor-alpha, lymphotoxin-alpha and HLA-DRB1 gene polymorphisms with L\u00f6fgren's syndrome in Czech patients with sarcoidosis.", "type" : "article-journal", "volume" : "65" }, "uris" : [ "http://www.mendeley.com/documents/?uuid=9b59cd19-d3f3-4407-8074-dc7b2e9393a5" ] } ], "mendeley" : { "formattedCitation" : "(4,7,14)", "plainTextFormattedCitation" : "(4,7,14)", "previouslyFormattedCitation" : "(2,5,12)" }, "properties" : { "noteIndex" : 0 }, "schema" : "https://github.com/citation-style-language/schema/raw/master/csl-citation.json" }</w:instrText>
            </w:r>
            <w:r w:rsidRPr="000D1988">
              <w:rPr>
                <w:rFonts w:cs="Times New Roman"/>
                <w:sz w:val="22"/>
              </w:rPr>
              <w:fldChar w:fldCharType="separate"/>
            </w:r>
            <w:r w:rsidR="00160B99" w:rsidRPr="000D1988">
              <w:rPr>
                <w:rFonts w:cs="Times New Roman"/>
                <w:noProof/>
                <w:sz w:val="22"/>
              </w:rPr>
              <w:t>(4,7,14)</w:t>
            </w:r>
            <w:r w:rsidRPr="000D1988">
              <w:rPr>
                <w:rFonts w:cs="Times New Roman"/>
                <w:sz w:val="22"/>
              </w:rPr>
              <w:fldChar w:fldCharType="end"/>
            </w:r>
          </w:p>
        </w:tc>
      </w:tr>
      <w:tr w:rsidR="00EF037E" w:rsidRPr="000D1988" w14:paraId="0A5781C1" w14:textId="77777777" w:rsidTr="00E51F7A">
        <w:tc>
          <w:tcPr>
            <w:tcW w:w="1530" w:type="dxa"/>
            <w:tcBorders>
              <w:bottom w:val="nil"/>
            </w:tcBorders>
          </w:tcPr>
          <w:p w14:paraId="37E4D122" w14:textId="5EAA2881" w:rsidR="00EF037E" w:rsidRPr="000D1988" w:rsidRDefault="00EF037E" w:rsidP="00DE09CD">
            <w:pPr>
              <w:spacing w:before="40" w:after="40"/>
              <w:rPr>
                <w:rFonts w:cs="Times New Roman"/>
                <w:sz w:val="22"/>
              </w:rPr>
            </w:pPr>
            <w:r w:rsidRPr="000D1988">
              <w:rPr>
                <w:rFonts w:cs="Times New Roman"/>
                <w:sz w:val="22"/>
              </w:rPr>
              <w:t>LTA</w:t>
            </w:r>
            <w:r w:rsidR="00865F8A" w:rsidRPr="000D1988">
              <w:rPr>
                <w:rFonts w:cs="Times New Roman"/>
                <w:sz w:val="22"/>
                <w:vertAlign w:val="superscript"/>
              </w:rPr>
              <w:t>#</w:t>
            </w:r>
          </w:p>
        </w:tc>
        <w:tc>
          <w:tcPr>
            <w:tcW w:w="1800" w:type="dxa"/>
          </w:tcPr>
          <w:p w14:paraId="6037DE97" w14:textId="77777777" w:rsidR="00EF037E" w:rsidRPr="000D1988" w:rsidRDefault="00EF037E" w:rsidP="00DE09CD">
            <w:pPr>
              <w:spacing w:before="40" w:after="40"/>
              <w:rPr>
                <w:rFonts w:cs="Times New Roman"/>
                <w:sz w:val="22"/>
              </w:rPr>
            </w:pPr>
            <w:r w:rsidRPr="000D1988">
              <w:rPr>
                <w:rFonts w:cs="Times New Roman"/>
                <w:sz w:val="22"/>
              </w:rPr>
              <w:t>rs909253</w:t>
            </w:r>
          </w:p>
        </w:tc>
        <w:tc>
          <w:tcPr>
            <w:tcW w:w="3818" w:type="dxa"/>
          </w:tcPr>
          <w:p w14:paraId="5A632D82" w14:textId="77777777" w:rsidR="00EF037E" w:rsidRPr="000D1988" w:rsidRDefault="00EF037E" w:rsidP="00DE09CD">
            <w:pPr>
              <w:spacing w:before="40" w:after="40"/>
              <w:rPr>
                <w:rFonts w:cs="Times New Roman"/>
                <w:sz w:val="22"/>
              </w:rPr>
            </w:pPr>
            <w:r w:rsidRPr="000D1988">
              <w:rPr>
                <w:rFonts w:cs="Times New Roman"/>
                <w:sz w:val="22"/>
              </w:rPr>
              <w:t>LS</w:t>
            </w:r>
          </w:p>
        </w:tc>
        <w:tc>
          <w:tcPr>
            <w:tcW w:w="2302" w:type="dxa"/>
          </w:tcPr>
          <w:p w14:paraId="29D5A839" w14:textId="77777777" w:rsidR="00EF037E" w:rsidRPr="000D1988" w:rsidRDefault="00EF037E" w:rsidP="00DE09CD">
            <w:pPr>
              <w:spacing w:before="40" w:after="40"/>
              <w:rPr>
                <w:rFonts w:cs="Times New Roman"/>
                <w:sz w:val="22"/>
              </w:rPr>
            </w:pPr>
            <w:r w:rsidRPr="000D1988">
              <w:rPr>
                <w:rFonts w:cs="Times New Roman"/>
                <w:sz w:val="22"/>
              </w:rPr>
              <w:t>Polish, EA females</w:t>
            </w:r>
          </w:p>
        </w:tc>
        <w:tc>
          <w:tcPr>
            <w:tcW w:w="1193" w:type="dxa"/>
          </w:tcPr>
          <w:p w14:paraId="04A35DF0" w14:textId="04314D85" w:rsidR="00EF037E" w:rsidRPr="000D1988" w:rsidRDefault="00EF037E" w:rsidP="00DE09CD">
            <w:pPr>
              <w:spacing w:before="40" w:after="40"/>
              <w:rPr>
                <w:rFonts w:cs="Times New Roman"/>
                <w:sz w:val="22"/>
              </w:rPr>
            </w:pPr>
            <w:r w:rsidRPr="000D1988">
              <w:rPr>
                <w:rFonts w:cs="Times New Roman"/>
                <w:sz w:val="22"/>
              </w:rPr>
              <w:fldChar w:fldCharType="begin" w:fldLock="1"/>
            </w:r>
            <w:r w:rsidR="00160B99" w:rsidRPr="000D1988">
              <w:rPr>
                <w:rFonts w:cs="Times New Roman"/>
                <w:sz w:val="22"/>
              </w:rPr>
              <w:instrText>ADDIN CSL_CITATION { "citationItems" : [ { "id" : "ITEM-1", "itemData" : { "DOI" : "10.1016/j.ccm.2015.08.002", "ISBN" : "9780323402408", "ISSN" : "1557-8216", "PMID" : "26593134", "abstract" : "Sarcoidosis is a disease with highly variable presentation and progression; although it is hypothesized that disease phenotype is related to genetic variation, how much of this variability is driven by genetic factors is not known. The HLA region is the most strongly and consistently associated genetic risk factor for sarcoidosis, supporting the notion that sarcoidosis is an exposure-mediated immunologic disease. Most of the genetic etiology of sarcoidosis remains unknown in terms of the specific variants that increase risk in various populations, their biologic functions, and how they interact with environmental exposures.", "author" : [ { "dropping-particle" : "", "family" : "Fingerlin", "given" : "Tasha E.", "non-dropping-particle" : "", "parse-names" : false, "suffix" : "" }, { "dropping-particle" : "", "family" : "Hamzeh", "given" : "Nabeel", "non-dropping-particle" : "", "parse-names" : false, "suffix" : "" }, { "dropping-particle" : "", "family" : "Maier", "given" : "Lisa A.", "non-dropping-particle" : "", "parse-names" : false, "suffix" : "" } ], "container-title" : "Clinics in chest medicine", "id" : "ITEM-1", "issue" : "4", "issued" : { "date-parts" : [ [ "2015", "12" ] ] }, "page" : "569-84", "title" : "Genetics of Sarcoidosis.", "type" : "article-journal", "volume" : "36" }, "uris" : [ "http://www.mendeley.com/documents/?uuid=0756ce18-1de6-32f0-b676-fd7177b527cc" ] } ], "mendeley" : { "formattedCitation" : "(7)", "plainTextFormattedCitation" : "(7)", "previouslyFormattedCitation" : "(5)" }, "properties" : { "noteIndex" : 0 }, "schema" : "https://github.com/citation-style-language/schema/raw/master/csl-citation.json" }</w:instrText>
            </w:r>
            <w:r w:rsidRPr="000D1988">
              <w:rPr>
                <w:rFonts w:cs="Times New Roman"/>
                <w:sz w:val="22"/>
              </w:rPr>
              <w:fldChar w:fldCharType="separate"/>
            </w:r>
            <w:r w:rsidR="00160B99" w:rsidRPr="000D1988">
              <w:rPr>
                <w:rFonts w:cs="Times New Roman"/>
                <w:noProof/>
                <w:sz w:val="22"/>
              </w:rPr>
              <w:t>(7)</w:t>
            </w:r>
            <w:r w:rsidRPr="000D1988">
              <w:rPr>
                <w:rFonts w:cs="Times New Roman"/>
                <w:sz w:val="22"/>
              </w:rPr>
              <w:fldChar w:fldCharType="end"/>
            </w:r>
          </w:p>
        </w:tc>
      </w:tr>
      <w:tr w:rsidR="00EF037E" w:rsidRPr="000D1988" w14:paraId="2EE690E3" w14:textId="77777777" w:rsidTr="00E51F7A">
        <w:tc>
          <w:tcPr>
            <w:tcW w:w="1530" w:type="dxa"/>
            <w:tcBorders>
              <w:top w:val="nil"/>
            </w:tcBorders>
          </w:tcPr>
          <w:p w14:paraId="5A197A1D" w14:textId="77777777" w:rsidR="00EF037E" w:rsidRPr="000D1988" w:rsidRDefault="00EF037E" w:rsidP="00DE09CD">
            <w:pPr>
              <w:spacing w:before="40" w:after="40"/>
              <w:rPr>
                <w:rFonts w:cs="Times New Roman"/>
                <w:sz w:val="22"/>
              </w:rPr>
            </w:pPr>
          </w:p>
        </w:tc>
        <w:tc>
          <w:tcPr>
            <w:tcW w:w="1800" w:type="dxa"/>
          </w:tcPr>
          <w:p w14:paraId="1E6EA2CC" w14:textId="77777777" w:rsidR="00EF037E" w:rsidRPr="000D1988" w:rsidRDefault="00EF037E" w:rsidP="00DE09CD">
            <w:pPr>
              <w:spacing w:before="40" w:after="40"/>
              <w:rPr>
                <w:rFonts w:cs="Times New Roman"/>
                <w:sz w:val="22"/>
              </w:rPr>
            </w:pPr>
            <w:r w:rsidRPr="000D1988">
              <w:rPr>
                <w:rFonts w:cs="Times New Roman"/>
                <w:sz w:val="22"/>
              </w:rPr>
              <w:t>rs2239704</w:t>
            </w:r>
          </w:p>
        </w:tc>
        <w:tc>
          <w:tcPr>
            <w:tcW w:w="3818" w:type="dxa"/>
          </w:tcPr>
          <w:p w14:paraId="1568340B" w14:textId="77777777" w:rsidR="00EF037E" w:rsidRPr="000D1988" w:rsidRDefault="00EF037E" w:rsidP="00DE09CD">
            <w:pPr>
              <w:spacing w:before="40" w:after="40"/>
              <w:rPr>
                <w:rFonts w:cs="Times New Roman"/>
                <w:sz w:val="22"/>
              </w:rPr>
            </w:pPr>
            <w:r w:rsidRPr="000D1988">
              <w:rPr>
                <w:rFonts w:cs="Times New Roman"/>
                <w:sz w:val="22"/>
              </w:rPr>
              <w:t>Non-LS</w:t>
            </w:r>
          </w:p>
        </w:tc>
        <w:tc>
          <w:tcPr>
            <w:tcW w:w="2302" w:type="dxa"/>
          </w:tcPr>
          <w:p w14:paraId="59A14BDB" w14:textId="77777777" w:rsidR="00EF037E" w:rsidRPr="000D1988" w:rsidRDefault="00EF037E" w:rsidP="00DE09CD">
            <w:pPr>
              <w:spacing w:before="40" w:after="40"/>
              <w:rPr>
                <w:rFonts w:cs="Times New Roman"/>
                <w:sz w:val="22"/>
              </w:rPr>
            </w:pPr>
            <w:r w:rsidRPr="000D1988">
              <w:rPr>
                <w:rFonts w:cs="Times New Roman"/>
                <w:sz w:val="22"/>
              </w:rPr>
              <w:t>European cohorts</w:t>
            </w:r>
          </w:p>
        </w:tc>
        <w:tc>
          <w:tcPr>
            <w:tcW w:w="1193" w:type="dxa"/>
          </w:tcPr>
          <w:p w14:paraId="1BE803CD" w14:textId="67DF8CA8" w:rsidR="00EF037E" w:rsidRPr="000D1988" w:rsidRDefault="00EF037E" w:rsidP="00DE09CD">
            <w:pPr>
              <w:spacing w:before="40" w:after="40"/>
              <w:rPr>
                <w:rFonts w:cs="Times New Roman"/>
                <w:sz w:val="22"/>
              </w:rPr>
            </w:pPr>
            <w:r w:rsidRPr="000D1988">
              <w:rPr>
                <w:rFonts w:cs="Times New Roman"/>
                <w:sz w:val="22"/>
              </w:rPr>
              <w:fldChar w:fldCharType="begin" w:fldLock="1"/>
            </w:r>
            <w:r w:rsidR="00160B99" w:rsidRPr="000D1988">
              <w:rPr>
                <w:rFonts w:cs="Times New Roman"/>
                <w:sz w:val="22"/>
              </w:rPr>
              <w:instrText>ADDIN CSL_CITATION { "citationItems" : [ { "id" : "ITEM-1", "itemData" : { "ISSN" : "1535-4970", "PMID" : "26651848", "abstract" : "RATIONALE Sarcoidosis is a multisystem disease of unknown cause. L\u00f6fgren's syndrome (LS) is a characteristic subgroup of sarcoidosis that is associated with a good prognosis in sarcoidosis. However, little is known about its genetic architecture or its broader phenotype, non-LS sarcoidosis. OBJECTIVES To address the genetic architecture of sarcoidosis phenotypes, LS and non-LS. METHODS An association study in a white Swedish cohort of 384 LS, 664 non-LS, and 2,086 control subjects, totaling 3,134 subjects using a fine-mapping genotyping platform was conducted. Replication was performed in four independent cohorts, three of white European descent (Germany, n = 4,975; the Netherlands, n = 613; and Czech Republic, n = 521), and one of black African descent (United States, n = 1,657), totaling 7,766 subjects. MEASUREMENTS AND MAIN RESULTS A total of 727 LS-associated variants expanding throughout the extended major histocompatibility complex (MHC) region and 68 non-LS-associated variants located in the MHC class II region were identified and confirmed. A shared overlap between LS and non-LS defined by 17 variants located in the MHC class II region was found. Outside the MHC region, two LS-associated loci, in ADCY3 and between CSMD1 and MCPH1, were observed and replicated. CONCLUSIONS Comprehensive and integrative analyses of genetics, transcription, and pathway modeling on LS and non-LS indicates that these sarcoidosis phenotypes have different genetic susceptibility, genomic distributions, and cellular activities, suggesting distinct molecular mechanisms in pathways related to immune response with a common region.", "author" : [ { "dropping-particle" : "V", "family" : "Rivera", "given" : "Natalia", "non-dropping-particle" : "", "parse-names" : false, "suffix" : "" }, { "dropping-particle" : "", "family" : "Ronninger", "given" : "Marcus", "non-dropping-particle" : "", "parse-names" : false, "suffix" : "" }, { "dropping-particle" : "", "family" : "Shchetynsky", "given" : "Klementy", "non-dropping-particle" : "", "parse-names" : false, "suffix" : "" }, { "dropping-particle" : "", "family" : "Franke", "given" : "Andre", "non-dropping-particle" : "", "parse-names" : false, "suffix" : "" }, { "dropping-particle" : "", "family" : "N\u00f6then", "given" : "Markus M", "non-dropping-particle" : "", "parse-names" : false, "suffix" : "" }, { "dropping-particle" : "", "family" : "M\u00fcller-Quernheim", "given" : "Joachim", "non-dropping-particle" : "", "parse-names" : false, "suffix" : "" }, { "dropping-particle" : "", "family" : "Schreiber", "given" : "Stefan", "non-dropping-particle" : "", "parse-names" : false, "suffix" : "" }, { "dropping-particle" : "", "family" : "Adrianto", "given" : "Indra", "non-dropping-particle" : "", "parse-names" : false, "suffix" : "" }, { "dropping-particle" : "", "family" : "Karakaya", "given" : "Bekir", "non-dropping-particle" : "", "parse-names" : false, "suffix" : "" }, { "dropping-particle" : "", "family" : "Moorsel", "given" : "Coline H M", "non-dropping-particle" : "van", "parse-names" : false, "suffix" : "" }, { "dropping-particle" : "", "family" : "Navratilova", "given" : "Zdenka", "non-dropping-particle" : "", "parse-names" : false, "suffix" : "" }, { "dropping-particle" : "", "family" : "Kolek", "given" : "Vitezslav", "non-dropping-particle" : "", "parse-names" : false, "suffix" : "" }, { "dropping-particle" : "", "family" : "Rybicki", "given" : "Benjamin A", "non-dropping-particle" : "", "parse-names" : false, "suffix" : "" }, { "dropping-particle" : "", "family" : "Iannuzzi", "given" : "Michael C", "non-dropping-particle" : "", "parse-names" : false, "suffix" : "" }, { "dropping-particle" : "", "family" : "Petrek", "given" : "Martin", "non-dropping-particle" : "", "parse-names" : false, "suffix" : "" }, { "dropping-particle" : "", "family" : "Grutters", "given" : "Jan C", "non-dropping-particle" : "", "parse-names" : false, "suffix" : "" }, { "dropping-particle" : "", "family" : "Montgomery", "given" : "Courtney", "non-dropping-particle" : "", "parse-names" : false, "suffix" : "" }, { "dropping-particle" : "", "family" : "Fischer", "given" : "Annegret", "non-dropping-particle" : "", "parse-names" : false, "suffix" : "" }, { "dropping-particle" : "", "family" : "Eklund", "given" : "Anders", "non-dropping-particle" : "", "parse-names" : false, "suffix" : "" }, { "dropping-particle" : "", "family" : "Padyukov", "given" : "Leonid", "non-dropping-particle" : "", "parse-names" : false, "suffix" : "" }, { "dropping-particle" : "", "family" : "Grunewald", "given" : "Johan", "non-dropping-particle" : "", "parse-names" : false, "suffix" : "" } ], "container-title" : "American journal of respiratory and critical care medicine", "id" : "ITEM-1", "issue" : "9", "issued" : { "date-parts" : [ [ "2016" ] ] }, "page" : "1008-1022", "title" : "High-Density Genetic Mapping Identifies New Susceptibility Variants in Sarcoidosis Phenotypes and Shows Genomic-driven Phenotypic Differences.", "type" : "article-journal", "volume" : "193" }, "uris" : [ "http://www.mendeley.com/documents/?uuid=3444866a-8eaf-3560-99a8-d5390537f8fd" ] } ], "mendeley" : { "formattedCitation" : "(9)", "plainTextFormattedCitation" : "(9)", "previouslyFormattedCitation" : "(7)" }, "properties" : { "noteIndex" : 0 }, "schema" : "https://github.com/citation-style-language/schema/raw/master/csl-citation.json" }</w:instrText>
            </w:r>
            <w:r w:rsidRPr="000D1988">
              <w:rPr>
                <w:rFonts w:cs="Times New Roman"/>
                <w:sz w:val="22"/>
              </w:rPr>
              <w:fldChar w:fldCharType="separate"/>
            </w:r>
            <w:r w:rsidR="00160B99" w:rsidRPr="000D1988">
              <w:rPr>
                <w:rFonts w:cs="Times New Roman"/>
                <w:noProof/>
                <w:sz w:val="22"/>
              </w:rPr>
              <w:t>(9)</w:t>
            </w:r>
            <w:r w:rsidRPr="000D1988">
              <w:rPr>
                <w:rFonts w:cs="Times New Roman"/>
                <w:sz w:val="22"/>
              </w:rPr>
              <w:fldChar w:fldCharType="end"/>
            </w:r>
          </w:p>
        </w:tc>
      </w:tr>
      <w:tr w:rsidR="00EF037E" w:rsidRPr="000D1988" w14:paraId="240DDEB5" w14:textId="77777777" w:rsidTr="00E51F7A">
        <w:tc>
          <w:tcPr>
            <w:tcW w:w="1530" w:type="dxa"/>
          </w:tcPr>
          <w:p w14:paraId="5E511DE5" w14:textId="7988A5AD" w:rsidR="00EF037E" w:rsidRPr="000D1988" w:rsidRDefault="00EF037E" w:rsidP="00DE09CD">
            <w:pPr>
              <w:spacing w:before="40" w:after="40"/>
              <w:rPr>
                <w:rFonts w:cs="Times New Roman"/>
                <w:sz w:val="22"/>
              </w:rPr>
            </w:pPr>
            <w:r w:rsidRPr="000D1988">
              <w:rPr>
                <w:rFonts w:cs="Times New Roman"/>
                <w:sz w:val="22"/>
              </w:rPr>
              <w:t>C6orf10</w:t>
            </w:r>
            <w:r w:rsidR="00865F8A" w:rsidRPr="000D1988">
              <w:rPr>
                <w:rFonts w:cs="Times New Roman"/>
                <w:sz w:val="22"/>
                <w:vertAlign w:val="superscript"/>
              </w:rPr>
              <w:t>#</w:t>
            </w:r>
          </w:p>
        </w:tc>
        <w:tc>
          <w:tcPr>
            <w:tcW w:w="1800" w:type="dxa"/>
          </w:tcPr>
          <w:p w14:paraId="68F4B454" w14:textId="77777777" w:rsidR="00EF037E" w:rsidRPr="000D1988" w:rsidRDefault="00EF037E" w:rsidP="00DE09CD">
            <w:pPr>
              <w:spacing w:before="40" w:after="40"/>
              <w:rPr>
                <w:rFonts w:cs="Times New Roman"/>
                <w:sz w:val="22"/>
              </w:rPr>
            </w:pPr>
            <w:r w:rsidRPr="000D1988">
              <w:rPr>
                <w:rFonts w:cs="Times New Roman"/>
                <w:sz w:val="22"/>
              </w:rPr>
              <w:t>rs3129927</w:t>
            </w:r>
          </w:p>
        </w:tc>
        <w:tc>
          <w:tcPr>
            <w:tcW w:w="3818" w:type="dxa"/>
          </w:tcPr>
          <w:p w14:paraId="0EB6E810" w14:textId="77777777" w:rsidR="00EF037E" w:rsidRPr="000D1988" w:rsidRDefault="00EF037E" w:rsidP="00DE09CD">
            <w:pPr>
              <w:spacing w:before="40" w:after="40"/>
              <w:rPr>
                <w:rFonts w:cs="Times New Roman"/>
                <w:sz w:val="22"/>
              </w:rPr>
            </w:pPr>
            <w:r w:rsidRPr="000D1988">
              <w:rPr>
                <w:rFonts w:cs="Times New Roman"/>
                <w:sz w:val="22"/>
              </w:rPr>
              <w:t>LS</w:t>
            </w:r>
          </w:p>
        </w:tc>
        <w:tc>
          <w:tcPr>
            <w:tcW w:w="2302" w:type="dxa"/>
          </w:tcPr>
          <w:p w14:paraId="19F176B8" w14:textId="77777777" w:rsidR="00EF037E" w:rsidRPr="000D1988" w:rsidRDefault="00EF037E" w:rsidP="00DE09CD">
            <w:pPr>
              <w:spacing w:before="40" w:after="40"/>
              <w:rPr>
                <w:rFonts w:cs="Times New Roman"/>
                <w:sz w:val="22"/>
              </w:rPr>
            </w:pPr>
            <w:r w:rsidRPr="000D1988">
              <w:rPr>
                <w:rFonts w:cs="Times New Roman"/>
                <w:sz w:val="22"/>
              </w:rPr>
              <w:t>European cohorts</w:t>
            </w:r>
          </w:p>
        </w:tc>
        <w:tc>
          <w:tcPr>
            <w:tcW w:w="1193" w:type="dxa"/>
          </w:tcPr>
          <w:p w14:paraId="5F644091" w14:textId="5AAE00E2" w:rsidR="00EF037E" w:rsidRPr="000D1988" w:rsidRDefault="00EF037E" w:rsidP="00DE09CD">
            <w:pPr>
              <w:spacing w:before="40" w:after="40"/>
              <w:rPr>
                <w:rFonts w:cs="Times New Roman"/>
                <w:sz w:val="22"/>
              </w:rPr>
            </w:pPr>
            <w:r w:rsidRPr="000D1988">
              <w:rPr>
                <w:rFonts w:cs="Times New Roman"/>
                <w:sz w:val="22"/>
              </w:rPr>
              <w:fldChar w:fldCharType="begin" w:fldLock="1"/>
            </w:r>
            <w:r w:rsidR="00160B99" w:rsidRPr="000D1988">
              <w:rPr>
                <w:rFonts w:cs="Times New Roman"/>
                <w:sz w:val="22"/>
              </w:rPr>
              <w:instrText>ADDIN CSL_CITATION { "citationItems" : [ { "id" : "ITEM-1", "itemData" : { "ISSN" : "1535-4970", "PMID" : "26651848", "abstract" : "RATIONALE Sarcoidosis is a multisystem disease of unknown cause. L\u00f6fgren's syndrome (LS) is a characteristic subgroup of sarcoidosis that is associated with a good prognosis in sarcoidosis. However, little is known about its genetic architecture or its broader phenotype, non-LS sarcoidosis. OBJECTIVES To address the genetic architecture of sarcoidosis phenotypes, LS and non-LS. METHODS An association study in a white Swedish cohort of 384 LS, 664 non-LS, and 2,086 control subjects, totaling 3,134 subjects using a fine-mapping genotyping platform was conducted. Replication was performed in four independent cohorts, three of white European descent (Germany, n = 4,975; the Netherlands, n = 613; and Czech Republic, n = 521), and one of black African descent (United States, n = 1,657), totaling 7,766 subjects. MEASUREMENTS AND MAIN RESULTS A total of 727 LS-associated variants expanding throughout the extended major histocompatibility complex (MHC) region and 68 non-LS-associated variants located in the MHC class II region were identified and confirmed. A shared overlap between LS and non-LS defined by 17 variants located in the MHC class II region was found. Outside the MHC region, two LS-associated loci, in ADCY3 and between CSMD1 and MCPH1, were observed and replicated. CONCLUSIONS Comprehensive and integrative analyses of genetics, transcription, and pathway modeling on LS and non-LS indicates that these sarcoidosis phenotypes have different genetic susceptibility, genomic distributions, and cellular activities, suggesting distinct molecular mechanisms in pathways related to immune response with a common region.", "author" : [ { "dropping-particle" : "V", "family" : "Rivera", "given" : "Natalia", "non-dropping-particle" : "", "parse-names" : false, "suffix" : "" }, { "dropping-particle" : "", "family" : "Ronninger", "given" : "Marcus", "non-dropping-particle" : "", "parse-names" : false, "suffix" : "" }, { "dropping-particle" : "", "family" : "Shchetynsky", "given" : "Klementy", "non-dropping-particle" : "", "parse-names" : false, "suffix" : "" }, { "dropping-particle" : "", "family" : "Franke", "given" : "Andre", "non-dropping-particle" : "", "parse-names" : false, "suffix" : "" }, { "dropping-particle" : "", "family" : "N\u00f6then", "given" : "Markus M", "non-dropping-particle" : "", "parse-names" : false, "suffix" : "" }, { "dropping-particle" : "", "family" : "M\u00fcller-Quernheim", "given" : "Joachim", "non-dropping-particle" : "", "parse-names" : false, "suffix" : "" }, { "dropping-particle" : "", "family" : "Schreiber", "given" : "Stefan", "non-dropping-particle" : "", "parse-names" : false, "suffix" : "" }, { "dropping-particle" : "", "family" : "Adrianto", "given" : "Indra", "non-dropping-particle" : "", "parse-names" : false, "suffix" : "" }, { "dropping-particle" : "", "family" : "Karakaya", "given" : "Bekir", "non-dropping-particle" : "", "parse-names" : false, "suffix" : "" }, { "dropping-particle" : "", "family" : "Moorsel", "given" : "Coline H M", "non-dropping-particle" : "van", "parse-names" : false, "suffix" : "" }, { "dropping-particle" : "", "family" : "Navratilova", "given" : "Zdenka", "non-dropping-particle" : "", "parse-names" : false, "suffix" : "" }, { "dropping-particle" : "", "family" : "Kolek", "given" : "Vitezslav", "non-dropping-particle" : "", "parse-names" : false, "suffix" : "" }, { "dropping-particle" : "", "family" : "Rybicki", "given" : "Benjamin A", "non-dropping-particle" : "", "parse-names" : false, "suffix" : "" }, { "dropping-particle" : "", "family" : "Iannuzzi", "given" : "Michael C", "non-dropping-particle" : "", "parse-names" : false, "suffix" : "" }, { "dropping-particle" : "", "family" : "Petrek", "given" : "Martin", "non-dropping-particle" : "", "parse-names" : false, "suffix" : "" }, { "dropping-particle" : "", "family" : "Grutters", "given" : "Jan C", "non-dropping-particle" : "", "parse-names" : false, "suffix" : "" }, { "dropping-particle" : "", "family" : "Montgomery", "given" : "Courtney", "non-dropping-particle" : "", "parse-names" : false, "suffix" : "" }, { "dropping-particle" : "", "family" : "Fischer", "given" : "Annegret", "non-dropping-particle" : "", "parse-names" : false, "suffix" : "" }, { "dropping-particle" : "", "family" : "Eklund", "given" : "Anders", "non-dropping-particle" : "", "parse-names" : false, "suffix" : "" }, { "dropping-particle" : "", "family" : "Padyukov", "given" : "Leonid", "non-dropping-particle" : "", "parse-names" : false, "suffix" : "" }, { "dropping-particle" : "", "family" : "Grunewald", "given" : "Johan", "non-dropping-particle" : "", "parse-names" : false, "suffix" : "" } ], "container-title" : "American journal of respiratory and critical care medicine", "id" : "ITEM-1", "issue" : "9", "issued" : { "date-parts" : [ [ "2016" ] ] }, "page" : "1008-1022", "title" : "High-Density Genetic Mapping Identifies New Susceptibility Variants in Sarcoidosis Phenotypes and Shows Genomic-driven Phenotypic Differences.", "type" : "article-journal", "volume" : "193" }, "uris" : [ "http://www.mendeley.com/documents/?uuid=3444866a-8eaf-3560-99a8-d5390537f8fd" ] } ], "mendeley" : { "formattedCitation" : "(9)", "plainTextFormattedCitation" : "(9)", "previouslyFormattedCitation" : "(7)" }, "properties" : { "noteIndex" : 0 }, "schema" : "https://github.com/citation-style-language/schema/raw/master/csl-citation.json" }</w:instrText>
            </w:r>
            <w:r w:rsidRPr="000D1988">
              <w:rPr>
                <w:rFonts w:cs="Times New Roman"/>
                <w:sz w:val="22"/>
              </w:rPr>
              <w:fldChar w:fldCharType="separate"/>
            </w:r>
            <w:r w:rsidR="00160B99" w:rsidRPr="000D1988">
              <w:rPr>
                <w:rFonts w:cs="Times New Roman"/>
                <w:noProof/>
                <w:sz w:val="22"/>
              </w:rPr>
              <w:t>(9)</w:t>
            </w:r>
            <w:r w:rsidRPr="000D1988">
              <w:rPr>
                <w:rFonts w:cs="Times New Roman"/>
                <w:sz w:val="22"/>
              </w:rPr>
              <w:fldChar w:fldCharType="end"/>
            </w:r>
          </w:p>
        </w:tc>
      </w:tr>
      <w:tr w:rsidR="00EF037E" w:rsidRPr="000D1988" w14:paraId="6974FE03" w14:textId="77777777" w:rsidTr="00E51F7A">
        <w:tc>
          <w:tcPr>
            <w:tcW w:w="1530" w:type="dxa"/>
          </w:tcPr>
          <w:p w14:paraId="43258C09" w14:textId="5987BB32" w:rsidR="00EF037E" w:rsidRPr="000D1988" w:rsidRDefault="00EF037E" w:rsidP="00DE09CD">
            <w:pPr>
              <w:spacing w:before="40" w:after="40"/>
              <w:rPr>
                <w:rFonts w:cs="Times New Roman"/>
                <w:sz w:val="22"/>
              </w:rPr>
            </w:pPr>
            <w:r w:rsidRPr="000D1988">
              <w:rPr>
                <w:rFonts w:cs="Times New Roman"/>
                <w:sz w:val="22"/>
              </w:rPr>
              <w:t>(C6orf10, BTNL2)</w:t>
            </w:r>
            <w:r w:rsidR="00865F8A" w:rsidRPr="000D1988">
              <w:rPr>
                <w:rFonts w:cs="Times New Roman"/>
                <w:sz w:val="22"/>
                <w:vertAlign w:val="superscript"/>
              </w:rPr>
              <w:t>#</w:t>
            </w:r>
          </w:p>
        </w:tc>
        <w:tc>
          <w:tcPr>
            <w:tcW w:w="1800" w:type="dxa"/>
          </w:tcPr>
          <w:p w14:paraId="127A1DA6" w14:textId="77777777" w:rsidR="00EF037E" w:rsidRPr="000D1988" w:rsidRDefault="00EF037E" w:rsidP="00DE09CD">
            <w:pPr>
              <w:spacing w:before="40" w:after="40"/>
              <w:rPr>
                <w:rFonts w:cs="Times New Roman"/>
                <w:sz w:val="22"/>
              </w:rPr>
            </w:pPr>
            <w:r w:rsidRPr="000D1988">
              <w:rPr>
                <w:rFonts w:cs="Times New Roman"/>
                <w:sz w:val="22"/>
              </w:rPr>
              <w:t>rs3129950</w:t>
            </w:r>
          </w:p>
        </w:tc>
        <w:tc>
          <w:tcPr>
            <w:tcW w:w="3818" w:type="dxa"/>
          </w:tcPr>
          <w:p w14:paraId="71D01DC0" w14:textId="77777777" w:rsidR="00EF037E" w:rsidRPr="000D1988" w:rsidRDefault="00EF037E" w:rsidP="00DE09CD">
            <w:pPr>
              <w:spacing w:before="40" w:after="40"/>
              <w:rPr>
                <w:rFonts w:cs="Times New Roman"/>
                <w:sz w:val="22"/>
              </w:rPr>
            </w:pPr>
            <w:r w:rsidRPr="000D1988">
              <w:rPr>
                <w:rFonts w:cs="Times New Roman"/>
                <w:sz w:val="22"/>
              </w:rPr>
              <w:t>LS</w:t>
            </w:r>
          </w:p>
        </w:tc>
        <w:tc>
          <w:tcPr>
            <w:tcW w:w="2302" w:type="dxa"/>
          </w:tcPr>
          <w:p w14:paraId="581254A5" w14:textId="77777777" w:rsidR="00EF037E" w:rsidRPr="000D1988" w:rsidRDefault="00EF037E" w:rsidP="00DE09CD">
            <w:pPr>
              <w:spacing w:before="40" w:after="40"/>
              <w:rPr>
                <w:rFonts w:cs="Times New Roman"/>
                <w:sz w:val="22"/>
              </w:rPr>
            </w:pPr>
            <w:r w:rsidRPr="000D1988">
              <w:rPr>
                <w:rFonts w:cs="Times New Roman"/>
                <w:sz w:val="22"/>
              </w:rPr>
              <w:t>European cohorts</w:t>
            </w:r>
          </w:p>
        </w:tc>
        <w:tc>
          <w:tcPr>
            <w:tcW w:w="1193" w:type="dxa"/>
          </w:tcPr>
          <w:p w14:paraId="52462E8F" w14:textId="3B55106F" w:rsidR="00EF037E" w:rsidRPr="000D1988" w:rsidRDefault="00EF037E" w:rsidP="00DE09CD">
            <w:pPr>
              <w:spacing w:before="40" w:after="40"/>
              <w:rPr>
                <w:rFonts w:cs="Times New Roman"/>
                <w:sz w:val="22"/>
              </w:rPr>
            </w:pPr>
            <w:r w:rsidRPr="000D1988">
              <w:rPr>
                <w:rFonts w:cs="Times New Roman"/>
                <w:sz w:val="22"/>
              </w:rPr>
              <w:fldChar w:fldCharType="begin" w:fldLock="1"/>
            </w:r>
            <w:r w:rsidR="00160B99" w:rsidRPr="000D1988">
              <w:rPr>
                <w:rFonts w:cs="Times New Roman"/>
                <w:sz w:val="22"/>
              </w:rPr>
              <w:instrText>ADDIN CSL_CITATION { "citationItems" : [ { "id" : "ITEM-1", "itemData" : { "ISSN" : "1535-4970", "PMID" : "26651848", "abstract" : "RATIONALE Sarcoidosis is a multisystem disease of unknown cause. L\u00f6fgren's syndrome (LS) is a characteristic subgroup of sarcoidosis that is associated with a good prognosis in sarcoidosis. However, little is known about its genetic architecture or its broader phenotype, non-LS sarcoidosis. OBJECTIVES To address the genetic architecture of sarcoidosis phenotypes, LS and non-LS. METHODS An association study in a white Swedish cohort of 384 LS, 664 non-LS, and 2,086 control subjects, totaling 3,134 subjects using a fine-mapping genotyping platform was conducted. Replication was performed in four independent cohorts, three of white European descent (Germany, n = 4,975; the Netherlands, n = 613; and Czech Republic, n = 521), and one of black African descent (United States, n = 1,657), totaling 7,766 subjects. MEASUREMENTS AND MAIN RESULTS A total of 727 LS-associated variants expanding throughout the extended major histocompatibility complex (MHC) region and 68 non-LS-associated variants located in the MHC class II region were identified and confirmed. A shared overlap between LS and non-LS defined by 17 variants located in the MHC class II region was found. Outside the MHC region, two LS-associated loci, in ADCY3 and between CSMD1 and MCPH1, were observed and replicated. CONCLUSIONS Comprehensive and integrative analyses of genetics, transcription, and pathway modeling on LS and non-LS indicates that these sarcoidosis phenotypes have different genetic susceptibility, genomic distributions, and cellular activities, suggesting distinct molecular mechanisms in pathways related to immune response with a common region.", "author" : [ { "dropping-particle" : "V", "family" : "Rivera", "given" : "Natalia", "non-dropping-particle" : "", "parse-names" : false, "suffix" : "" }, { "dropping-particle" : "", "family" : "Ronninger", "given" : "Marcus", "non-dropping-particle" : "", "parse-names" : false, "suffix" : "" }, { "dropping-particle" : "", "family" : "Shchetynsky", "given" : "Klementy", "non-dropping-particle" : "", "parse-names" : false, "suffix" : "" }, { "dropping-particle" : "", "family" : "Franke", "given" : "Andre", "non-dropping-particle" : "", "parse-names" : false, "suffix" : "" }, { "dropping-particle" : "", "family" : "N\u00f6then", "given" : "Markus M", "non-dropping-particle" : "", "parse-names" : false, "suffix" : "" }, { "dropping-particle" : "", "family" : "M\u00fcller-Quernheim", "given" : "Joachim", "non-dropping-particle" : "", "parse-names" : false, "suffix" : "" }, { "dropping-particle" : "", "family" : "Schreiber", "given" : "Stefan", "non-dropping-particle" : "", "parse-names" : false, "suffix" : "" }, { "dropping-particle" : "", "family" : "Adrianto", "given" : "Indra", "non-dropping-particle" : "", "parse-names" : false, "suffix" : "" }, { "dropping-particle" : "", "family" : "Karakaya", "given" : "Bekir", "non-dropping-particle" : "", "parse-names" : false, "suffix" : "" }, { "dropping-particle" : "", "family" : "Moorsel", "given" : "Coline H M", "non-dropping-particle" : "van", "parse-names" : false, "suffix" : "" }, { "dropping-particle" : "", "family" : "Navratilova", "given" : "Zdenka", "non-dropping-particle" : "", "parse-names" : false, "suffix" : "" }, { "dropping-particle" : "", "family" : "Kolek", "given" : "Vitezslav", "non-dropping-particle" : "", "parse-names" : false, "suffix" : "" }, { "dropping-particle" : "", "family" : "Rybicki", "given" : "Benjamin A", "non-dropping-particle" : "", "parse-names" : false, "suffix" : "" }, { "dropping-particle" : "", "family" : "Iannuzzi", "given" : "Michael C", "non-dropping-particle" : "", "parse-names" : false, "suffix" : "" }, { "dropping-particle" : "", "family" : "Petrek", "given" : "Martin", "non-dropping-particle" : "", "parse-names" : false, "suffix" : "" }, { "dropping-particle" : "", "family" : "Grutters", "given" : "Jan C", "non-dropping-particle" : "", "parse-names" : false, "suffix" : "" }, { "dropping-particle" : "", "family" : "Montgomery", "given" : "Courtney", "non-dropping-particle" : "", "parse-names" : false, "suffix" : "" }, { "dropping-particle" : "", "family" : "Fischer", "given" : "Annegret", "non-dropping-particle" : "", "parse-names" : false, "suffix" : "" }, { "dropping-particle" : "", "family" : "Eklund", "given" : "Anders", "non-dropping-particle" : "", "parse-names" : false, "suffix" : "" }, { "dropping-particle" : "", "family" : "Padyukov", "given" : "Leonid", "non-dropping-particle" : "", "parse-names" : false, "suffix" : "" }, { "dropping-particle" : "", "family" : "Grunewald", "given" : "Johan", "non-dropping-particle" : "", "parse-names" : false, "suffix" : "" } ], "container-title" : "American journal of respiratory and critical care medicine", "id" : "ITEM-1", "issue" : "9", "issued" : { "date-parts" : [ [ "2016" ] ] }, "page" : "1008-1022", "title" : "High-Density Genetic Mapping Identifies New Susceptibility Variants in Sarcoidosis Phenotypes and Shows Genomic-driven Phenotypic Differences.", "type" : "article-journal", "volume" : "193" }, "uris" : [ "http://www.mendeley.com/documents/?uuid=3444866a-8eaf-3560-99a8-d5390537f8fd" ] } ], "mendeley" : { "formattedCitation" : "(9)", "plainTextFormattedCitation" : "(9)", "previouslyFormattedCitation" : "(7)" }, "properties" : { "noteIndex" : 0 }, "schema" : "https://github.com/citation-style-language/schema/raw/master/csl-citation.json" }</w:instrText>
            </w:r>
            <w:r w:rsidRPr="000D1988">
              <w:rPr>
                <w:rFonts w:cs="Times New Roman"/>
                <w:sz w:val="22"/>
              </w:rPr>
              <w:fldChar w:fldCharType="separate"/>
            </w:r>
            <w:r w:rsidR="00160B99" w:rsidRPr="000D1988">
              <w:rPr>
                <w:rFonts w:cs="Times New Roman"/>
                <w:noProof/>
                <w:sz w:val="22"/>
              </w:rPr>
              <w:t>(9)</w:t>
            </w:r>
            <w:r w:rsidRPr="000D1988">
              <w:rPr>
                <w:rFonts w:cs="Times New Roman"/>
                <w:sz w:val="22"/>
              </w:rPr>
              <w:fldChar w:fldCharType="end"/>
            </w:r>
          </w:p>
        </w:tc>
      </w:tr>
      <w:tr w:rsidR="00EF037E" w:rsidRPr="000D1988" w14:paraId="49A9F140" w14:textId="77777777" w:rsidTr="00E51F7A">
        <w:tc>
          <w:tcPr>
            <w:tcW w:w="1530" w:type="dxa"/>
          </w:tcPr>
          <w:p w14:paraId="48419FAB" w14:textId="2239E4F3" w:rsidR="00EF037E" w:rsidRPr="000D1988" w:rsidRDefault="00EF037E" w:rsidP="00DE09CD">
            <w:pPr>
              <w:spacing w:before="40" w:after="40"/>
              <w:rPr>
                <w:rFonts w:cs="Times New Roman"/>
                <w:sz w:val="22"/>
              </w:rPr>
            </w:pPr>
            <w:r w:rsidRPr="000D1988">
              <w:rPr>
                <w:rFonts w:cs="Times New Roman"/>
                <w:sz w:val="22"/>
              </w:rPr>
              <w:t>BTNL2</w:t>
            </w:r>
            <w:r w:rsidR="00865F8A" w:rsidRPr="000D1988">
              <w:rPr>
                <w:rFonts w:cs="Times New Roman"/>
                <w:sz w:val="22"/>
                <w:vertAlign w:val="superscript"/>
              </w:rPr>
              <w:t>#</w:t>
            </w:r>
          </w:p>
        </w:tc>
        <w:tc>
          <w:tcPr>
            <w:tcW w:w="1800" w:type="dxa"/>
          </w:tcPr>
          <w:p w14:paraId="18973026" w14:textId="77777777" w:rsidR="00EF037E" w:rsidRPr="000D1988" w:rsidRDefault="00EF037E" w:rsidP="00DE09CD">
            <w:pPr>
              <w:spacing w:before="40" w:after="40"/>
              <w:rPr>
                <w:rFonts w:cs="Times New Roman"/>
                <w:sz w:val="22"/>
              </w:rPr>
            </w:pPr>
            <w:r w:rsidRPr="000D1988">
              <w:rPr>
                <w:rFonts w:cs="Times New Roman"/>
                <w:sz w:val="22"/>
              </w:rPr>
              <w:t>rs2076530</w:t>
            </w:r>
          </w:p>
        </w:tc>
        <w:tc>
          <w:tcPr>
            <w:tcW w:w="3818" w:type="dxa"/>
          </w:tcPr>
          <w:p w14:paraId="7B1EF127" w14:textId="77777777" w:rsidR="00EF037E" w:rsidRPr="000D1988" w:rsidRDefault="00EF037E" w:rsidP="00DE09CD">
            <w:pPr>
              <w:spacing w:before="40" w:after="40"/>
              <w:rPr>
                <w:rFonts w:cs="Times New Roman"/>
                <w:sz w:val="22"/>
              </w:rPr>
            </w:pPr>
            <w:r w:rsidRPr="000D1988">
              <w:rPr>
                <w:rFonts w:cs="Times New Roman"/>
                <w:sz w:val="22"/>
              </w:rPr>
              <w:t>Non-LS</w:t>
            </w:r>
          </w:p>
        </w:tc>
        <w:tc>
          <w:tcPr>
            <w:tcW w:w="2302" w:type="dxa"/>
          </w:tcPr>
          <w:p w14:paraId="6D164CB7" w14:textId="77777777" w:rsidR="00EF037E" w:rsidRPr="000D1988" w:rsidRDefault="00EF037E" w:rsidP="00DE09CD">
            <w:pPr>
              <w:spacing w:before="40" w:after="40"/>
              <w:rPr>
                <w:rFonts w:cs="Times New Roman"/>
                <w:sz w:val="22"/>
              </w:rPr>
            </w:pPr>
            <w:r w:rsidRPr="000D1988">
              <w:rPr>
                <w:rFonts w:cs="Times New Roman"/>
                <w:sz w:val="22"/>
              </w:rPr>
              <w:t>European cohorts</w:t>
            </w:r>
          </w:p>
        </w:tc>
        <w:tc>
          <w:tcPr>
            <w:tcW w:w="1193" w:type="dxa"/>
          </w:tcPr>
          <w:p w14:paraId="0B8A09E3" w14:textId="0A5E304E" w:rsidR="00EF037E" w:rsidRPr="000D1988" w:rsidRDefault="00EF037E" w:rsidP="00DE09CD">
            <w:pPr>
              <w:spacing w:before="40" w:after="40"/>
              <w:rPr>
                <w:rFonts w:cs="Times New Roman"/>
                <w:sz w:val="22"/>
              </w:rPr>
            </w:pPr>
            <w:r w:rsidRPr="000D1988">
              <w:rPr>
                <w:rFonts w:cs="Times New Roman"/>
                <w:sz w:val="22"/>
              </w:rPr>
              <w:fldChar w:fldCharType="begin" w:fldLock="1"/>
            </w:r>
            <w:r w:rsidR="00160B99" w:rsidRPr="000D1988">
              <w:rPr>
                <w:rFonts w:cs="Times New Roman"/>
                <w:sz w:val="22"/>
              </w:rPr>
              <w:instrText>ADDIN CSL_CITATION { "citationItems" : [ { "id" : "ITEM-1", "itemData" : { "ISSN" : "1535-4970", "PMID" : "26651848", "abstract" : "RATIONALE Sarcoidosis is a multisystem disease of unknown cause. L\u00f6fgren's syndrome (LS) is a characteristic subgroup of sarcoidosis that is associated with a good prognosis in sarcoidosis. However, little is known about its genetic architecture or its broader phenotype, non-LS sarcoidosis. OBJECTIVES To address the genetic architecture of sarcoidosis phenotypes, LS and non-LS. METHODS An association study in a white Swedish cohort of 384 LS, 664 non-LS, and 2,086 control subjects, totaling 3,134 subjects using a fine-mapping genotyping platform was conducted. Replication was performed in four independent cohorts, three of white European descent (Germany, n = 4,975; the Netherlands, n = 613; and Czech Republic, n = 521), and one of black African descent (United States, n = 1,657), totaling 7,766 subjects. MEASUREMENTS AND MAIN RESULTS A total of 727 LS-associated variants expanding throughout the extended major histocompatibility complex (MHC) region and 68 non-LS-associated variants located in the MHC class II region were identified and confirmed. A shared overlap between LS and non-LS defined by 17 variants located in the MHC class II region was found. Outside the MHC region, two LS-associated loci, in ADCY3 and between CSMD1 and MCPH1, were observed and replicated. CONCLUSIONS Comprehensive and integrative analyses of genetics, transcription, and pathway modeling on LS and non-LS indicates that these sarcoidosis phenotypes have different genetic susceptibility, genomic distributions, and cellular activities, suggesting distinct molecular mechanisms in pathways related to immune response with a common region.", "author" : [ { "dropping-particle" : "V", "family" : "Rivera", "given" : "Natalia", "non-dropping-particle" : "", "parse-names" : false, "suffix" : "" }, { "dropping-particle" : "", "family" : "Ronninger", "given" : "Marcus", "non-dropping-particle" : "", "parse-names" : false, "suffix" : "" }, { "dropping-particle" : "", "family" : "Shchetynsky", "given" : "Klementy", "non-dropping-particle" : "", "parse-names" : false, "suffix" : "" }, { "dropping-particle" : "", "family" : "Franke", "given" : "Andre", "non-dropping-particle" : "", "parse-names" : false, "suffix" : "" }, { "dropping-particle" : "", "family" : "N\u00f6then", "given" : "Markus M", "non-dropping-particle" : "", "parse-names" : false, "suffix" : "" }, { "dropping-particle" : "", "family" : "M\u00fcller-Quernheim", "given" : "Joachim", "non-dropping-particle" : "", "parse-names" : false, "suffix" : "" }, { "dropping-particle" : "", "family" : "Schreiber", "given" : "Stefan", "non-dropping-particle" : "", "parse-names" : false, "suffix" : "" }, { "dropping-particle" : "", "family" : "Adrianto", "given" : "Indra", "non-dropping-particle" : "", "parse-names" : false, "suffix" : "" }, { "dropping-particle" : "", "family" : "Karakaya", "given" : "Bekir", "non-dropping-particle" : "", "parse-names" : false, "suffix" : "" }, { "dropping-particle" : "", "family" : "Moorsel", "given" : "Coline H M", "non-dropping-particle" : "van", "parse-names" : false, "suffix" : "" }, { "dropping-particle" : "", "family" : "Navratilova", "given" : "Zdenka", "non-dropping-particle" : "", "parse-names" : false, "suffix" : "" }, { "dropping-particle" : "", "family" : "Kolek", "given" : "Vitezslav", "non-dropping-particle" : "", "parse-names" : false, "suffix" : "" }, { "dropping-particle" : "", "family" : "Rybicki", "given" : "Benjamin A", "non-dropping-particle" : "", "parse-names" : false, "suffix" : "" }, { "dropping-particle" : "", "family" : "Iannuzzi", "given" : "Michael C", "non-dropping-particle" : "", "parse-names" : false, "suffix" : "" }, { "dropping-particle" : "", "family" : "Petrek", "given" : "Martin", "non-dropping-particle" : "", "parse-names" : false, "suffix" : "" }, { "dropping-particle" : "", "family" : "Grutters", "given" : "Jan C", "non-dropping-particle" : "", "parse-names" : false, "suffix" : "" }, { "dropping-particle" : "", "family" : "Montgomery", "given" : "Courtney", "non-dropping-particle" : "", "parse-names" : false, "suffix" : "" }, { "dropping-particle" : "", "family" : "Fischer", "given" : "Annegret", "non-dropping-particle" : "", "parse-names" : false, "suffix" : "" }, { "dropping-particle" : "", "family" : "Eklund", "given" : "Anders", "non-dropping-particle" : "", "parse-names" : false, "suffix" : "" }, { "dropping-particle" : "", "family" : "Padyukov", "given" : "Leonid", "non-dropping-particle" : "", "parse-names" : false, "suffix" : "" }, { "dropping-particle" : "", "family" : "Grunewald", "given" : "Johan", "non-dropping-particle" : "", "parse-names" : false, "suffix" : "" } ], "container-title" : "American journal of respiratory and critical care medicine", "id" : "ITEM-1", "issue" : "9", "issued" : { "date-parts" : [ [ "2016" ] ] }, "page" : "1008-1022", "title" : "High-Density Genetic Mapping Identifies New Susceptibility Variants in Sarcoidosis Phenotypes and Shows Genomic-driven Phenotypic Differences.", "type" : "article-journal", "volume" : "193" }, "uris" : [ "http://www.mendeley.com/documents/?uuid=3444866a-8eaf-3560-99a8-d5390537f8fd" ] } ], "mendeley" : { "formattedCitation" : "(9)", "plainTextFormattedCitation" : "(9)", "previouslyFormattedCitation" : "(7)" }, "properties" : { "noteIndex" : 0 }, "schema" : "https://github.com/citation-style-language/schema/raw/master/csl-citation.json" }</w:instrText>
            </w:r>
            <w:r w:rsidRPr="000D1988">
              <w:rPr>
                <w:rFonts w:cs="Times New Roman"/>
                <w:sz w:val="22"/>
              </w:rPr>
              <w:fldChar w:fldCharType="separate"/>
            </w:r>
            <w:r w:rsidR="00160B99" w:rsidRPr="000D1988">
              <w:rPr>
                <w:rFonts w:cs="Times New Roman"/>
                <w:noProof/>
                <w:sz w:val="22"/>
              </w:rPr>
              <w:t>(9)</w:t>
            </w:r>
            <w:r w:rsidRPr="000D1988">
              <w:rPr>
                <w:rFonts w:cs="Times New Roman"/>
                <w:sz w:val="22"/>
              </w:rPr>
              <w:fldChar w:fldCharType="end"/>
            </w:r>
          </w:p>
        </w:tc>
      </w:tr>
      <w:tr w:rsidR="00EF037E" w:rsidRPr="000D1988" w14:paraId="6F8073AF" w14:textId="77777777" w:rsidTr="00E51F7A">
        <w:tc>
          <w:tcPr>
            <w:tcW w:w="1530" w:type="dxa"/>
          </w:tcPr>
          <w:p w14:paraId="17990F66" w14:textId="6AFD0F62" w:rsidR="00EF037E" w:rsidRPr="000D1988" w:rsidRDefault="00EF037E" w:rsidP="00DE09CD">
            <w:pPr>
              <w:spacing w:before="40" w:after="40"/>
              <w:rPr>
                <w:rFonts w:cs="Times New Roman"/>
                <w:sz w:val="22"/>
              </w:rPr>
            </w:pPr>
            <w:r w:rsidRPr="000D1988">
              <w:rPr>
                <w:rFonts w:cs="Times New Roman"/>
                <w:sz w:val="22"/>
              </w:rPr>
              <w:t>(BTNL2, HLA-DRA)</w:t>
            </w:r>
            <w:r w:rsidR="00865F8A" w:rsidRPr="000D1988">
              <w:rPr>
                <w:rFonts w:cs="Times New Roman"/>
                <w:sz w:val="22"/>
                <w:vertAlign w:val="superscript"/>
              </w:rPr>
              <w:t>#</w:t>
            </w:r>
          </w:p>
        </w:tc>
        <w:tc>
          <w:tcPr>
            <w:tcW w:w="1800" w:type="dxa"/>
          </w:tcPr>
          <w:p w14:paraId="65F08C27" w14:textId="77777777" w:rsidR="00EF037E" w:rsidRPr="000D1988" w:rsidRDefault="00EF037E" w:rsidP="00DE09CD">
            <w:pPr>
              <w:spacing w:before="40" w:after="40"/>
              <w:rPr>
                <w:rFonts w:cs="Times New Roman"/>
                <w:sz w:val="22"/>
              </w:rPr>
            </w:pPr>
            <w:r w:rsidRPr="000D1988">
              <w:rPr>
                <w:rFonts w:cs="Times New Roman"/>
                <w:sz w:val="22"/>
              </w:rPr>
              <w:t>rs3129843</w:t>
            </w:r>
          </w:p>
        </w:tc>
        <w:tc>
          <w:tcPr>
            <w:tcW w:w="3818" w:type="dxa"/>
          </w:tcPr>
          <w:p w14:paraId="583D94AD" w14:textId="77777777" w:rsidR="00EF037E" w:rsidRPr="000D1988" w:rsidRDefault="00EF037E" w:rsidP="00DE09CD">
            <w:pPr>
              <w:spacing w:before="40" w:after="40"/>
              <w:rPr>
                <w:rFonts w:cs="Times New Roman"/>
                <w:sz w:val="22"/>
              </w:rPr>
            </w:pPr>
            <w:r w:rsidRPr="000D1988">
              <w:rPr>
                <w:rFonts w:cs="Times New Roman"/>
                <w:sz w:val="22"/>
              </w:rPr>
              <w:t xml:space="preserve">LS </w:t>
            </w:r>
          </w:p>
        </w:tc>
        <w:tc>
          <w:tcPr>
            <w:tcW w:w="2302" w:type="dxa"/>
          </w:tcPr>
          <w:p w14:paraId="4D7D88E3" w14:textId="77777777" w:rsidR="00EF037E" w:rsidRPr="000D1988" w:rsidRDefault="00EF037E" w:rsidP="00DE09CD">
            <w:pPr>
              <w:spacing w:before="40" w:after="40"/>
              <w:rPr>
                <w:rFonts w:cs="Times New Roman"/>
                <w:sz w:val="22"/>
              </w:rPr>
            </w:pPr>
            <w:r w:rsidRPr="000D1988">
              <w:rPr>
                <w:rFonts w:cs="Times New Roman"/>
                <w:sz w:val="22"/>
              </w:rPr>
              <w:t>European cohorts</w:t>
            </w:r>
          </w:p>
        </w:tc>
        <w:tc>
          <w:tcPr>
            <w:tcW w:w="1193" w:type="dxa"/>
          </w:tcPr>
          <w:p w14:paraId="63F956B6" w14:textId="33FD2C59" w:rsidR="00EF037E" w:rsidRPr="000D1988" w:rsidRDefault="00EF037E" w:rsidP="00DE09CD">
            <w:pPr>
              <w:spacing w:before="40" w:after="40"/>
              <w:rPr>
                <w:rFonts w:cs="Times New Roman"/>
                <w:sz w:val="22"/>
              </w:rPr>
            </w:pPr>
            <w:r w:rsidRPr="000D1988">
              <w:rPr>
                <w:rFonts w:cs="Times New Roman"/>
                <w:sz w:val="22"/>
              </w:rPr>
              <w:fldChar w:fldCharType="begin" w:fldLock="1"/>
            </w:r>
            <w:r w:rsidR="00160B99" w:rsidRPr="000D1988">
              <w:rPr>
                <w:rFonts w:cs="Times New Roman"/>
                <w:sz w:val="22"/>
              </w:rPr>
              <w:instrText>ADDIN CSL_CITATION { "citationItems" : [ { "id" : "ITEM-1", "itemData" : { "DOI" : "10.3389/fimmu.2017.00422", "ISSN" : "1664-3224", "PMID" : "28469621", "abstract" : "Sarcoidosis is a multiorgan inflammatory disorder with heritability estimates up to 66%. Previous studies have shown the major histocompatibility complex (MHC) region to be associated with sarcoidosis, suggesting a functional role for antigen-presenting molecules and immune mediators in the disease pathogenesis. To detect variants predisposing to sarcoidosis and to identify genetic differences between patient subgroups, we studied four genes in the MHC Class III region (LTA, TNF, AGER, BTNL2) and HLA-DRA with tag-SNPs and their relation to HLA-DRB1 alleles. We present results from a joint analysis of four study populations (Finnish, Swedish, Dutch, and Czech). Patients with sarcoidosis (n = 805) were further subdivided based on the disease activity and the presence of L\u00f6fgren's syndrome. In a joint analysis, seven SNPs were associated with non-L\u00f6fgren sarcoidosis (NL; the strongest association with rs3177928, P = 1.79E-07, OR = 1.9) and eight with L\u00f6fgren's syndrome [L\u00f6fgren syndrome (LS); the strongest association with rs3129843, P = 3.44E-12, OR = 3.4] when compared with healthy controls (n = 870). Five SNPs were associated with sarcoidosis disease course (the strongest association with rs3177928, P = 0.003, OR = 1.9). The high linkage disequilibrium (LD) between SNPs and an HLA-DRB1 challenged the result interpretation. When the SNPs and HLA-DRB1 alleles were analyzed together, independent association was observed for four SNPs in the HLA-DRA/BTNL2 region: rs3135365 (NL; P = 0.015), rs3177928 (NL; P &lt; 0.001), rs6937545 (LS; P = 0.012), and rs5007259 (disease activity; P = 0.002). These SNPs act as expression quantitative trait loci (eQTL) for HLA-DRB1 and/or HLA-DRB5. In conclusion, we found novel SNPs in BTNL2 and HLA-DRA regions associating with sarcoidosis. Our finding further establishes that polymorphisms in the HLA-DRA and BTNL2 have a role in sarcoidosis susceptibility. This multi-population study demonstrates that at least a part of these associations are HLA-DRB1 independent (e.g., not due to LD) and shared across ancestral origins. The variants that were independent of HLA-DRB1 associations acted as eQTL for HLA-DRB1 and/or -DRB5, suggesting a role in regulating gene expression.", "author" : [ { "dropping-particle" : "", "family" : "Wolin", "given" : "Annika", "non-dropping-particle" : "", "parse-names" : false, "suffix" : "" }, { "dropping-particle" : "", "family" : "Lahtela", "given" : "Elisa Laura", "non-dropping-particle" : "", "parse-names" : false, "suffix" : "" }, { "dropping-particle" : "", "family" : "Anttila", "given" : "Verneri", "non-dropping-particle" : "", "parse-names" : false, "suffix" : "" }, { "dropping-particle" : "", "family" : "Petrek", "given" : "Martin", "non-dropping-particle" : "", "parse-names" : false, "suffix" : "" }, { "dropping-particle" : "", "family" : "Grunewald", "given" : "Johan", "non-dropping-particle" : "", "parse-names" : false, "suffix" : "" }, { "dropping-particle" : "", "family" : "Moorsel", "given" : "Coline H M", "non-dropping-particle" : "van", "parse-names" : false, "suffix" : "" }, { "dropping-particle" : "", "family" : "Eklund", "given" : "Anders", "non-dropping-particle" : "", "parse-names" : false, "suffix" : "" }, { "dropping-particle" : "", "family" : "Grutters", "given" : "Jan C", "non-dropping-particle" : "", "parse-names" : false, "suffix" : "" }, { "dropping-particle" : "", "family" : "Kolek", "given" : "Vitezslav", "non-dropping-particle" : "", "parse-names" : false, "suffix" : "" }, { "dropping-particle" : "", "family" : "Mrazek", "given" : "Frantisek", "non-dropping-particle" : "", "parse-names" : false, "suffix" : "" }, { "dropping-particle" : "", "family" : "Kishore", "given" : "Amit", "non-dropping-particle" : "", "parse-names" : false, "suffix" : "" }, { "dropping-particle" : "", "family" : "Padyukov", "given" : "Leonid", "non-dropping-particle" : "", "parse-names" : false, "suffix" : "" }, { "dropping-particle" : "", "family" : "Pietinalho", "given" : "Anne", "non-dropping-particle" : "", "parse-names" : false, "suffix" : "" }, { "dropping-particle" : "", "family" : "Ronninger", "given" : "Marcus", "non-dropping-particle" : "", "parse-names" : false, "suffix" : "" }, { "dropping-particle" : "", "family" : "Sepp\u00e4nen", "given" : "Mikko", "non-dropping-particle" : "", "parse-names" : false, "suffix" : "" }, { "dropping-particle" : "", "family" : "Selroos", "given" : "Olof", "non-dropping-particle" : "", "parse-names" : false, "suffix" : "" }, { "dropping-particle" : "", "family" : "Lokki", "given" : "Marja-Liisa", "non-dropping-particle" : "", "parse-names" : false, "suffix" : "" } ], "container-title" : "Frontiers in immunology", "id" : "ITEM-1", "issued" : { "date-parts" : [ [ "2017", "4", "19" ] ] }, "page" : "422", "title" : "SNP Variants in Major Histocompatibility Complex Are Associated with Sarcoidosis Susceptibility-A Joint Analysis in Four European Populations.", "type" : "article-journal", "volume" : "8" }, "uris" : [ "http://www.mendeley.com/documents/?uuid=c6a2a152-96a8-38a3-8169-d596af28a1cd" ] } ], "mendeley" : { "formattedCitation" : "(11)", "plainTextFormattedCitation" : "(11)", "previouslyFormattedCitation" : "(9)" }, "properties" : { "noteIndex" : 0 }, "schema" : "https://github.com/citation-style-language/schema/raw/master/csl-citation.json" }</w:instrText>
            </w:r>
            <w:r w:rsidRPr="000D1988">
              <w:rPr>
                <w:rFonts w:cs="Times New Roman"/>
                <w:sz w:val="22"/>
              </w:rPr>
              <w:fldChar w:fldCharType="separate"/>
            </w:r>
            <w:r w:rsidR="00160B99" w:rsidRPr="000D1988">
              <w:rPr>
                <w:rFonts w:cs="Times New Roman"/>
                <w:noProof/>
                <w:sz w:val="22"/>
              </w:rPr>
              <w:t>(11)</w:t>
            </w:r>
            <w:r w:rsidRPr="000D1988">
              <w:rPr>
                <w:rFonts w:cs="Times New Roman"/>
                <w:sz w:val="22"/>
              </w:rPr>
              <w:fldChar w:fldCharType="end"/>
            </w:r>
          </w:p>
        </w:tc>
      </w:tr>
      <w:tr w:rsidR="00EF037E" w:rsidRPr="000D1988" w14:paraId="320DA59E" w14:textId="77777777" w:rsidTr="00E51F7A">
        <w:tc>
          <w:tcPr>
            <w:tcW w:w="1530" w:type="dxa"/>
          </w:tcPr>
          <w:p w14:paraId="2DE2EC2C" w14:textId="420A913D" w:rsidR="00EF037E" w:rsidRPr="000D1988" w:rsidRDefault="00EF037E" w:rsidP="00DE09CD">
            <w:pPr>
              <w:spacing w:before="40" w:after="40"/>
              <w:rPr>
                <w:rFonts w:cs="Times New Roman"/>
                <w:sz w:val="22"/>
              </w:rPr>
            </w:pPr>
            <w:r w:rsidRPr="000D1988">
              <w:rPr>
                <w:rFonts w:cs="Times New Roman"/>
                <w:sz w:val="22"/>
              </w:rPr>
              <w:t>(ATF6B, CREBL1)</w:t>
            </w:r>
            <w:r w:rsidR="00865F8A" w:rsidRPr="000D1988">
              <w:rPr>
                <w:rFonts w:cs="Times New Roman"/>
                <w:sz w:val="22"/>
                <w:vertAlign w:val="superscript"/>
              </w:rPr>
              <w:t>#</w:t>
            </w:r>
          </w:p>
        </w:tc>
        <w:tc>
          <w:tcPr>
            <w:tcW w:w="1800" w:type="dxa"/>
          </w:tcPr>
          <w:p w14:paraId="758B2787" w14:textId="77777777" w:rsidR="00EF037E" w:rsidRPr="000D1988" w:rsidRDefault="00EF037E" w:rsidP="00DE09CD">
            <w:pPr>
              <w:spacing w:before="40" w:after="40"/>
              <w:rPr>
                <w:rFonts w:cs="Times New Roman"/>
                <w:sz w:val="22"/>
              </w:rPr>
            </w:pPr>
            <w:r w:rsidRPr="000D1988">
              <w:rPr>
                <w:rFonts w:cs="Times New Roman"/>
                <w:sz w:val="22"/>
              </w:rPr>
              <w:t>rs3130288</w:t>
            </w:r>
          </w:p>
        </w:tc>
        <w:tc>
          <w:tcPr>
            <w:tcW w:w="3818" w:type="dxa"/>
          </w:tcPr>
          <w:p w14:paraId="7678542F" w14:textId="77777777" w:rsidR="00EF037E" w:rsidRPr="000D1988" w:rsidRDefault="00EF037E" w:rsidP="00DE09CD">
            <w:pPr>
              <w:spacing w:before="40" w:after="40"/>
              <w:rPr>
                <w:rFonts w:cs="Times New Roman"/>
                <w:sz w:val="22"/>
              </w:rPr>
            </w:pPr>
            <w:r w:rsidRPr="000D1988">
              <w:rPr>
                <w:rFonts w:cs="Times New Roman"/>
                <w:sz w:val="22"/>
              </w:rPr>
              <w:t>LS</w:t>
            </w:r>
          </w:p>
        </w:tc>
        <w:tc>
          <w:tcPr>
            <w:tcW w:w="2302" w:type="dxa"/>
          </w:tcPr>
          <w:p w14:paraId="01428FE1" w14:textId="77777777" w:rsidR="00EF037E" w:rsidRPr="000D1988" w:rsidRDefault="00EF037E" w:rsidP="00DE09CD">
            <w:pPr>
              <w:spacing w:before="40" w:after="40"/>
              <w:rPr>
                <w:rFonts w:cs="Times New Roman"/>
                <w:sz w:val="22"/>
              </w:rPr>
            </w:pPr>
            <w:r w:rsidRPr="000D1988">
              <w:rPr>
                <w:rFonts w:cs="Times New Roman"/>
                <w:sz w:val="22"/>
              </w:rPr>
              <w:t>European cohorts</w:t>
            </w:r>
          </w:p>
        </w:tc>
        <w:tc>
          <w:tcPr>
            <w:tcW w:w="1193" w:type="dxa"/>
          </w:tcPr>
          <w:p w14:paraId="71966781" w14:textId="1EFE6319" w:rsidR="00EF037E" w:rsidRPr="000D1988" w:rsidRDefault="00EF037E" w:rsidP="00DE09CD">
            <w:pPr>
              <w:spacing w:before="40" w:after="40"/>
              <w:rPr>
                <w:rFonts w:cs="Times New Roman"/>
                <w:sz w:val="22"/>
              </w:rPr>
            </w:pPr>
            <w:r w:rsidRPr="000D1988">
              <w:rPr>
                <w:rFonts w:cs="Times New Roman"/>
                <w:sz w:val="22"/>
              </w:rPr>
              <w:fldChar w:fldCharType="begin" w:fldLock="1"/>
            </w:r>
            <w:r w:rsidR="00160B99" w:rsidRPr="000D1988">
              <w:rPr>
                <w:rFonts w:cs="Times New Roman"/>
                <w:sz w:val="22"/>
              </w:rPr>
              <w:instrText>ADDIN CSL_CITATION { "citationItems" : [ { "id" : "ITEM-1", "itemData" : { "ISSN" : "1535-4970", "PMID" : "26651848", "abstract" : "RATIONALE Sarcoidosis is a multisystem disease of unknown cause. L\u00f6fgren's syndrome (LS) is a characteristic subgroup of sarcoidosis that is associated with a good prognosis in sarcoidosis. However, little is known about its genetic architecture or its broader phenotype, non-LS sarcoidosis. OBJECTIVES To address the genetic architecture of sarcoidosis phenotypes, LS and non-LS. METHODS An association study in a white Swedish cohort of 384 LS, 664 non-LS, and 2,086 control subjects, totaling 3,134 subjects using a fine-mapping genotyping platform was conducted. Replication was performed in four independent cohorts, three of white European descent (Germany, n = 4,975; the Netherlands, n = 613; and Czech Republic, n = 521), and one of black African descent (United States, n = 1,657), totaling 7,766 subjects. MEASUREMENTS AND MAIN RESULTS A total of 727 LS-associated variants expanding throughout the extended major histocompatibility complex (MHC) region and 68 non-LS-associated variants located in the MHC class II region were identified and confirmed. A shared overlap between LS and non-LS defined by 17 variants located in the MHC class II region was found. Outside the MHC region, two LS-associated loci, in ADCY3 and between CSMD1 and MCPH1, were observed and replicated. CONCLUSIONS Comprehensive and integrative analyses of genetics, transcription, and pathway modeling on LS and non-LS indicates that these sarcoidosis phenotypes have different genetic susceptibility, genomic distributions, and cellular activities, suggesting distinct molecular mechanisms in pathways related to immune response with a common region.", "author" : [ { "dropping-particle" : "V", "family" : "Rivera", "given" : "Natalia", "non-dropping-particle" : "", "parse-names" : false, "suffix" : "" }, { "dropping-particle" : "", "family" : "Ronninger", "given" : "Marcus", "non-dropping-particle" : "", "parse-names" : false, "suffix" : "" }, { "dropping-particle" : "", "family" : "Shchetynsky", "given" : "Klementy", "non-dropping-particle" : "", "parse-names" : false, "suffix" : "" }, { "dropping-particle" : "", "family" : "Franke", "given" : "Andre", "non-dropping-particle" : "", "parse-names" : false, "suffix" : "" }, { "dropping-particle" : "", "family" : "N\u00f6then", "given" : "Markus M", "non-dropping-particle" : "", "parse-names" : false, "suffix" : "" }, { "dropping-particle" : "", "family" : "M\u00fcller-Quernheim", "given" : "Joachim", "non-dropping-particle" : "", "parse-names" : false, "suffix" : "" }, { "dropping-particle" : "", "family" : "Schreiber", "given" : "Stefan", "non-dropping-particle" : "", "parse-names" : false, "suffix" : "" }, { "dropping-particle" : "", "family" : "Adrianto", "given" : "Indra", "non-dropping-particle" : "", "parse-names" : false, "suffix" : "" }, { "dropping-particle" : "", "family" : "Karakaya", "given" : "Bekir", "non-dropping-particle" : "", "parse-names" : false, "suffix" : "" }, { "dropping-particle" : "", "family" : "Moorsel", "given" : "Coline H M", "non-dropping-particle" : "van", "parse-names" : false, "suffix" : "" }, { "dropping-particle" : "", "family" : "Navratilova", "given" : "Zdenka", "non-dropping-particle" : "", "parse-names" : false, "suffix" : "" }, { "dropping-particle" : "", "family" : "Kolek", "given" : "Vitezslav", "non-dropping-particle" : "", "parse-names" : false, "suffix" : "" }, { "dropping-particle" : "", "family" : "Rybicki", "given" : "Benjamin A", "non-dropping-particle" : "", "parse-names" : false, "suffix" : "" }, { "dropping-particle" : "", "family" : "Iannuzzi", "given" : "Michael C", "non-dropping-particle" : "", "parse-names" : false, "suffix" : "" }, { "dropping-particle" : "", "family" : "Petrek", "given" : "Martin", "non-dropping-particle" : "", "parse-names" : false, "suffix" : "" }, { "dropping-particle" : "", "family" : "Grutters", "given" : "Jan C", "non-dropping-particle" : "", "parse-names" : false, "suffix" : "" }, { "dropping-particle" : "", "family" : "Montgomery", "given" : "Courtney", "non-dropping-particle" : "", "parse-names" : false, "suffix" : "" }, { "dropping-particle" : "", "family" : "Fischer", "given" : "Annegret", "non-dropping-particle" : "", "parse-names" : false, "suffix" : "" }, { "dropping-particle" : "", "family" : "Eklund", "given" : "Anders", "non-dropping-particle" : "", "parse-names" : false, "suffix" : "" }, { "dropping-particle" : "", "family" : "Padyukov", "given" : "Leonid", "non-dropping-particle" : "", "parse-names" : false, "suffix" : "" }, { "dropping-particle" : "", "family" : "Grunewald", "given" : "Johan", "non-dropping-particle" : "", "parse-names" : false, "suffix" : "" } ], "container-title" : "American journal of respiratory and critical care medicine", "id" : "ITEM-1", "issue" : "9", "issued" : { "date-parts" : [ [ "2016" ] ] }, "page" : "1008-1022", "title" : "High-Density Genetic Mapping Identifies New Susceptibility Variants in Sarcoidosis Phenotypes and Shows Genomic-driven Phenotypic Differences.", "type" : "article-journal", "volume" : "193" }, "uris" : [ "http://www.mendeley.com/documents/?uuid=3444866a-8eaf-3560-99a8-d5390537f8fd" ] } ], "mendeley" : { "formattedCitation" : "(9)", "plainTextFormattedCitation" : "(9)", "previouslyFormattedCitation" : "(7)" }, "properties" : { "noteIndex" : 0 }, "schema" : "https://github.com/citation-style-language/schema/raw/master/csl-citation.json" }</w:instrText>
            </w:r>
            <w:r w:rsidRPr="000D1988">
              <w:rPr>
                <w:rFonts w:cs="Times New Roman"/>
                <w:sz w:val="22"/>
              </w:rPr>
              <w:fldChar w:fldCharType="separate"/>
            </w:r>
            <w:r w:rsidR="00160B99" w:rsidRPr="000D1988">
              <w:rPr>
                <w:rFonts w:cs="Times New Roman"/>
                <w:noProof/>
                <w:sz w:val="22"/>
              </w:rPr>
              <w:t>(9)</w:t>
            </w:r>
            <w:r w:rsidRPr="000D1988">
              <w:rPr>
                <w:rFonts w:cs="Times New Roman"/>
                <w:sz w:val="22"/>
              </w:rPr>
              <w:fldChar w:fldCharType="end"/>
            </w:r>
          </w:p>
        </w:tc>
      </w:tr>
      <w:tr w:rsidR="00EF037E" w:rsidRPr="000D1988" w14:paraId="65F4E2F9" w14:textId="77777777" w:rsidTr="00E51F7A">
        <w:tc>
          <w:tcPr>
            <w:tcW w:w="1530" w:type="dxa"/>
            <w:tcBorders>
              <w:bottom w:val="single" w:sz="4" w:space="0" w:color="auto"/>
            </w:tcBorders>
          </w:tcPr>
          <w:p w14:paraId="5097770A" w14:textId="095D3791" w:rsidR="00EF037E" w:rsidRPr="000D1988" w:rsidRDefault="00EF037E" w:rsidP="00DE09CD">
            <w:pPr>
              <w:spacing w:before="40" w:after="40"/>
              <w:rPr>
                <w:rFonts w:cs="Times New Roman"/>
                <w:sz w:val="22"/>
              </w:rPr>
            </w:pPr>
            <w:r w:rsidRPr="000D1988">
              <w:rPr>
                <w:rFonts w:cs="Times New Roman"/>
                <w:sz w:val="22"/>
              </w:rPr>
              <w:t>TAP2</w:t>
            </w:r>
            <w:r w:rsidR="00865F8A" w:rsidRPr="000D1988">
              <w:rPr>
                <w:rFonts w:cs="Times New Roman"/>
                <w:sz w:val="22"/>
                <w:vertAlign w:val="superscript"/>
              </w:rPr>
              <w:t>#</w:t>
            </w:r>
          </w:p>
        </w:tc>
        <w:tc>
          <w:tcPr>
            <w:tcW w:w="1800" w:type="dxa"/>
          </w:tcPr>
          <w:p w14:paraId="5DBE8FE6" w14:textId="77777777" w:rsidR="00EF037E" w:rsidRPr="000D1988" w:rsidRDefault="00EF037E" w:rsidP="00DE09CD">
            <w:pPr>
              <w:spacing w:before="40" w:after="40"/>
              <w:rPr>
                <w:rFonts w:cs="Times New Roman"/>
                <w:sz w:val="22"/>
              </w:rPr>
            </w:pPr>
            <w:r w:rsidRPr="000D1988">
              <w:rPr>
                <w:rFonts w:cs="Times New Roman"/>
                <w:sz w:val="22"/>
              </w:rPr>
              <w:t>rs3819717</w:t>
            </w:r>
          </w:p>
        </w:tc>
        <w:tc>
          <w:tcPr>
            <w:tcW w:w="3818" w:type="dxa"/>
          </w:tcPr>
          <w:p w14:paraId="72A35F84" w14:textId="77777777" w:rsidR="00EF037E" w:rsidRPr="000D1988" w:rsidRDefault="00EF037E" w:rsidP="00DE09CD">
            <w:pPr>
              <w:spacing w:before="40" w:after="40"/>
              <w:rPr>
                <w:rFonts w:cs="Times New Roman"/>
                <w:sz w:val="22"/>
              </w:rPr>
            </w:pPr>
            <w:r w:rsidRPr="000D1988">
              <w:rPr>
                <w:rFonts w:cs="Times New Roman"/>
                <w:sz w:val="22"/>
              </w:rPr>
              <w:t>Non-LS</w:t>
            </w:r>
          </w:p>
        </w:tc>
        <w:tc>
          <w:tcPr>
            <w:tcW w:w="2302" w:type="dxa"/>
          </w:tcPr>
          <w:p w14:paraId="0094398D" w14:textId="77777777" w:rsidR="00EF037E" w:rsidRPr="000D1988" w:rsidRDefault="00EF037E" w:rsidP="00DE09CD">
            <w:pPr>
              <w:spacing w:before="40" w:after="40"/>
              <w:rPr>
                <w:rFonts w:cs="Times New Roman"/>
                <w:sz w:val="22"/>
              </w:rPr>
            </w:pPr>
            <w:r w:rsidRPr="000D1988">
              <w:rPr>
                <w:rFonts w:cs="Times New Roman"/>
                <w:sz w:val="22"/>
              </w:rPr>
              <w:t>European cohorts</w:t>
            </w:r>
          </w:p>
        </w:tc>
        <w:tc>
          <w:tcPr>
            <w:tcW w:w="1193" w:type="dxa"/>
          </w:tcPr>
          <w:p w14:paraId="51708D98" w14:textId="0D14DA46" w:rsidR="00EF037E" w:rsidRPr="000D1988" w:rsidRDefault="00EF037E" w:rsidP="00DE09CD">
            <w:pPr>
              <w:spacing w:before="40" w:after="40"/>
              <w:rPr>
                <w:rFonts w:cs="Times New Roman"/>
                <w:sz w:val="22"/>
              </w:rPr>
            </w:pPr>
            <w:r w:rsidRPr="000D1988">
              <w:rPr>
                <w:rFonts w:cs="Times New Roman"/>
                <w:sz w:val="22"/>
              </w:rPr>
              <w:fldChar w:fldCharType="begin" w:fldLock="1"/>
            </w:r>
            <w:r w:rsidR="00160B99" w:rsidRPr="000D1988">
              <w:rPr>
                <w:rFonts w:cs="Times New Roman"/>
                <w:sz w:val="22"/>
              </w:rPr>
              <w:instrText>ADDIN CSL_CITATION { "citationItems" : [ { "id" : "ITEM-1", "itemData" : { "ISSN" : "1535-4970", "PMID" : "26651848", "abstract" : "RATIONALE Sarcoidosis is a multisystem disease of unknown cause. L\u00f6fgren's syndrome (LS) is a characteristic subgroup of sarcoidosis that is associated with a good prognosis in sarcoidosis. However, little is known about its genetic architecture or its broader phenotype, non-LS sarcoidosis. OBJECTIVES To address the genetic architecture of sarcoidosis phenotypes, LS and non-LS. METHODS An association study in a white Swedish cohort of 384 LS, 664 non-LS, and 2,086 control subjects, totaling 3,134 subjects using a fine-mapping genotyping platform was conducted. Replication was performed in four independent cohorts, three of white European descent (Germany, n = 4,975; the Netherlands, n = 613; and Czech Republic, n = 521), and one of black African descent (United States, n = 1,657), totaling 7,766 subjects. MEASUREMENTS AND MAIN RESULTS A total of 727 LS-associated variants expanding throughout the extended major histocompatibility complex (MHC) region and 68 non-LS-associated variants located in the MHC class II region were identified and confirmed. A shared overlap between LS and non-LS defined by 17 variants located in the MHC class II region was found. Outside the MHC region, two LS-associated loci, in ADCY3 and between CSMD1 and MCPH1, were observed and replicated. CONCLUSIONS Comprehensive and integrative analyses of genetics, transcription, and pathway modeling on LS and non-LS indicates that these sarcoidosis phenotypes have different genetic susceptibility, genomic distributions, and cellular activities, suggesting distinct molecular mechanisms in pathways related to immune response with a common region.", "author" : [ { "dropping-particle" : "V", "family" : "Rivera", "given" : "Natalia", "non-dropping-particle" : "", "parse-names" : false, "suffix" : "" }, { "dropping-particle" : "", "family" : "Ronninger", "given" : "Marcus", "non-dropping-particle" : "", "parse-names" : false, "suffix" : "" }, { "dropping-particle" : "", "family" : "Shchetynsky", "given" : "Klementy", "non-dropping-particle" : "", "parse-names" : false, "suffix" : "" }, { "dropping-particle" : "", "family" : "Franke", "given" : "Andre", "non-dropping-particle" : "", "parse-names" : false, "suffix" : "" }, { "dropping-particle" : "", "family" : "N\u00f6then", "given" : "Markus M", "non-dropping-particle" : "", "parse-names" : false, "suffix" : "" }, { "dropping-particle" : "", "family" : "M\u00fcller-Quernheim", "given" : "Joachim", "non-dropping-particle" : "", "parse-names" : false, "suffix" : "" }, { "dropping-particle" : "", "family" : "Schreiber", "given" : "Stefan", "non-dropping-particle" : "", "parse-names" : false, "suffix" : "" }, { "dropping-particle" : "", "family" : "Adrianto", "given" : "Indra", "non-dropping-particle" : "", "parse-names" : false, "suffix" : "" }, { "dropping-particle" : "", "family" : "Karakaya", "given" : "Bekir", "non-dropping-particle" : "", "parse-names" : false, "suffix" : "" }, { "dropping-particle" : "", "family" : "Moorsel", "given" : "Coline H M", "non-dropping-particle" : "van", "parse-names" : false, "suffix" : "" }, { "dropping-particle" : "", "family" : "Navratilova", "given" : "Zdenka", "non-dropping-particle" : "", "parse-names" : false, "suffix" : "" }, { "dropping-particle" : "", "family" : "Kolek", "given" : "Vitezslav", "non-dropping-particle" : "", "parse-names" : false, "suffix" : "" }, { "dropping-particle" : "", "family" : "Rybicki", "given" : "Benjamin A", "non-dropping-particle" : "", "parse-names" : false, "suffix" : "" }, { "dropping-particle" : "", "family" : "Iannuzzi", "given" : "Michael C", "non-dropping-particle" : "", "parse-names" : false, "suffix" : "" }, { "dropping-particle" : "", "family" : "Petrek", "given" : "Martin", "non-dropping-particle" : "", "parse-names" : false, "suffix" : "" }, { "dropping-particle" : "", "family" : "Grutters", "given" : "Jan C", "non-dropping-particle" : "", "parse-names" : false, "suffix" : "" }, { "dropping-particle" : "", "family" : "Montgomery", "given" : "Courtney", "non-dropping-particle" : "", "parse-names" : false, "suffix" : "" }, { "dropping-particle" : "", "family" : "Fischer", "given" : "Annegret", "non-dropping-particle" : "", "parse-names" : false, "suffix" : "" }, { "dropping-particle" : "", "family" : "Eklund", "given" : "Anders", "non-dropping-particle" : "", "parse-names" : false, "suffix" : "" }, { "dropping-particle" : "", "family" : "Padyukov", "given" : "Leonid", "non-dropping-particle" : "", "parse-names" : false, "suffix" : "" }, { "dropping-particle" : "", "family" : "Grunewald", "given" : "Johan", "non-dropping-particle" : "", "parse-names" : false, "suffix" : "" } ], "container-title" : "American journal of respiratory and critical care medicine", "id" : "ITEM-1", "issue" : "9", "issued" : { "date-parts" : [ [ "2016" ] ] }, "page" : "1008-1022", "title" : "High-Density Genetic Mapping Identifies New Susceptibility Variants in Sarcoidosis Phenotypes and Shows Genomic-driven Phenotypic Differences.", "type" : "article-journal", "volume" : "193" }, "uris" : [ "http://www.mendeley.com/documents/?uuid=3444866a-8eaf-3560-99a8-d5390537f8fd" ] } ], "mendeley" : { "formattedCitation" : "(9)", "plainTextFormattedCitation" : "(9)", "previouslyFormattedCitation" : "(7)" }, "properties" : { "noteIndex" : 0 }, "schema" : "https://github.com/citation-style-language/schema/raw/master/csl-citation.json" }</w:instrText>
            </w:r>
            <w:r w:rsidRPr="000D1988">
              <w:rPr>
                <w:rFonts w:cs="Times New Roman"/>
                <w:sz w:val="22"/>
              </w:rPr>
              <w:fldChar w:fldCharType="separate"/>
            </w:r>
            <w:r w:rsidR="00160B99" w:rsidRPr="000D1988">
              <w:rPr>
                <w:rFonts w:cs="Times New Roman"/>
                <w:noProof/>
                <w:sz w:val="22"/>
              </w:rPr>
              <w:t>(9)</w:t>
            </w:r>
            <w:r w:rsidRPr="000D1988">
              <w:rPr>
                <w:rFonts w:cs="Times New Roman"/>
                <w:sz w:val="22"/>
              </w:rPr>
              <w:fldChar w:fldCharType="end"/>
            </w:r>
          </w:p>
        </w:tc>
      </w:tr>
      <w:tr w:rsidR="00EF037E" w:rsidRPr="000D1988" w14:paraId="4EC322FA" w14:textId="77777777" w:rsidTr="00E51F7A">
        <w:tc>
          <w:tcPr>
            <w:tcW w:w="1530" w:type="dxa"/>
            <w:tcBorders>
              <w:bottom w:val="nil"/>
            </w:tcBorders>
          </w:tcPr>
          <w:p w14:paraId="7EB45F31" w14:textId="77777777" w:rsidR="00EF037E" w:rsidRPr="000D1988" w:rsidRDefault="00EF037E" w:rsidP="00DE09CD">
            <w:pPr>
              <w:spacing w:before="40" w:after="40"/>
              <w:rPr>
                <w:rFonts w:cs="Times New Roman"/>
                <w:sz w:val="22"/>
              </w:rPr>
            </w:pPr>
            <w:r w:rsidRPr="000D1988">
              <w:rPr>
                <w:rFonts w:cs="Times New Roman"/>
                <w:sz w:val="22"/>
              </w:rPr>
              <w:t>ANXA11</w:t>
            </w:r>
          </w:p>
        </w:tc>
        <w:tc>
          <w:tcPr>
            <w:tcW w:w="1800" w:type="dxa"/>
          </w:tcPr>
          <w:p w14:paraId="68B4DADA" w14:textId="77777777" w:rsidR="00EF037E" w:rsidRPr="000D1988" w:rsidRDefault="00EF037E" w:rsidP="00DE09CD">
            <w:pPr>
              <w:spacing w:before="40" w:after="40"/>
              <w:rPr>
                <w:rFonts w:cs="Times New Roman"/>
                <w:sz w:val="22"/>
              </w:rPr>
            </w:pPr>
            <w:r w:rsidRPr="000D1988">
              <w:rPr>
                <w:rFonts w:cs="Times New Roman"/>
                <w:sz w:val="22"/>
              </w:rPr>
              <w:t>rs1049550</w:t>
            </w:r>
          </w:p>
        </w:tc>
        <w:tc>
          <w:tcPr>
            <w:tcW w:w="3818" w:type="dxa"/>
          </w:tcPr>
          <w:p w14:paraId="7D3CC75E" w14:textId="77777777" w:rsidR="00EF037E" w:rsidRPr="000D1988" w:rsidRDefault="00EF037E" w:rsidP="00DE09CD">
            <w:pPr>
              <w:spacing w:before="40" w:after="40"/>
              <w:rPr>
                <w:rFonts w:cs="Times New Roman"/>
                <w:sz w:val="22"/>
              </w:rPr>
            </w:pPr>
            <w:r w:rsidRPr="000D1988">
              <w:rPr>
                <w:rFonts w:cs="Times New Roman"/>
                <w:sz w:val="22"/>
              </w:rPr>
              <w:t>Lower risk</w:t>
            </w:r>
            <w:r w:rsidR="00865F8A" w:rsidRPr="000D1988">
              <w:rPr>
                <w:rFonts w:cs="Times New Roman"/>
                <w:sz w:val="22"/>
              </w:rPr>
              <w:t>; Non-LS</w:t>
            </w:r>
          </w:p>
        </w:tc>
        <w:tc>
          <w:tcPr>
            <w:tcW w:w="2302" w:type="dxa"/>
          </w:tcPr>
          <w:p w14:paraId="1FB949C0" w14:textId="77777777" w:rsidR="00EF037E" w:rsidRPr="000D1988" w:rsidRDefault="00EF037E" w:rsidP="00DE09CD">
            <w:pPr>
              <w:spacing w:before="40" w:after="40"/>
              <w:rPr>
                <w:rFonts w:cs="Times New Roman"/>
                <w:sz w:val="22"/>
              </w:rPr>
            </w:pPr>
            <w:r w:rsidRPr="000D1988">
              <w:rPr>
                <w:rFonts w:cs="Times New Roman"/>
                <w:sz w:val="22"/>
              </w:rPr>
              <w:t>Czech</w:t>
            </w:r>
          </w:p>
        </w:tc>
        <w:tc>
          <w:tcPr>
            <w:tcW w:w="1193" w:type="dxa"/>
          </w:tcPr>
          <w:p w14:paraId="224F141B" w14:textId="6154F6FE" w:rsidR="00EF037E" w:rsidRPr="000D1988" w:rsidRDefault="00EF037E" w:rsidP="00DE09CD">
            <w:pPr>
              <w:spacing w:before="40" w:after="40"/>
              <w:rPr>
                <w:rFonts w:cs="Times New Roman"/>
                <w:sz w:val="22"/>
              </w:rPr>
            </w:pPr>
            <w:r w:rsidRPr="000D1988">
              <w:rPr>
                <w:rFonts w:cs="Times New Roman"/>
                <w:sz w:val="22"/>
              </w:rPr>
              <w:fldChar w:fldCharType="begin" w:fldLock="1"/>
            </w:r>
            <w:r w:rsidR="00160B99" w:rsidRPr="000D1988">
              <w:rPr>
                <w:rFonts w:cs="Times New Roman"/>
                <w:sz w:val="22"/>
              </w:rPr>
              <w:instrText>ADDIN CSL_CITATION { "citationItems" : [ { "id" : "ITEM-1", "itemData" : { "DOI" : "10.1038/gene.2011.27", "ISSN" : "14664879", "PMID" : "21562576", "abstract" : "In the recent genome-wide association study the polymorphisms of annexin A11 (ANXA11) gene were associated with susceptibility to sarcoidosis. Beside the replication of this finding and analysis of local ANXA11 expression in bronchoalveolar lavage cells, we wondered whether 'leading' ANXA11 rs1049550 (R230C) variant might also be related to the clinical manifestation of sarcoidosis. The study included 245 Czech patients with sarcoidosis and 254 healthy control subjects. The frequency of ANXA11(*)T allele was significantly lower in patients with sarcoidosis (35%) compared with controls (42%, P=0.04, odds ratio=0.77). Furthermore, ANXA11(*)T allele was less frequent in patients with the infiltration of lung parenchyma by comparison with those with isolated hilar lymphadenopathy (P=0.01). In line with the previous observation, ANXA11 mRNA expression was not deregulated in sarcoidosis and was independent from rs1049550 variant. In conclusion, ANXA11 rs1049550 single nucleotide polymorphism is the susceptibility marker in sarcoidosis, at least in Caucasians. Its role as a disease modifier should be independently replicated.", "author" : [ { "dropping-particle" : "", "family" : "Mrazek", "given" : "F.", "non-dropping-particle" : "", "parse-names" : false, "suffix" : "" }, { "dropping-particle" : "", "family" : "Stahelova", "given" : "A.", "non-dropping-particle" : "", "parse-names" : false, "suffix" : "" }, { "dropping-particle" : "", "family" : "Kriegova", "given" : "E.", "non-dropping-particle" : "", "parse-names" : false, "suffix" : "" }, { "dropping-particle" : "", "family" : "Fillerova", "given" : "R.", "non-dropping-particle" : "", "parse-names" : false, "suffix" : "" }, { "dropping-particle" : "", "family" : "Zurkova", "given" : "M.", "non-dropping-particle" : "", "parse-names" : false, "suffix" : "" }, { "dropping-particle" : "", "family" : "Kolek", "given" : "V.", "non-dropping-particle" : "", "parse-names" : false, "suffix" : "" }, { "dropping-particle" : "", "family" : "Petrek", "given" : "M.", "non-dropping-particle" : "", "parse-names" : false, "suffix" : "" } ], "container-title" : "Genes and Immunity", "id" : "ITEM-1", "issue" : "6", "issued" : { "date-parts" : [ [ "2011" ] ] }, "page" : "490-494", "title" : "Functional variant ANXA11 R230C: True marker of protection and candidate disease modifier in sarcoidosis", "type" : "article-journal", "volume" : "12" }, "uris" : [ "http://www.mendeley.com/documents/?uuid=1dceccd7-e1e4-44ee-8e47-f3dc83a03fe0" ] } ], "mendeley" : { "formattedCitation" : "(15)", "plainTextFormattedCitation" : "(15)", "previouslyFormattedCitation" : "(13)" }, "properties" : { "noteIndex" : 0 }, "schema" : "https://github.com/citation-style-language/schema/raw/master/csl-citation.json" }</w:instrText>
            </w:r>
            <w:r w:rsidRPr="000D1988">
              <w:rPr>
                <w:rFonts w:cs="Times New Roman"/>
                <w:sz w:val="22"/>
              </w:rPr>
              <w:fldChar w:fldCharType="separate"/>
            </w:r>
            <w:r w:rsidR="00160B99" w:rsidRPr="000D1988">
              <w:rPr>
                <w:rFonts w:cs="Times New Roman"/>
                <w:noProof/>
                <w:sz w:val="22"/>
              </w:rPr>
              <w:t>(15)</w:t>
            </w:r>
            <w:r w:rsidRPr="000D1988">
              <w:rPr>
                <w:rFonts w:cs="Times New Roman"/>
                <w:sz w:val="22"/>
              </w:rPr>
              <w:fldChar w:fldCharType="end"/>
            </w:r>
          </w:p>
        </w:tc>
      </w:tr>
      <w:tr w:rsidR="00EF037E" w:rsidRPr="000D1988" w14:paraId="0FC02BB7" w14:textId="77777777" w:rsidTr="00E51F7A">
        <w:tc>
          <w:tcPr>
            <w:tcW w:w="1530" w:type="dxa"/>
            <w:tcBorders>
              <w:top w:val="nil"/>
            </w:tcBorders>
          </w:tcPr>
          <w:p w14:paraId="2F21C27D" w14:textId="77777777" w:rsidR="00EF037E" w:rsidRPr="000D1988" w:rsidRDefault="00EF037E" w:rsidP="00DE09CD">
            <w:pPr>
              <w:spacing w:before="40" w:after="40"/>
              <w:rPr>
                <w:rFonts w:cs="Times New Roman"/>
                <w:sz w:val="22"/>
              </w:rPr>
            </w:pPr>
          </w:p>
        </w:tc>
        <w:tc>
          <w:tcPr>
            <w:tcW w:w="1800" w:type="dxa"/>
          </w:tcPr>
          <w:p w14:paraId="3D2EFDF1" w14:textId="77777777" w:rsidR="00EF037E" w:rsidRPr="000D1988" w:rsidRDefault="00EF037E" w:rsidP="00DE09CD">
            <w:pPr>
              <w:spacing w:before="40" w:after="40"/>
              <w:rPr>
                <w:rFonts w:cs="Times New Roman"/>
                <w:sz w:val="22"/>
              </w:rPr>
            </w:pPr>
            <w:r w:rsidRPr="000D1988">
              <w:rPr>
                <w:rFonts w:cs="Times New Roman"/>
                <w:sz w:val="22"/>
              </w:rPr>
              <w:t>rs61860052, rs4377299</w:t>
            </w:r>
          </w:p>
        </w:tc>
        <w:tc>
          <w:tcPr>
            <w:tcW w:w="3818" w:type="dxa"/>
          </w:tcPr>
          <w:p w14:paraId="4ED0D9CC" w14:textId="77777777" w:rsidR="00EF037E" w:rsidRPr="000D1988" w:rsidRDefault="00EF037E" w:rsidP="00DE09CD">
            <w:pPr>
              <w:spacing w:before="40" w:after="40"/>
              <w:rPr>
                <w:rFonts w:cs="Times New Roman"/>
                <w:sz w:val="22"/>
              </w:rPr>
            </w:pPr>
            <w:r w:rsidRPr="000D1988">
              <w:rPr>
                <w:rFonts w:cs="Times New Roman"/>
                <w:sz w:val="22"/>
              </w:rPr>
              <w:t>Susceptibility</w:t>
            </w:r>
          </w:p>
        </w:tc>
        <w:tc>
          <w:tcPr>
            <w:tcW w:w="2302" w:type="dxa"/>
          </w:tcPr>
          <w:p w14:paraId="3D403962" w14:textId="77777777" w:rsidR="00EF037E" w:rsidRPr="000D1988" w:rsidRDefault="00EF037E" w:rsidP="00DE09CD">
            <w:pPr>
              <w:spacing w:before="40" w:after="40"/>
              <w:rPr>
                <w:rFonts w:cs="Times New Roman"/>
                <w:sz w:val="22"/>
              </w:rPr>
            </w:pPr>
            <w:r w:rsidRPr="000D1988">
              <w:rPr>
                <w:rFonts w:eastAsia="Times New Roman" w:cs="Times New Roman"/>
                <w:sz w:val="22"/>
              </w:rPr>
              <w:t>AA and EA</w:t>
            </w:r>
          </w:p>
        </w:tc>
        <w:tc>
          <w:tcPr>
            <w:tcW w:w="1193" w:type="dxa"/>
          </w:tcPr>
          <w:p w14:paraId="63E62902" w14:textId="6412CE7E" w:rsidR="00EF037E" w:rsidRPr="000D1988" w:rsidRDefault="00EF037E" w:rsidP="00DE09CD">
            <w:pPr>
              <w:spacing w:before="40" w:after="40"/>
              <w:rPr>
                <w:rFonts w:cs="Times New Roman"/>
                <w:sz w:val="22"/>
              </w:rPr>
            </w:pPr>
            <w:r w:rsidRPr="000D1988">
              <w:rPr>
                <w:rFonts w:cs="Times New Roman"/>
                <w:sz w:val="22"/>
              </w:rPr>
              <w:fldChar w:fldCharType="begin" w:fldLock="1"/>
            </w:r>
            <w:r w:rsidR="00160B99" w:rsidRPr="000D1988">
              <w:rPr>
                <w:rFonts w:cs="Times New Roman"/>
                <w:sz w:val="22"/>
              </w:rPr>
              <w:instrText>ADDIN CSL_CITATION { "citationItems" : [ { "id" : "ITEM-1", "itemData" : { "DOI" : "10.1038/gene.2012.48", "ISSN" : "1476-5470", "PMID" : "23151485", "abstract" : "A recent genome-wide association study in a German population and two subsequent studies in European populations found that a non-synonymous single-nucleotide polymorphism (SNP), rs1049550, within the annexin A11 (ANXA11) gene was associated with susceptibility to sarcoidosis. We sought to identify additional ANXA11 variants independently associated with sarcoidosis, determine whether any sarcoidosis-associated ANXA11 variants were associated with chest radiographic phenotypes, and explore human leukocyte antigen (HLA) SNP-SNP interactions with ANXA11. A total of 209 SNPs spanning 100\u2009kb including the 5' promoter, coding, and 3' untranslated regions of ANXA11 were genotyped for 1689 sarcoidosis cases and 1252 controls. After adjustment for rs1049550, two additional novel ANXA11 sarcoidosis associations were identified only in African Americans--rs61860052 (odds ratio (OR)=0.62; 95% confidence interval (CI)=0.40-0.97) and rs4377299 (OR=1.31; 95% CI=1.06-1.63). These associations were more pronounced in radiologically-classified Scadding stage IV sarcoidosis cases. We also identified a significant SNP-SNP interaction between rs1049550 and a sarcoidosis risk SNP (rs9268839) near the HLA-DRA locus. This further genetic dissection of ANXA11 may provide additional insight into the immune dysregulation characteristic of sarcoidosis pathophysiology.", "author" : [ { "dropping-particle" : "", "family" : "Levin", "given" : "A M", "non-dropping-particle" : "", "parse-names" : false, "suffix" : "" }, { "dropping-particle" : "", "family" : "Iannuzzi", "given" : "M C", "non-dropping-particle" : "", "parse-names" : false, "suffix" : "" }, { "dropping-particle" : "", "family" : "Montgomery", "given" : "C G", "non-dropping-particle" : "", "parse-names" : false, "suffix" : "" }, { "dropping-particle" : "", "family" : "Trudeau", "given" : "S", "non-dropping-particle" : "", "parse-names" : false, "suffix" : "" }, { "dropping-particle" : "", "family" : "Datta", "given" : "I", "non-dropping-particle" : "", "parse-names" : false, "suffix" : "" }, { "dropping-particle" : "", "family" : "McKeigue", "given" : "P", "non-dropping-particle" : "", "parse-names" : false, "suffix" : "" }, { "dropping-particle" : "", "family" : "Fischer", "given" : "A", "non-dropping-particle" : "", "parse-names" : false, "suffix" : "" }, { "dropping-particle" : "", "family" : "Nebel", "given" : "A", "non-dropping-particle" : "", "parse-names" : false, "suffix" : "" }, { "dropping-particle" : "", "family" : "Rybicki", "given" : "B A", "non-dropping-particle" : "", "parse-names" : false, "suffix" : "" } ], "container-title" : "Genes and immunity", "id" : "ITEM-1", "issue" : "1", "issued" : { "date-parts" : [ [ "2013", "1" ] ] }, "page" : "13-8", "title" : "Association of ANXA11 genetic variation with sarcoidosis in African Americans and European Americans.", "type" : "article-journal", "volume" : "14" }, "uris" : [ "http://www.mendeley.com/documents/?uuid=4d7dd2a3-546a-36e9-b354-762c5efdd776" ] } ], "mendeley" : { "formattedCitation" : "(16)", "plainTextFormattedCitation" : "(16)", "previouslyFormattedCitation" : "(14)" }, "properties" : { "noteIndex" : 0 }, "schema" : "https://github.com/citation-style-language/schema/raw/master/csl-citation.json" }</w:instrText>
            </w:r>
            <w:r w:rsidRPr="000D1988">
              <w:rPr>
                <w:rFonts w:cs="Times New Roman"/>
                <w:sz w:val="22"/>
              </w:rPr>
              <w:fldChar w:fldCharType="separate"/>
            </w:r>
            <w:r w:rsidR="00160B99" w:rsidRPr="000D1988">
              <w:rPr>
                <w:rFonts w:cs="Times New Roman"/>
                <w:noProof/>
                <w:sz w:val="22"/>
              </w:rPr>
              <w:t>(16)</w:t>
            </w:r>
            <w:r w:rsidRPr="000D1988">
              <w:rPr>
                <w:rFonts w:cs="Times New Roman"/>
                <w:sz w:val="22"/>
              </w:rPr>
              <w:fldChar w:fldCharType="end"/>
            </w:r>
          </w:p>
        </w:tc>
      </w:tr>
      <w:tr w:rsidR="00EF037E" w:rsidRPr="000D1988" w14:paraId="0F14FBAC" w14:textId="77777777" w:rsidTr="00E51F7A">
        <w:tc>
          <w:tcPr>
            <w:tcW w:w="1530" w:type="dxa"/>
          </w:tcPr>
          <w:p w14:paraId="5A59B3DE" w14:textId="77777777" w:rsidR="00EF037E" w:rsidRPr="000D1988" w:rsidRDefault="00EF037E" w:rsidP="00DE09CD">
            <w:pPr>
              <w:spacing w:before="40" w:after="40"/>
              <w:rPr>
                <w:rFonts w:cs="Times New Roman"/>
                <w:sz w:val="22"/>
              </w:rPr>
            </w:pPr>
            <w:r w:rsidRPr="000D1988">
              <w:rPr>
                <w:rFonts w:cs="Times New Roman"/>
                <w:sz w:val="22"/>
              </w:rPr>
              <w:t>ACE</w:t>
            </w:r>
          </w:p>
        </w:tc>
        <w:tc>
          <w:tcPr>
            <w:tcW w:w="1800" w:type="dxa"/>
          </w:tcPr>
          <w:p w14:paraId="3E5621D1" w14:textId="77777777" w:rsidR="00EF037E" w:rsidRPr="000D1988" w:rsidRDefault="00EF037E" w:rsidP="00DE09CD">
            <w:pPr>
              <w:spacing w:before="40" w:after="40"/>
              <w:rPr>
                <w:rFonts w:cs="Times New Roman"/>
                <w:sz w:val="22"/>
              </w:rPr>
            </w:pPr>
            <w:r w:rsidRPr="000D1988">
              <w:rPr>
                <w:rFonts w:cs="Times New Roman"/>
                <w:sz w:val="22"/>
              </w:rPr>
              <w:t>rs121912703</w:t>
            </w:r>
          </w:p>
        </w:tc>
        <w:tc>
          <w:tcPr>
            <w:tcW w:w="3818" w:type="dxa"/>
          </w:tcPr>
          <w:p w14:paraId="095C246C" w14:textId="77777777" w:rsidR="00EF037E" w:rsidRPr="000D1988" w:rsidRDefault="00EF037E" w:rsidP="00DE09CD">
            <w:pPr>
              <w:spacing w:before="40" w:after="40"/>
              <w:rPr>
                <w:rFonts w:cs="Times New Roman"/>
                <w:sz w:val="22"/>
              </w:rPr>
            </w:pPr>
            <w:r w:rsidRPr="000D1988">
              <w:rPr>
                <w:rFonts w:cs="Times New Roman"/>
                <w:sz w:val="22"/>
              </w:rPr>
              <w:t>Elevated serum ACE in sarcoidosis</w:t>
            </w:r>
          </w:p>
        </w:tc>
        <w:tc>
          <w:tcPr>
            <w:tcW w:w="2302" w:type="dxa"/>
          </w:tcPr>
          <w:p w14:paraId="2EEE0061" w14:textId="77777777" w:rsidR="00EF037E" w:rsidRPr="000D1988" w:rsidRDefault="00EF037E" w:rsidP="00DE09CD">
            <w:pPr>
              <w:spacing w:before="40" w:after="40"/>
              <w:rPr>
                <w:rFonts w:cs="Times New Roman"/>
                <w:sz w:val="22"/>
              </w:rPr>
            </w:pPr>
            <w:r w:rsidRPr="000D1988">
              <w:rPr>
                <w:rFonts w:cs="Times New Roman"/>
                <w:sz w:val="22"/>
              </w:rPr>
              <w:t>Dutch</w:t>
            </w:r>
          </w:p>
        </w:tc>
        <w:tc>
          <w:tcPr>
            <w:tcW w:w="1193" w:type="dxa"/>
          </w:tcPr>
          <w:p w14:paraId="7B91451A" w14:textId="3D257BDB" w:rsidR="00EF037E" w:rsidRPr="000D1988" w:rsidRDefault="00EF037E" w:rsidP="00DE09CD">
            <w:pPr>
              <w:spacing w:before="40" w:after="40"/>
              <w:rPr>
                <w:rFonts w:cs="Times New Roman"/>
                <w:sz w:val="22"/>
              </w:rPr>
            </w:pPr>
            <w:r w:rsidRPr="000D1988">
              <w:rPr>
                <w:rFonts w:cs="Times New Roman"/>
                <w:sz w:val="22"/>
              </w:rPr>
              <w:fldChar w:fldCharType="begin" w:fldLock="1"/>
            </w:r>
            <w:r w:rsidR="00160B99" w:rsidRPr="000D1988">
              <w:rPr>
                <w:rFonts w:cs="Times New Roman"/>
                <w:sz w:val="22"/>
              </w:rPr>
              <w:instrText>ADDIN CSL_CITATION { "citationItems" : [ { "id" : "ITEM-1", "itemData" : { "DOI" : "10.1177/0004563213489812", "ISSN" : "1758-1001", "PMID" : "23897103", "abstract" : "Measurement of serum angiotensin-converting enzyme (ACE) activity can be helpful in the diagnosis and disease monitoring of sarcoidosis. Elevated serum ACE activity is found in 60-70% of sarcoidosis patients. Usually, the ACE activity is mildly increased (&lt;3-fold the upper limit of the reference range) in sarcoidosis patients. Extremely elevated ACE activity is suggestive of the benign condition known as 'familial hyperactivity of ACE'. Familial hyperactivity of ACE is a relatively rare condition and can be confirmed by genetic testing. Considering a genetic cause of strongly elevated serum ACE activity is important to prevent possible overdiagnostics. Here, we highlight the factors that may complicate the interpretation of serum ACE activity measurements, and we present two cases that illustrate the importance of interdisciplinary consultation when extremely elevated serum ACE activity is measured.", "author" : [ { "dropping-particle" : "", "family" : "Stouten", "given" : "Karlijn", "non-dropping-particle" : "", "parse-names" : false, "suffix" : "" }, { "dropping-particle" : "", "family" : "Werken", "given" : "Marjan", "non-dropping-particle" : "van de", "parse-names" : false, "suffix" : "" }, { "dropping-particle" : "", "family" : "Tchetverikov", "given" : "Ilja", "non-dropping-particle" : "", "parse-names" : false, "suffix" : "" }, { "dropping-particle" : "", "family" : "Saboerali", "given" : "Mohammed", "non-dropping-particle" : "", "parse-names" : false, "suffix" : "" }, { "dropping-particle" : "", "family" : "Vermeer", "given" : "Henricus Jan", "non-dropping-particle" : "", "parse-names" : false, "suffix" : "" }, { "dropping-particle" : "", "family" : "Castel", "given" : "Rob", "non-dropping-particle" : "", "parse-names" : false, "suffix" : "" }, { "dropping-particle" : "", "family" : "Verheijen", "given" : "Fran\u00e7ois Martijn", "non-dropping-particle" : "", "parse-names" : false, "suffix" : "" } ], "container-title" : "Annals of clinical biochemistry", "id" : "ITEM-1", "issue" : "Pt 2", "issued" : { "date-parts" : [ [ "2014", "3" ] ] }, "page" : "289-93", "title" : "Extreme elevation of serum angiotensin-converting enzyme (ACE) activity: always consider familial ACE hyperactivity.", "title-short" : "Extreme elevation of serum angiotensin-converting", "type" : "article-journal", "volume" : "51" }, "uris" : [ "http://www.mendeley.com/documents/?uuid=9b74a4e6-521c-425a-aa15-9c595a0c7aa8" ] } ], "mendeley" : { "formattedCitation" : "(17)", "plainTextFormattedCitation" : "(17)", "previouslyFormattedCitation" : "(15)" }, "properties" : { "noteIndex" : 0 }, "schema" : "https://github.com/citation-style-language/schema/raw/master/csl-citation.json" }</w:instrText>
            </w:r>
            <w:r w:rsidRPr="000D1988">
              <w:rPr>
                <w:rFonts w:cs="Times New Roman"/>
                <w:sz w:val="22"/>
              </w:rPr>
              <w:fldChar w:fldCharType="separate"/>
            </w:r>
            <w:r w:rsidR="00160B99" w:rsidRPr="000D1988">
              <w:rPr>
                <w:rFonts w:cs="Times New Roman"/>
                <w:noProof/>
                <w:sz w:val="22"/>
              </w:rPr>
              <w:t>(17)</w:t>
            </w:r>
            <w:r w:rsidRPr="000D1988">
              <w:rPr>
                <w:rFonts w:cs="Times New Roman"/>
                <w:sz w:val="22"/>
              </w:rPr>
              <w:fldChar w:fldCharType="end"/>
            </w:r>
          </w:p>
        </w:tc>
      </w:tr>
      <w:tr w:rsidR="00EF037E" w:rsidRPr="000D1988" w14:paraId="60BECE9E" w14:textId="77777777" w:rsidTr="00E51F7A">
        <w:tc>
          <w:tcPr>
            <w:tcW w:w="1530" w:type="dxa"/>
          </w:tcPr>
          <w:p w14:paraId="3307A776" w14:textId="77777777" w:rsidR="00EF037E" w:rsidRPr="000D1988" w:rsidRDefault="00EF037E" w:rsidP="00DE09CD">
            <w:pPr>
              <w:spacing w:before="40" w:after="40"/>
              <w:rPr>
                <w:rFonts w:cs="Times New Roman"/>
                <w:sz w:val="22"/>
              </w:rPr>
            </w:pPr>
          </w:p>
        </w:tc>
        <w:tc>
          <w:tcPr>
            <w:tcW w:w="1800" w:type="dxa"/>
          </w:tcPr>
          <w:p w14:paraId="47B039A0" w14:textId="77777777" w:rsidR="00EF037E" w:rsidRPr="000D1988" w:rsidRDefault="00EF037E" w:rsidP="00DE09CD">
            <w:pPr>
              <w:spacing w:before="40" w:after="40"/>
              <w:rPr>
                <w:rFonts w:cs="Times New Roman"/>
                <w:sz w:val="22"/>
              </w:rPr>
            </w:pPr>
            <w:r w:rsidRPr="000D1988">
              <w:rPr>
                <w:rFonts w:cs="Times New Roman"/>
                <w:sz w:val="22"/>
              </w:rPr>
              <w:t>I/D variant</w:t>
            </w:r>
          </w:p>
        </w:tc>
        <w:tc>
          <w:tcPr>
            <w:tcW w:w="3818" w:type="dxa"/>
          </w:tcPr>
          <w:p w14:paraId="4E9F8E35" w14:textId="77777777" w:rsidR="00EF037E" w:rsidRPr="000D1988" w:rsidRDefault="00EF037E" w:rsidP="00DE09CD">
            <w:pPr>
              <w:spacing w:before="40" w:after="40"/>
              <w:rPr>
                <w:rFonts w:cs="Times New Roman"/>
                <w:sz w:val="22"/>
              </w:rPr>
            </w:pPr>
            <w:r w:rsidRPr="000D1988">
              <w:rPr>
                <w:rFonts w:cs="Times New Roman"/>
                <w:sz w:val="22"/>
              </w:rPr>
              <w:t>Increased risk for ID and DD genotypes</w:t>
            </w:r>
          </w:p>
        </w:tc>
        <w:tc>
          <w:tcPr>
            <w:tcW w:w="2302" w:type="dxa"/>
          </w:tcPr>
          <w:p w14:paraId="5A1F7459" w14:textId="77777777" w:rsidR="00EF037E" w:rsidRPr="000D1988" w:rsidRDefault="00EF037E" w:rsidP="00DE09CD">
            <w:pPr>
              <w:spacing w:before="40" w:after="40"/>
              <w:rPr>
                <w:rFonts w:cs="Times New Roman"/>
                <w:sz w:val="22"/>
              </w:rPr>
            </w:pPr>
            <w:r w:rsidRPr="000D1988">
              <w:rPr>
                <w:rFonts w:cs="Times New Roman"/>
                <w:sz w:val="22"/>
              </w:rPr>
              <w:t>Czech</w:t>
            </w:r>
          </w:p>
        </w:tc>
        <w:tc>
          <w:tcPr>
            <w:tcW w:w="1193" w:type="dxa"/>
          </w:tcPr>
          <w:p w14:paraId="03BF6628" w14:textId="46C27B3D" w:rsidR="00EF037E" w:rsidRPr="000D1988" w:rsidRDefault="00EF037E" w:rsidP="00DE09CD">
            <w:pPr>
              <w:spacing w:before="40" w:after="40"/>
              <w:rPr>
                <w:rFonts w:cs="Times New Roman"/>
                <w:sz w:val="22"/>
              </w:rPr>
            </w:pPr>
            <w:r w:rsidRPr="000D1988">
              <w:rPr>
                <w:rFonts w:cs="Times New Roman"/>
                <w:sz w:val="22"/>
              </w:rPr>
              <w:fldChar w:fldCharType="begin" w:fldLock="1"/>
            </w:r>
            <w:r w:rsidR="00160B99" w:rsidRPr="000D1988">
              <w:rPr>
                <w:rFonts w:cs="Times New Roman"/>
                <w:sz w:val="22"/>
              </w:rPr>
              <w:instrText>ADDIN CSL_CITATION { "citationItems" : [ { "id" : "ITEM-1", "itemData" : { "DOI" : "10.1164/ajrccm.164.2.2011009", "ISSN" : "1073-449X", "PMID" : "11463587", "abstract" : "Previous studies of the insertion/deletion (I/D) polymorphism of the angiotensin-converting enzyme (ACE) gene in sarcoidosis have revealed both ethnic heterogeneity of I/D frequencies and controversy surrounding the association between the polymorphism and severity of disease. The objective of this study was, therefore, to clarify the role of the ACE I/D polymorphism in (1) disease susceptibility, (2) pulmonary disease severity (with particular reference to pulmonary fibrosis), and (3) pulmonary disease progression, in two distinct European sarcoidosis populations. Standard chest radiographic staging was performed on 118 UK and 56 Czech white patients with sarcoidosis at 2 yr from presentation. Pulmonary function data were analyzed, and patients were then categorized according to disease severity. A PCR-SSP assay was used to determine the ACE I/D genotype of each patient studied. The I/D allele frequencies from these patients were compared with frequencies from ethnically matched UK (n = 386) and Czech (n = 179) control subjects using a chi-square contingency table. No significant differences were seen in the distribution of the ACE I/D genotypes, allele frequencies or phenotype frequencies. Furthermore, no association was found between the ACE I/D polymorphism and pulmonary disease severity, fibrosis, and progression. We conclude that the ACE I/D polymorphism has no role in sarcoidosis susceptibility in European whites and that it is not a regulatory variant in this disease.", "author" : [ { "dropping-particle" : "", "family" : "McGrath", "given" : "DEIRDRE S.", "non-dropping-particle" : "", "parse-names" : false, "suffix" : "" }, { "dropping-particle" : "", "family" : "Foley", "given" : "PATRICK J.", "non-dropping-particle" : "", "parse-names" : false, "suffix" : "" }, { "dropping-particle" : "", "family" : "Petrek", "given" : "MARTIN", "non-dropping-particle" : "", "parse-names" : false, "suffix" : "" }, { "dropping-particle" : "", "family" : "Izakovicova-Holla", "given" : "LYDIE", "non-dropping-particle" : "", "parse-names" : false, "suffix" : "" }, { "dropping-particle" : "", "family" : "Kolek", "given" : "VITEZSLAV", "non-dropping-particle" : "", "parse-names" : false, "suffix" : "" }, { "dropping-particle" : "", "family" : "Veeraraghavan", "given" : "SRIHARI", "non-dropping-particle" : "", "parse-names" : false, "suffix" : "" }, { "dropping-particle" : "", "family" : "Lympany", "given" : "PENELOPE A.", "non-dropping-particle" : "", "parse-names" : false, "suffix" : "" }, { "dropping-particle" : "", "family" : "Pantelidis", "given" : "PANAGIOTIS", "non-dropping-particle" : "", "parse-names" : false, "suffix" : "" }, { "dropping-particle" : "", "family" : "Vasku", "given" : "ANNA", "non-dropping-particle" : "", "parse-names" : false, "suffix" : "" }, { "dropping-particle" : "", "family" : "Wells", "given" : "ATHOL U.", "non-dropping-particle" : "", "parse-names" : false, "suffix" : "" }, { "dropping-particle" : "", "family" : "Welsh", "given" : "KENNETH I.", "non-dropping-particle" : "", "parse-names" : false, "suffix" : "" }, { "dropping-particle" : "", "family" : "Bois", "given" : "ROLAND M.", "non-dropping-particle" : "Du", "parse-names" : false, "suffix" : "" } ], "container-title" : "American Journal of Respiratory and Critical Care Medicine", "id" : "ITEM-1", "issue" : "2", "issued" : { "date-parts" : [ [ "2001", "7", "15" ] ] }, "page" : "197-201", "title" : "ACE Gene I/D Polymorphism and Sarcoidosis Pulmonary Disease Severity", "type" : "article-journal", "volume" : "164" }, "uris" : [ "http://www.mendeley.com/documents/?uuid=228bc38a-e6c2-3f8d-a13e-b979251bbe28" ] } ], "mendeley" : { "formattedCitation" : "(18)", "plainTextFormattedCitation" : "(18)", "previouslyFormattedCitation" : "(16)" }, "properties" : { "noteIndex" : 0 }, "schema" : "https://github.com/citation-style-language/schema/raw/master/csl-citation.json" }</w:instrText>
            </w:r>
            <w:r w:rsidRPr="000D1988">
              <w:rPr>
                <w:rFonts w:cs="Times New Roman"/>
                <w:sz w:val="22"/>
              </w:rPr>
              <w:fldChar w:fldCharType="separate"/>
            </w:r>
            <w:r w:rsidR="00160B99" w:rsidRPr="000D1988">
              <w:rPr>
                <w:rFonts w:cs="Times New Roman"/>
                <w:noProof/>
                <w:sz w:val="22"/>
              </w:rPr>
              <w:t>(18)</w:t>
            </w:r>
            <w:r w:rsidRPr="000D1988">
              <w:rPr>
                <w:rFonts w:cs="Times New Roman"/>
                <w:sz w:val="22"/>
              </w:rPr>
              <w:fldChar w:fldCharType="end"/>
            </w:r>
          </w:p>
        </w:tc>
      </w:tr>
      <w:tr w:rsidR="00EF037E" w:rsidRPr="000D1988" w14:paraId="344DC690" w14:textId="77777777" w:rsidTr="00E51F7A">
        <w:tc>
          <w:tcPr>
            <w:tcW w:w="1530" w:type="dxa"/>
          </w:tcPr>
          <w:p w14:paraId="1309652F" w14:textId="77777777" w:rsidR="00EF037E" w:rsidRPr="000D1988" w:rsidRDefault="00EF037E" w:rsidP="00DE09CD">
            <w:pPr>
              <w:spacing w:before="40" w:after="40"/>
              <w:rPr>
                <w:rFonts w:cs="Times New Roman"/>
                <w:sz w:val="22"/>
              </w:rPr>
            </w:pPr>
            <w:r w:rsidRPr="000D1988">
              <w:rPr>
                <w:rFonts w:cs="Times New Roman"/>
                <w:sz w:val="22"/>
              </w:rPr>
              <w:t>BTNL2</w:t>
            </w:r>
          </w:p>
        </w:tc>
        <w:tc>
          <w:tcPr>
            <w:tcW w:w="1800" w:type="dxa"/>
          </w:tcPr>
          <w:p w14:paraId="6A7B711F" w14:textId="77777777" w:rsidR="00EF037E" w:rsidRPr="000D1988" w:rsidRDefault="00EF037E" w:rsidP="00DE09CD">
            <w:pPr>
              <w:spacing w:before="40" w:after="40"/>
              <w:rPr>
                <w:rFonts w:cs="Times New Roman"/>
                <w:sz w:val="22"/>
              </w:rPr>
            </w:pPr>
            <w:r w:rsidRPr="000D1988">
              <w:rPr>
                <w:rFonts w:cs="Times New Roman"/>
                <w:sz w:val="22"/>
              </w:rPr>
              <w:t>rs2076530</w:t>
            </w:r>
          </w:p>
        </w:tc>
        <w:tc>
          <w:tcPr>
            <w:tcW w:w="3818" w:type="dxa"/>
          </w:tcPr>
          <w:p w14:paraId="1CAFA32E" w14:textId="77777777" w:rsidR="00EF037E" w:rsidRPr="000D1988" w:rsidRDefault="00EF037E" w:rsidP="00DE09CD">
            <w:pPr>
              <w:spacing w:before="40" w:after="40"/>
              <w:rPr>
                <w:rFonts w:cs="Times New Roman"/>
                <w:sz w:val="22"/>
              </w:rPr>
            </w:pPr>
            <w:r w:rsidRPr="000D1988">
              <w:rPr>
                <w:rFonts w:cs="Times New Roman"/>
                <w:sz w:val="22"/>
              </w:rPr>
              <w:t>Susceptibility</w:t>
            </w:r>
          </w:p>
        </w:tc>
        <w:tc>
          <w:tcPr>
            <w:tcW w:w="2302" w:type="dxa"/>
          </w:tcPr>
          <w:p w14:paraId="1913EB4A" w14:textId="77777777" w:rsidR="00EF037E" w:rsidRPr="000D1988" w:rsidRDefault="00EF037E" w:rsidP="00DE09CD">
            <w:pPr>
              <w:spacing w:before="40" w:after="40"/>
              <w:rPr>
                <w:rFonts w:cs="Times New Roman"/>
                <w:sz w:val="22"/>
              </w:rPr>
            </w:pPr>
            <w:r w:rsidRPr="000D1988">
              <w:rPr>
                <w:rFonts w:cs="Times New Roman"/>
                <w:sz w:val="22"/>
              </w:rPr>
              <w:t>German</w:t>
            </w:r>
          </w:p>
        </w:tc>
        <w:tc>
          <w:tcPr>
            <w:tcW w:w="1193" w:type="dxa"/>
          </w:tcPr>
          <w:p w14:paraId="2C36259D" w14:textId="118DFC3E" w:rsidR="00EF037E" w:rsidRPr="000D1988" w:rsidRDefault="00EF037E" w:rsidP="00DE09CD">
            <w:pPr>
              <w:spacing w:before="40" w:after="40"/>
              <w:rPr>
                <w:rFonts w:cs="Times New Roman"/>
                <w:sz w:val="22"/>
              </w:rPr>
            </w:pPr>
            <w:r w:rsidRPr="000D1988">
              <w:rPr>
                <w:rFonts w:cs="Times New Roman"/>
                <w:sz w:val="22"/>
              </w:rPr>
              <w:fldChar w:fldCharType="begin" w:fldLock="1"/>
            </w:r>
            <w:r w:rsidR="00160B99" w:rsidRPr="000D1988">
              <w:rPr>
                <w:rFonts w:cs="Times New Roman"/>
                <w:sz w:val="22"/>
              </w:rPr>
              <w:instrText>ADDIN CSL_CITATION { "citationItems" : [ { "id" : "ITEM-1", "itemData" : { "DOI" : "10.1186/s13023-016-0546-4", "ISSN" : "1750-1172", "PMID" : "27914482", "abstract" : "BACKGROUND The occurrence of familial forms of sarcoidosis (OMIM 181100) suggests a genetic predisposition. The involvement of butyrophilin-like 2 (BTNL2) gene (rs2076530 variant) has to be investigated. RESULTS The study performed independent analyses of BTNL2 polymorphism, clinical phenotypes, and outcomes in familial vs. sporadic presentations in 256 sporadic and 207 familial cases from 140 families. The logistic multivariate model showed that a young age at diagnosis and the combination of lung and skin involvement at diagnosis may distinguish sporadic from familial sarcoidosis (p = 0.016 and p = 0.041). We observed also that Sarcoid Clinical Activity Classification (SCAC) profiles were significantly different between familial and sporadic cases (p = 0.0497). Variant rs2076530 was more frequent in patients than in controls (OR = 2.02; 95% CI: [1.32-3.09]) but showed no difference between sporadic and familial cases and no difference according to the clinical phenotype or the outcome. CONCLUSION Despite a significant difference in BTNL2 polymorphism between sarcoid patients and controls, there was no such difference between familial and sporadic sarcoidosis cases and no correlation between BTNL2 polymorphism and disease severity or outcome. Thus, BTNL2 difference cannot be considered as a key marker for disease classification or patient management.", "author" : [ { "dropping-particle" : "", "family" : "Pacheco", "given" : "Yves", "non-dropping-particle" : "", "parse-names" : false, "suffix" : "" }, { "dropping-particle" : "", "family" : "Calender", "given" : "Alain", "non-dropping-particle" : "", "parse-names" : false, "suffix" : "" }, { "dropping-particle" : "", "family" : "Isra\u00ebl-Biet", "given" : "Dominique", "non-dropping-particle" : "", "parse-names" : false, "suffix" : "" }, { "dropping-particle" : "", "family" : "Roy", "given" : "Pascal", "non-dropping-particle" : "", "parse-names" : false, "suffix" : "" }, { "dropping-particle" : "", "family" : "Lebecque", "given" : "Serge", "non-dropping-particle" : "", "parse-names" : false, "suffix" : "" }, { "dropping-particle" : "", "family" : "Cottin", "given" : "Vincent", "non-dropping-particle" : "", "parse-names" : false, "suffix" : "" }, { "dropping-particle" : "", "family" : "Bouvry", "given" : "Diane", "non-dropping-particle" : "", "parse-names" : false, "suffix" : "" }, { "dropping-particle" : "", "family" : "Nunes", "given" : "Hilario", "non-dropping-particle" : "", "parse-names" : false, "suffix" : "" }, { "dropping-particle" : "", "family" : "S\u00e8ve", "given" : "Pascal", "non-dropping-particle" : "", "parse-names" : false, "suffix" : "" }, { "dropping-particle" : "", "family" : "P\u00e9rard", "given" : "Laurent", "non-dropping-particle" : "", "parse-names" : false, "suffix" : "" }, { "dropping-particle" : "", "family" : "Devouassoux", "given" : "Gilles", "non-dropping-particle" : "", "parse-names" : false, "suffix" : "" }, { "dropping-particle" : "", "family" : "Freymond", "given" : "Nathalie", "non-dropping-particle" : "", "parse-names" : false, "suffix" : "" }, { "dropping-particle" : "", "family" : "Khouatra", "given" : "Chahira", "non-dropping-particle" : "", "parse-names" : false, "suffix" : "" }, { "dropping-particle" : "", "family" : "Wallaert", "given" : "Beno\u00eet", "non-dropping-particle" : "", "parse-names" : false, "suffix" : "" }, { "dropping-particle" : "", "family" : "Lamy", "given" : "Raphaelle", "non-dropping-particle" : "", "parse-names" : false, "suffix" : "" }, { "dropping-particle" : "", "family" : "Elsensohn", "given" : "Mad-H\u00e9l\u00e9nie", "non-dropping-particle" : "", "parse-names" : false, "suffix" : "" }, { "dropping-particle" : "", "family" : "Bardel", "given" : "Claire", "non-dropping-particle" : "", "parse-names" : false, "suffix" : "" }, { "dropping-particle" : "", "family" : "Valeyre", "given" : "Dominique", "non-dropping-particle" : "", "parse-names" : false, "suffix" : "" }, { "dropping-particle" : "", "family" : "GSF group", "given" : "", "non-dropping-particle" : "", "parse-names" : false, "suffix" : "" } ], "container-title" : "Orphanet journal of rare diseases", "id" : "ITEM-1", "issue" : "1", "issued" : { "date-parts" : [ [ "2016", "12", "3" ] ] }, "page" : "165", "title" : "Familial vs. sporadic sarcoidosis: BTNL2 polymorphisms, clinical presentations, and outcomes in a French cohort.", "type" : "article-journal", "volume" : "11" }, "uris" : [ "http://www.mendeley.com/documents/?uuid=6cce1d2b-9119-3d45-adb6-3717f11921fd" ] } ], "mendeley" : { "formattedCitation" : "(19)", "plainTextFormattedCitation" : "(19)", "previouslyFormattedCitation" : "(17)" }, "properties" : { "noteIndex" : 0 }, "schema" : "https://github.com/citation-style-language/schema/raw/master/csl-citation.json" }</w:instrText>
            </w:r>
            <w:r w:rsidRPr="000D1988">
              <w:rPr>
                <w:rFonts w:cs="Times New Roman"/>
                <w:sz w:val="22"/>
              </w:rPr>
              <w:fldChar w:fldCharType="separate"/>
            </w:r>
            <w:r w:rsidR="00160B99" w:rsidRPr="000D1988">
              <w:rPr>
                <w:rFonts w:cs="Times New Roman"/>
                <w:noProof/>
                <w:sz w:val="22"/>
              </w:rPr>
              <w:t>(19)</w:t>
            </w:r>
            <w:r w:rsidRPr="000D1988">
              <w:rPr>
                <w:rFonts w:cs="Times New Roman"/>
                <w:sz w:val="22"/>
              </w:rPr>
              <w:fldChar w:fldCharType="end"/>
            </w:r>
          </w:p>
        </w:tc>
      </w:tr>
      <w:tr w:rsidR="00EF037E" w:rsidRPr="000D1988" w14:paraId="72152FCB" w14:textId="77777777" w:rsidTr="00E51F7A">
        <w:tc>
          <w:tcPr>
            <w:tcW w:w="1530" w:type="dxa"/>
          </w:tcPr>
          <w:p w14:paraId="26C74394" w14:textId="77777777" w:rsidR="00EF037E" w:rsidRPr="000D1988" w:rsidRDefault="00EF037E" w:rsidP="00DE09CD">
            <w:pPr>
              <w:spacing w:before="40" w:after="40"/>
              <w:rPr>
                <w:rFonts w:cs="Times New Roman"/>
                <w:sz w:val="22"/>
              </w:rPr>
            </w:pPr>
            <w:r w:rsidRPr="000D1988">
              <w:rPr>
                <w:rFonts w:cs="Times New Roman"/>
                <w:sz w:val="22"/>
              </w:rPr>
              <w:t>CCR2</w:t>
            </w:r>
          </w:p>
        </w:tc>
        <w:tc>
          <w:tcPr>
            <w:tcW w:w="1800" w:type="dxa"/>
          </w:tcPr>
          <w:p w14:paraId="45784042" w14:textId="77777777" w:rsidR="00EF037E" w:rsidRPr="000D1988" w:rsidRDefault="00EF037E" w:rsidP="00DE09CD">
            <w:pPr>
              <w:spacing w:before="40" w:after="40"/>
              <w:rPr>
                <w:rFonts w:cs="Times New Roman"/>
                <w:sz w:val="22"/>
              </w:rPr>
            </w:pPr>
            <w:r w:rsidRPr="000D1988">
              <w:rPr>
                <w:rFonts w:cs="Times New Roman"/>
                <w:sz w:val="22"/>
              </w:rPr>
              <w:t>Val64Ile</w:t>
            </w:r>
          </w:p>
        </w:tc>
        <w:tc>
          <w:tcPr>
            <w:tcW w:w="3818" w:type="dxa"/>
          </w:tcPr>
          <w:p w14:paraId="3146065C" w14:textId="77777777" w:rsidR="00EF037E" w:rsidRPr="000D1988" w:rsidRDefault="00EF037E" w:rsidP="00DE09CD">
            <w:pPr>
              <w:spacing w:before="40" w:after="40"/>
              <w:rPr>
                <w:rFonts w:cs="Times New Roman"/>
                <w:sz w:val="22"/>
              </w:rPr>
            </w:pPr>
            <w:r w:rsidRPr="000D1988">
              <w:rPr>
                <w:rFonts w:cs="Times New Roman"/>
                <w:sz w:val="22"/>
              </w:rPr>
              <w:t>LS and lower risk</w:t>
            </w:r>
          </w:p>
        </w:tc>
        <w:tc>
          <w:tcPr>
            <w:tcW w:w="2302" w:type="dxa"/>
          </w:tcPr>
          <w:p w14:paraId="666EBDDA" w14:textId="77777777" w:rsidR="00EF037E" w:rsidRPr="000D1988" w:rsidRDefault="00EF037E" w:rsidP="00DE09CD">
            <w:pPr>
              <w:spacing w:before="40" w:after="40"/>
              <w:rPr>
                <w:rFonts w:cs="Times New Roman"/>
                <w:sz w:val="22"/>
              </w:rPr>
            </w:pPr>
            <w:r w:rsidRPr="000D1988">
              <w:rPr>
                <w:rFonts w:cs="Times New Roman"/>
                <w:sz w:val="22"/>
              </w:rPr>
              <w:t>Czech</w:t>
            </w:r>
          </w:p>
        </w:tc>
        <w:tc>
          <w:tcPr>
            <w:tcW w:w="1193" w:type="dxa"/>
          </w:tcPr>
          <w:p w14:paraId="41764A82" w14:textId="3462BB49" w:rsidR="00EF037E" w:rsidRPr="000D1988" w:rsidRDefault="00EF037E" w:rsidP="00DE09CD">
            <w:pPr>
              <w:spacing w:before="40" w:after="40"/>
              <w:rPr>
                <w:rFonts w:cs="Times New Roman"/>
                <w:sz w:val="22"/>
              </w:rPr>
            </w:pPr>
            <w:r w:rsidRPr="000D1988">
              <w:rPr>
                <w:rFonts w:cs="Times New Roman"/>
                <w:sz w:val="22"/>
              </w:rPr>
              <w:fldChar w:fldCharType="begin" w:fldLock="1"/>
            </w:r>
            <w:r w:rsidR="00160B99" w:rsidRPr="000D1988">
              <w:rPr>
                <w:rFonts w:cs="Times New Roman"/>
                <w:sz w:val="22"/>
              </w:rPr>
              <w:instrText>ADDIN CSL_CITATION { "citationItems" : [ { "id" : "ITEM-1", "itemData" : { "ISBN" : "1073-449X (Print)", "PMID" : "10988120", "abstract" : "Genes for the chemokine receptors CCR5 and CCR2 are characterized by polymorphisms resulting in a nonfunctional receptor expression. Ligands for CCR2 and CCR5 (chemokines monocyte chemotactic protein-1 [MCP-1] and RANTES) are implicated in the pathogenesis of sarcoidosis. We have, therefore, analyzed polymorphisms of CCR5 (32-bp deletion in CCR5 gene [Delta32]) and of CCR2 (replacement of valine by isoleucine in CCR2 gene [64I]) in 66 Czech patients with sarcoidosis in comparison with a representative sample of Czech normal population. The frequencies of CCR5Delta32 and CCR2-64I polymorphisms in patients with sarcoidosis were different from that in control subjects. CCR5Delta32 allelic frequency was significantly increased in patients. By contrast, the CCR2-64I allele was more frequent in control subjects; however, the difference did not attain significance. Interestingly, the CCR5Delta32 allele was associated with clinically more apparent disease: it was present in 39.1% of patients requiring corticosteroids but only in 16.7% patients who did not need therapeutic intervention (odds ratio [OR] = 2.9). When patients requiring corticosteroids were compared with control subjects, the differences in the CCR5Delta32 frequencies were enhanced (p &lt; 0.01). In conclusion, the observed association of CCR5Delta32 and CCR2-64I with sarcoidosis implicates a role for these polymorphisms in disease susceptibility and protection", "author" : [ { "dropping-particle" : "", "family" : "Petrek", "given" : "M", "non-dropping-particle" : "", "parse-names" : false, "suffix" : "" }, { "dropping-particle" : "", "family" : "Drabek", "given" : "J", "non-dropping-particle" : "", "parse-names" : false, "suffix" : "" }, { "dropping-particle" : "", "family" : "Kolek", "given" : "V", "non-dropping-particle" : "", "parse-names" : false, "suffix" : "" }, { "dropping-particle" : "", "family" : "Zlamal", "given" : "J", "non-dropping-particle" : "", "parse-names" : false, "suffix" : "" }, { "dropping-particle" : "", "family" : "Welsh", "given" : "K I", "non-dropping-particle" : "", "parse-names" : false, "suffix" : "" }, { "dropping-particle" : "", "family" : "Bunce", "given" : "M", "non-dropping-particle" : "", "parse-names" : false, "suffix" : "" }, { "dropping-particle" : "", "family" : "Weigl", "given" : "E", "non-dropping-particle" : "", "parse-names" : false, "suffix" : "" }, { "dropping-particle" : "", "family" : "Du", "given" : "Bois R", "non-dropping-particle" : "", "parse-names" : false, "suffix" : "" } ], "container-title" : "Am J Respir Crit Care Med", "id" : "ITEM-1", "issue" : "1073-449X", "issued" : { "date-parts" : [ [ "2000" ] ] }, "page" : "1000-1003", "title" : "CC chemokine receptor gene polymorphisms in Czech patients with pulmonary sarcoidosis", "type" : "article-journal", "volume" : "162" }, "uris" : [ "http://www.mendeley.com/documents/?uuid=e32c6347-ca8e-4da0-8505-7cbb0b371ea0" ] } ], "mendeley" : { "formattedCitation" : "(20)", "plainTextFormattedCitation" : "(20)", "previouslyFormattedCitation" : "(18)" }, "properties" : { "noteIndex" : 0 }, "schema" : "https://github.com/citation-style-language/schema/raw/master/csl-citation.json" }</w:instrText>
            </w:r>
            <w:r w:rsidRPr="000D1988">
              <w:rPr>
                <w:rFonts w:cs="Times New Roman"/>
                <w:sz w:val="22"/>
              </w:rPr>
              <w:fldChar w:fldCharType="separate"/>
            </w:r>
            <w:r w:rsidR="00160B99" w:rsidRPr="000D1988">
              <w:rPr>
                <w:rFonts w:cs="Times New Roman"/>
                <w:noProof/>
                <w:sz w:val="22"/>
              </w:rPr>
              <w:t>(20)</w:t>
            </w:r>
            <w:r w:rsidRPr="000D1988">
              <w:rPr>
                <w:rFonts w:cs="Times New Roman"/>
                <w:sz w:val="22"/>
              </w:rPr>
              <w:fldChar w:fldCharType="end"/>
            </w:r>
          </w:p>
        </w:tc>
      </w:tr>
      <w:tr w:rsidR="00EF037E" w:rsidRPr="000D1988" w14:paraId="183C414C" w14:textId="77777777" w:rsidTr="00E51F7A">
        <w:tc>
          <w:tcPr>
            <w:tcW w:w="1530" w:type="dxa"/>
          </w:tcPr>
          <w:p w14:paraId="31D78565" w14:textId="77777777" w:rsidR="00EF037E" w:rsidRPr="000D1988" w:rsidRDefault="00EF037E" w:rsidP="00DE09CD">
            <w:pPr>
              <w:spacing w:before="40" w:after="40"/>
              <w:rPr>
                <w:rFonts w:cs="Times New Roman"/>
                <w:sz w:val="22"/>
              </w:rPr>
            </w:pPr>
            <w:r w:rsidRPr="000D1988">
              <w:rPr>
                <w:rFonts w:cs="Times New Roman"/>
                <w:sz w:val="22"/>
              </w:rPr>
              <w:t>CCR5</w:t>
            </w:r>
          </w:p>
        </w:tc>
        <w:tc>
          <w:tcPr>
            <w:tcW w:w="1800" w:type="dxa"/>
          </w:tcPr>
          <w:p w14:paraId="342536E7" w14:textId="77777777" w:rsidR="00EF037E" w:rsidRPr="000D1988" w:rsidRDefault="00EF037E" w:rsidP="00DE09CD">
            <w:pPr>
              <w:spacing w:before="40" w:after="40"/>
              <w:rPr>
                <w:rFonts w:cs="Times New Roman"/>
                <w:sz w:val="22"/>
              </w:rPr>
            </w:pPr>
            <w:r w:rsidRPr="000D1988">
              <w:rPr>
                <w:rFonts w:cs="Times New Roman"/>
                <w:sz w:val="22"/>
              </w:rPr>
              <w:t>Delta 32 allele</w:t>
            </w:r>
          </w:p>
        </w:tc>
        <w:tc>
          <w:tcPr>
            <w:tcW w:w="3818" w:type="dxa"/>
          </w:tcPr>
          <w:p w14:paraId="12B81323" w14:textId="77777777" w:rsidR="00EF037E" w:rsidRPr="000D1988" w:rsidRDefault="00EF037E" w:rsidP="00DE09CD">
            <w:pPr>
              <w:spacing w:before="40" w:after="40"/>
              <w:rPr>
                <w:rFonts w:cs="Times New Roman"/>
                <w:sz w:val="22"/>
              </w:rPr>
            </w:pPr>
            <w:r w:rsidRPr="000D1988">
              <w:rPr>
                <w:rFonts w:cs="Times New Roman"/>
                <w:sz w:val="22"/>
              </w:rPr>
              <w:t>Disease persistent</w:t>
            </w:r>
          </w:p>
        </w:tc>
        <w:tc>
          <w:tcPr>
            <w:tcW w:w="2302" w:type="dxa"/>
          </w:tcPr>
          <w:p w14:paraId="3AC2E9AD" w14:textId="77777777" w:rsidR="00EF037E" w:rsidRPr="000D1988" w:rsidRDefault="00EF037E" w:rsidP="00DE09CD">
            <w:pPr>
              <w:spacing w:before="40" w:after="40"/>
              <w:rPr>
                <w:rFonts w:cs="Times New Roman"/>
                <w:sz w:val="22"/>
              </w:rPr>
            </w:pPr>
            <w:r w:rsidRPr="000D1988">
              <w:rPr>
                <w:rFonts w:cs="Times New Roman"/>
                <w:sz w:val="22"/>
              </w:rPr>
              <w:t>Czech</w:t>
            </w:r>
          </w:p>
        </w:tc>
        <w:tc>
          <w:tcPr>
            <w:tcW w:w="1193" w:type="dxa"/>
          </w:tcPr>
          <w:p w14:paraId="628B6205" w14:textId="50F7026B" w:rsidR="00EF037E" w:rsidRPr="000D1988" w:rsidRDefault="00EF037E" w:rsidP="00DE09CD">
            <w:pPr>
              <w:spacing w:before="40" w:after="40"/>
              <w:rPr>
                <w:rFonts w:cs="Times New Roman"/>
                <w:sz w:val="22"/>
              </w:rPr>
            </w:pPr>
            <w:r w:rsidRPr="000D1988">
              <w:rPr>
                <w:rFonts w:cs="Times New Roman"/>
                <w:sz w:val="22"/>
              </w:rPr>
              <w:fldChar w:fldCharType="begin" w:fldLock="1"/>
            </w:r>
            <w:r w:rsidR="00160B99" w:rsidRPr="000D1988">
              <w:rPr>
                <w:rFonts w:cs="Times New Roman"/>
                <w:sz w:val="22"/>
              </w:rPr>
              <w:instrText>ADDIN CSL_CITATION { "citationItems" : [ { "id" : "ITEM-1", "itemData" : { "DOI" : "10.1164/rccm.200412-1707OC", "ISSN" : "1073-449X", "PMID" : "15976369", "abstract" : "RATIONALE Genetic factors are likely to influence the clinical course and pattern of sarcoidosis, a granulomatous disease of unknown origin. OBJECTIVES We tested this hypothesis for C-C chemokine receptor 5 (CCR5), a molecule involved in recruitment and activation of mononuclear cells. METHODS In addition to the known CCR5 Delta 32 insertion/deletion, we evaluated a further eight single-nucleotide polymorphisms in 106 British patients and 142 British unaffected subjects, and second-setted the results in 112 Dutch patients and 169 healthy Dutch control subjects. MEASUREMENTS AND MAIN RESULTS In the British population, the frequency of one of the identified haplotypes (HHC) was strongly associated with the presence of parenchymal disease (radiographic stage &gt;or= II versus stages 0 and I) at presentation (odds ratio [OR], 5.2; 95% confidence interval [CI], 1.96-13.7; corrected p = 0.02), at 2 (OR, 6.6; 95% CI, 2.5-17.6; corrected p = 0.006), and at 4 years follow-up (OR, 6.8; 95% CI, 2.5-18.0; corrected p = 0.0045). In the Dutch population, the same association was seen at 2 (OR, 6.7; 95% CI, 2.8-16.4; corrected p = 0.002), and 4 years follow-up (OR, 9.0; 95% CI, 3.5-23.1; corrected p = 0.0009). CONCLUSIONS No association between the CCR5 haplotype HHC and susceptibility to sarcoidosis was observed, indicating that this relevant gene only operates after disease induction. In summary, we report a strong association between CCR5 haplotype HHC and persistent lung involvement in sarcoidosis.", "author" : [ { "dropping-particle" : "", "family" : "Spagnolo", "given" : "Paolo", "non-dropping-particle" : "", "parse-names" : false, "suffix" : "" }, { "dropping-particle" : "", "family" : "Renzoni", "given" : "Elisabetta A.", "non-dropping-particle" : "", "parse-names" : false, "suffix" : "" }, { "dropping-particle" : "", "family" : "Wells", "given" : "Athol U.", "non-dropping-particle" : "", "parse-names" : false, "suffix" : "" }, { "dropping-particle" : "", "family" : "Copley", "given" : "Susan J.", "non-dropping-particle" : "", "parse-names" : false, "suffix" : "" }, { "dropping-particle" : "", "family" : "Desai", "given" : "Sujal R.", "non-dropping-particle" : "", "parse-names" : false, "suffix" : "" }, { "dropping-particle" : "", "family" : "Sato", "given" : "Hiroe", "non-dropping-particle" : "", "parse-names" : false, "suffix" : "" }, { "dropping-particle" : "", "family" : "Grutters", "given" : "Jan C.", "non-dropping-particle" : "", "parse-names" : false, "suffix" : "" }, { "dropping-particle" : "", "family" : "Abdallah", "given" : "Atiyeh", "non-dropping-particle" : "", "parse-names" : false, "suffix" : "" }, { "dropping-particle" : "", "family" : "Taegtmeyer", "given" : "Anne", "non-dropping-particle" : "", "parse-names" : false, "suffix" : "" }, { "dropping-particle" : "", "family" : "Bois", "given" : "Roland M", "non-dropping-particle" : "du", "parse-names" : false, "suffix" : "" }, { "dropping-particle" : "", "family" : "Welsh", "given" : "Kenneth I.", "non-dropping-particle" : "", "parse-names" : false, "suffix" : "" } ], "container-title" : "American journal of respiratory and critical care medicine", "id" : "ITEM-1", "issue" : "6", "issued" : { "date-parts" : [ [ "2005", "9", "15" ] ] }, "page" : "721-8", "title" : "C-C chemokine receptor 5 gene variants in relation to lung disease in sarcoidosis.", "type" : "article-journal", "volume" : "172" }, "uris" : [ "http://www.mendeley.com/documents/?uuid=0e2699fb-9d09-461c-b1e2-2db0de456e2e" ] }, { "id" : "ITEM-2", "itemData" : { "ISSN" : "0165-2478", "PMID" : "11803051", "abstract" : "The CC chemokine receptor 5 (CCR5) binds the chemokine ligands RANTES (CCL5) and MIP-1alpha (CCL3), which have been implicated in the development of alveolitis in sarcoidosis. We have, therefore, investigated CCR5 mRNA expression in bronchoalveolar lavage fluid (BALF) cells from patients with sarcoidosis. Further, we explored whether there was any association between CCR5 mRNA expression and the presence of the CCR5Delta32 DNA polymorphism. Semiquantitative RT-PCR was used to determine CCR5 mRNA expression from BALF cells from 16 control subjects (C) and 39 patients with sarcoidosis (S). The data on the CCR5Delta32 polymorphism, determined by PCR-SSP, were available for 37 patients. CCR5 mRNA expression was significantly upregulated in sarcoidosis (median+/-SEM, C, 0.00+/-0.07; S, 0.12+/-0.07; P&lt;0.05). When patients were evaluated according to their CCR5Delta32 genotype, an interesting trend emerged with Delta32 positive patients (wt, mt) expressing less mRNA than the patients with both wild-type alleles (wt, wt): 0.00+/-0.09, and 0.26+/-0.09, respectively; P&gt;0.05). In conclusion, upregulation of CCR5 mRNA in BALF of patients with sarcoidosis is consistent with its chemokine ligands RANTES and MIP-1alpha playing a pivotal role in inflammatory cell recruitment to disease sites. Though the data from this pilot study had no clinical correlations we suggest that further studies are warranted on the role of this Th1 subset marker in the pathogenesis of sarcoidosis.", "author" : [ { "dropping-particle" : "", "family" : "Petrek", "given" : "Martin", "non-dropping-particle" : "", "parse-names" : false, "suffix" : "" }, { "dropping-particle" : "", "family" : "Gibejova", "given" : "Agata", "non-dropping-particle" : "", "parse-names" : false, "suffix" : "" }, { "dropping-particle" : "", "family" : "Drabek", "given" : "Jiri", "non-dropping-particle" : "", "parse-names" : false, "suffix" : "" }, { "dropping-particle" : "", "family" : "Mrazek", "given" : "Frantisek", "non-dropping-particle" : "", "parse-names" : false, "suffix" : "" }, { "dropping-particle" : "", "family" : "Kolek", "given" : "Vitezslav", "non-dropping-particle" : "", "parse-names" : false, "suffix" : "" }, { "dropping-particle" : "", "family" : "Weigl", "given" : "Evzen", "non-dropping-particle" : "", "parse-names" : false, "suffix" : "" }, { "dropping-particle" : "", "family" : "Bois", "given" : "Roland M", "non-dropping-particle" : "du", "parse-names" : false, "suffix" : "" } ], "container-title" : "Immunology letters", "id" : "ITEM-2", "issue" : "3", "issued" : { "date-parts" : [ [ "2002", "3", "1" ] ] }, "page" : "189-93", "title" : "CC chemokine receptor 5 (CCR5) mRNA expression in pulmonary sarcoidosis.", "type" : "article-journal", "volume" : "80" }, "uris" : [ "http://www.mendeley.com/documents/?uuid=e587bb04-60d7-3400-b6ac-0cd03a8610c0" ] } ], "mendeley" : { "formattedCitation" : "(21,22)", "plainTextFormattedCitation" : "(21,22)", "previouslyFormattedCitation" : "(19,20)" }, "properties" : { "noteIndex" : 0 }, "schema" : "https://github.com/citation-style-language/schema/raw/master/csl-citation.json" }</w:instrText>
            </w:r>
            <w:r w:rsidRPr="000D1988">
              <w:rPr>
                <w:rFonts w:cs="Times New Roman"/>
                <w:sz w:val="22"/>
              </w:rPr>
              <w:fldChar w:fldCharType="separate"/>
            </w:r>
            <w:r w:rsidR="00160B99" w:rsidRPr="000D1988">
              <w:rPr>
                <w:rFonts w:cs="Times New Roman"/>
                <w:noProof/>
                <w:sz w:val="22"/>
              </w:rPr>
              <w:t>(21,22)</w:t>
            </w:r>
            <w:r w:rsidRPr="000D1988">
              <w:rPr>
                <w:rFonts w:cs="Times New Roman"/>
                <w:sz w:val="22"/>
              </w:rPr>
              <w:fldChar w:fldCharType="end"/>
            </w:r>
          </w:p>
        </w:tc>
      </w:tr>
      <w:tr w:rsidR="00EF037E" w:rsidRPr="000D1988" w14:paraId="2AB52FC4" w14:textId="77777777" w:rsidTr="00E51F7A">
        <w:tc>
          <w:tcPr>
            <w:tcW w:w="1530" w:type="dxa"/>
          </w:tcPr>
          <w:p w14:paraId="5AA1AE2A" w14:textId="77777777" w:rsidR="00EF037E" w:rsidRPr="000D1988" w:rsidRDefault="00EF037E" w:rsidP="00DE09CD">
            <w:pPr>
              <w:spacing w:before="40" w:after="40"/>
              <w:rPr>
                <w:rFonts w:cs="Times New Roman"/>
                <w:sz w:val="22"/>
              </w:rPr>
            </w:pPr>
            <w:r w:rsidRPr="000D1988">
              <w:rPr>
                <w:rFonts w:cs="Times New Roman"/>
                <w:sz w:val="22"/>
              </w:rPr>
              <w:t>IL1A</w:t>
            </w:r>
          </w:p>
        </w:tc>
        <w:tc>
          <w:tcPr>
            <w:tcW w:w="1800" w:type="dxa"/>
          </w:tcPr>
          <w:p w14:paraId="07A36BE2" w14:textId="77777777" w:rsidR="00EF037E" w:rsidRPr="000D1988" w:rsidRDefault="00EF037E" w:rsidP="00DE09CD">
            <w:pPr>
              <w:spacing w:before="40" w:after="40"/>
              <w:rPr>
                <w:rFonts w:cs="Times New Roman"/>
                <w:sz w:val="22"/>
              </w:rPr>
            </w:pPr>
            <w:r w:rsidRPr="000D1988">
              <w:rPr>
                <w:rFonts w:cs="Times New Roman"/>
                <w:sz w:val="22"/>
              </w:rPr>
              <w:t>CC genotype; C allele at - 889</w:t>
            </w:r>
          </w:p>
        </w:tc>
        <w:tc>
          <w:tcPr>
            <w:tcW w:w="3818" w:type="dxa"/>
          </w:tcPr>
          <w:p w14:paraId="236E82C9" w14:textId="77777777" w:rsidR="00EF037E" w:rsidRPr="000D1988" w:rsidRDefault="00EF037E" w:rsidP="00DE09CD">
            <w:pPr>
              <w:spacing w:before="40" w:after="40"/>
              <w:rPr>
                <w:rFonts w:cs="Times New Roman"/>
                <w:sz w:val="22"/>
              </w:rPr>
            </w:pPr>
            <w:r w:rsidRPr="000D1988">
              <w:rPr>
                <w:rFonts w:cs="Times New Roman"/>
                <w:sz w:val="22"/>
              </w:rPr>
              <w:t>Susceptibility</w:t>
            </w:r>
          </w:p>
        </w:tc>
        <w:tc>
          <w:tcPr>
            <w:tcW w:w="2302" w:type="dxa"/>
          </w:tcPr>
          <w:p w14:paraId="619C3002" w14:textId="77777777" w:rsidR="00EF037E" w:rsidRPr="000D1988" w:rsidRDefault="00EF037E" w:rsidP="00DE09CD">
            <w:pPr>
              <w:spacing w:before="40" w:after="40"/>
              <w:rPr>
                <w:rFonts w:cs="Times New Roman"/>
                <w:sz w:val="22"/>
              </w:rPr>
            </w:pPr>
            <w:r w:rsidRPr="000D1988">
              <w:rPr>
                <w:rFonts w:cs="Times New Roman"/>
                <w:sz w:val="22"/>
              </w:rPr>
              <w:t>Czech</w:t>
            </w:r>
          </w:p>
        </w:tc>
        <w:tc>
          <w:tcPr>
            <w:tcW w:w="1193" w:type="dxa"/>
          </w:tcPr>
          <w:p w14:paraId="3FEAB882" w14:textId="7193AF5F" w:rsidR="00EF037E" w:rsidRPr="000D1988" w:rsidRDefault="00EF037E" w:rsidP="00DE09CD">
            <w:pPr>
              <w:spacing w:before="40" w:after="40"/>
              <w:rPr>
                <w:rFonts w:cs="Times New Roman"/>
                <w:sz w:val="22"/>
              </w:rPr>
            </w:pPr>
            <w:r w:rsidRPr="000D1988">
              <w:rPr>
                <w:rFonts w:cs="Times New Roman"/>
                <w:sz w:val="22"/>
              </w:rPr>
              <w:fldChar w:fldCharType="begin" w:fldLock="1"/>
            </w:r>
            <w:r w:rsidR="00160B99" w:rsidRPr="000D1988">
              <w:rPr>
                <w:rFonts w:cs="Times New Roman"/>
                <w:sz w:val="22"/>
              </w:rPr>
              <w:instrText>ADDIN CSL_CITATION { "citationItems" : [ { "id" : "ITEM-1", "itemData" : { "DOI" : "10.1164/ajrccm.165.2.2106004", "ISSN" : "1073-449X", "PMID" : "11790645", "abstract" : "Members of the interleukin-1 (IL-1) family are implicated in the pathogenesis of sarcoidosis and idiopathic pulmonary fibrosis (IPF). We have, therefore, performed a case-control study to investigate a plausible association between sarcoidosis and the polymorphisms in the IL-1alpha, IL-1beta, and IL-1 receptor antagonist (IL-1Ra) genes. Further, as a separate question, we explored whether the aforementioned genes of the IL-1 cluster are associated with IPF. Using PCR with sequence-specific primers, IL-1alpha -889, IL-1beta -511, IL-1beta +3953, and IL-1Ra intron 2 VNTR polymorphisms were determined in 348 white subjects of West Slavonic ancestry (95 patients with sarcoidosis, 54 patients with IPF, and 199 healthy control subjects). The IL-1alpha -889 1.1 genotype was significantly overrepresented in patients with sarcoidosis in comparison with control subjects (60.0 versus 44.2%, p = 0.012, p(corr) = 0.047). The distribution of IL-1beta -511, IL-1beta +3953, and IL-1Ra VNTR genotypes and alleles did not significantly differ between the cases and controls. No association between IPF and the investigated polymorphisms was found. Strong linkage disequilibrium between pairs of polymorphic loci was observed. Further population studies are warranted to confirm the observed association between sarcoidosis and the IL-1alpha polymorphism and also to explore mechanisms of IL-1alpha -889 participation in aberrant immune response in sarcoidosis.", "author" : [ { "dropping-particle" : "", "family" : "Hutyrov\u00e1", "given" : "BE\u00c1TA", "non-dropping-particle" : "", "parse-names" : false, "suffix" : "" }, { "dropping-particle" : "", "family" : "Pantelidis", "given" : "PANAGIOTIS", "non-dropping-particle" : "", "parse-names" : false, "suffix" : "" }, { "dropping-particle" : "", "family" : "Dr\u00e1bek", "given" : "JI\u0158\u00cd", "non-dropping-particle" : "", "parse-names" : false, "suffix" : "" }, { "dropping-particle" : "", "family" : "Z\u016frkov\u00e1", "given" : "MONIKA", "non-dropping-particle" : "", "parse-names" : false, "suffix" : "" }, { "dropping-particle" : "", "family" : "Kolek", "given" : "V\u00cdT\u011aZSLAV", "non-dropping-particle" : "", "parse-names" : false, "suffix" : "" }, { "dropping-particle" : "", "family" : "Lenhart", "given" : "KAREL", "non-dropping-particle" : "", "parse-names" : false, "suffix" : "" }, { "dropping-particle" : "", "family" : "Welsh", "given" : "KENNETH I.", "non-dropping-particle" : "", "parse-names" : false, "suffix" : "" }, { "dropping-particle" : "", "family" : "Bois", "given" : "ROLAND M.", "non-dropping-particle" : "Du", "parse-names" : false, "suffix" : "" }, { "dropping-particle" : "", "family" : "Petrek", "given" : "MARTIN", "non-dropping-particle" : "", "parse-names" : false, "suffix" : "" } ], "container-title" : "American Journal of Respiratory and Critical Care Medicine", "id" : "ITEM-1", "issue" : "2", "issued" : { "date-parts" : [ [ "2002", "1", "15" ] ] }, "page" : "148-151", "title" : "Interleukin-1 Gene Cluster Polymorphisms in Sarcoidosis and Idiopathic Pulmonary Fibrosis", "type" : "article-journal", "volume" : "165" }, "uris" : [ "http://www.mendeley.com/documents/?uuid=be86143a-33d9-326a-be33-e631b945d62d" ] } ], "mendeley" : { "formattedCitation" : "(23)", "plainTextFormattedCitation" : "(23)", "previouslyFormattedCitation" : "(21)" }, "properties" : { "noteIndex" : 0 }, "schema" : "https://github.com/citation-style-language/schema/raw/master/csl-citation.json" }</w:instrText>
            </w:r>
            <w:r w:rsidRPr="000D1988">
              <w:rPr>
                <w:rFonts w:cs="Times New Roman"/>
                <w:sz w:val="22"/>
              </w:rPr>
              <w:fldChar w:fldCharType="separate"/>
            </w:r>
            <w:r w:rsidR="00160B99" w:rsidRPr="000D1988">
              <w:rPr>
                <w:rFonts w:cs="Times New Roman"/>
                <w:noProof/>
                <w:sz w:val="22"/>
              </w:rPr>
              <w:t>(23)</w:t>
            </w:r>
            <w:r w:rsidRPr="000D1988">
              <w:rPr>
                <w:rFonts w:cs="Times New Roman"/>
                <w:sz w:val="22"/>
              </w:rPr>
              <w:fldChar w:fldCharType="end"/>
            </w:r>
          </w:p>
        </w:tc>
      </w:tr>
      <w:tr w:rsidR="00EF037E" w:rsidRPr="000D1988" w14:paraId="50E24477" w14:textId="77777777" w:rsidTr="00E51F7A">
        <w:tc>
          <w:tcPr>
            <w:tcW w:w="1530" w:type="dxa"/>
          </w:tcPr>
          <w:p w14:paraId="03F63232" w14:textId="77777777" w:rsidR="00EF037E" w:rsidRPr="000D1988" w:rsidRDefault="00EF037E" w:rsidP="00DE09CD">
            <w:pPr>
              <w:spacing w:before="40" w:after="40"/>
              <w:rPr>
                <w:rFonts w:cs="Times New Roman"/>
                <w:sz w:val="22"/>
              </w:rPr>
            </w:pPr>
            <w:r w:rsidRPr="000D1988">
              <w:rPr>
                <w:rFonts w:cs="Times New Roman"/>
                <w:sz w:val="22"/>
              </w:rPr>
              <w:t>IL23R</w:t>
            </w:r>
          </w:p>
        </w:tc>
        <w:tc>
          <w:tcPr>
            <w:tcW w:w="1800" w:type="dxa"/>
          </w:tcPr>
          <w:p w14:paraId="16F0604A" w14:textId="77777777" w:rsidR="00EF037E" w:rsidRPr="000D1988" w:rsidRDefault="00EF037E" w:rsidP="00DE09CD">
            <w:pPr>
              <w:autoSpaceDE w:val="0"/>
              <w:autoSpaceDN w:val="0"/>
              <w:adjustRightInd w:val="0"/>
              <w:spacing w:before="40" w:after="40"/>
              <w:rPr>
                <w:rFonts w:cs="Times New Roman"/>
                <w:sz w:val="22"/>
              </w:rPr>
            </w:pPr>
            <w:r w:rsidRPr="000D1988">
              <w:rPr>
                <w:rFonts w:cs="Times New Roman"/>
                <w:sz w:val="22"/>
              </w:rPr>
              <w:t>rs11209026</w:t>
            </w:r>
          </w:p>
        </w:tc>
        <w:tc>
          <w:tcPr>
            <w:tcW w:w="3818" w:type="dxa"/>
          </w:tcPr>
          <w:p w14:paraId="1EAAAC3C" w14:textId="77777777" w:rsidR="00EF037E" w:rsidRPr="000D1988" w:rsidRDefault="00EF037E" w:rsidP="00DE09CD">
            <w:pPr>
              <w:autoSpaceDE w:val="0"/>
              <w:autoSpaceDN w:val="0"/>
              <w:adjustRightInd w:val="0"/>
              <w:spacing w:before="40" w:after="40"/>
              <w:rPr>
                <w:rFonts w:cs="Times New Roman"/>
                <w:sz w:val="22"/>
              </w:rPr>
            </w:pPr>
            <w:r w:rsidRPr="000D1988">
              <w:rPr>
                <w:rFonts w:cs="Times New Roman"/>
                <w:sz w:val="22"/>
              </w:rPr>
              <w:t>Acute and chronic sarcoidosis</w:t>
            </w:r>
          </w:p>
        </w:tc>
        <w:tc>
          <w:tcPr>
            <w:tcW w:w="2302" w:type="dxa"/>
          </w:tcPr>
          <w:p w14:paraId="149E39DD" w14:textId="77777777" w:rsidR="00EF037E" w:rsidRPr="000D1988" w:rsidRDefault="00EF037E" w:rsidP="00DE09CD">
            <w:pPr>
              <w:autoSpaceDE w:val="0"/>
              <w:autoSpaceDN w:val="0"/>
              <w:adjustRightInd w:val="0"/>
              <w:spacing w:before="40" w:after="40"/>
              <w:rPr>
                <w:rFonts w:cs="Times New Roman"/>
                <w:sz w:val="22"/>
              </w:rPr>
            </w:pPr>
            <w:r w:rsidRPr="000D1988">
              <w:rPr>
                <w:rFonts w:cs="Times New Roman"/>
                <w:sz w:val="22"/>
              </w:rPr>
              <w:t>German</w:t>
            </w:r>
          </w:p>
        </w:tc>
        <w:tc>
          <w:tcPr>
            <w:tcW w:w="1193" w:type="dxa"/>
          </w:tcPr>
          <w:p w14:paraId="151E9261" w14:textId="64DE1BFD" w:rsidR="00EF037E" w:rsidRPr="000D1988" w:rsidRDefault="00EF037E" w:rsidP="00DE09CD">
            <w:pPr>
              <w:spacing w:before="40" w:after="40"/>
              <w:rPr>
                <w:rFonts w:cs="Times New Roman"/>
                <w:sz w:val="22"/>
              </w:rPr>
            </w:pPr>
            <w:r w:rsidRPr="000D1988">
              <w:rPr>
                <w:rFonts w:cs="Times New Roman"/>
                <w:sz w:val="22"/>
              </w:rPr>
              <w:fldChar w:fldCharType="begin" w:fldLock="1"/>
            </w:r>
            <w:r w:rsidR="00160B99" w:rsidRPr="000D1988">
              <w:rPr>
                <w:rFonts w:cs="Times New Roman"/>
                <w:sz w:val="22"/>
              </w:rPr>
              <w:instrText>ADDIN CSL_CITATION { "citationItems" : [ { "id" : "ITEM-1", "itemData" : { "DOI" : "10.1183/09031936.00049410", "ISBN" : "1399-3003 (Electronic) 0903-1936 (Linking)", "ISSN" : "1399-3003", "PMID" : "20650992", "abstract" : "Sarcoidosis is a complex granulomatous inflammatory disorder that shares several clinical and pathogenic features with inflammatory bowel disease (IBD). Postulating a common genetic basis of inflammatory diseases, we tested 106 single-nucleotide polymorphisms (SNPs) that are known or have been suggested to be associated with IBD for a potential association with sarcoidosis and its acute and chronic subphenotypes. We genotyped 1,996 German sarcoidosis patients, comprising 648 acutely and 1,161 chronically affected individuals, 2,622 control subjects, and 342 German trios with affected offspring using SNPlex\u2122 technology. The nonsynonymous SNP rs11209026 (Arg381Gln) in the interleukin (IL)-23 receptor (IL23R) gene was associated with chronic sarcoidosis (OR 0.63; p = 5.58\u00d710(-5)), which was supported by the result of a transmission disequilibrium test analysis in the independent family sample (OR 0.50; p = 0.031). Marker rs12035082 located at chromosome 1q24.3 was found to be associated with the acute subphenotype (OR 1.36; p = 6.80\u00d710(-7)) and rs916977 (HERC2 locus; OR 1.30; p = 4.49\u00d710(-5)) was associated with sarcoidosis. Our results highlight the potential importance of the IL-23 signalling pathway for the development of chronic sarcoidosis. The finding links sarcoidosis pathogenesis to other inflammatory conditions and may contribute to new hypotheses on disease mechanisms.", "author" : [ { "dropping-particle" : "", "family" : "Fischer", "given" : "A", "non-dropping-particle" : "", "parse-names" : false, "suffix" : "" }, { "dropping-particle" : "", "family" : "Nothnagel", "given" : "M", "non-dropping-particle" : "", "parse-names" : false, "suffix" : "" }, { "dropping-particle" : "", "family" : "Franke", "given" : "A", "non-dropping-particle" : "", "parse-names" : false, "suffix" : "" }, { "dropping-particle" : "", "family" : "Jacobs", "given" : "G", "non-dropping-particle" : "", "parse-names" : false, "suffix" : "" }, { "dropping-particle" : "", "family" : "Saadati", "given" : "H R", "non-dropping-particle" : "", "parse-names" : false, "suffix" : "" }, { "dropping-particle" : "", "family" : "Gaede", "given" : "K I", "non-dropping-particle" : "", "parse-names" : false, "suffix" : "" }, { "dropping-particle" : "", "family" : "Rosenstiel", "given" : "P", "non-dropping-particle" : "", "parse-names" : false, "suffix" : "" }, { "dropping-particle" : "", "family" : "Sch\u00fcrmann", "given" : "M", "non-dropping-particle" : "", "parse-names" : false, "suffix" : "" }, { "dropping-particle" : "", "family" : "M\u00fcller-Quernheim", "given" : "J", "non-dropping-particle" : "", "parse-names" : false, "suffix" : "" }, { "dropping-particle" : "", "family" : "Schreiber", "given" : "S", "non-dropping-particle" : "", "parse-names" : false, "suffix" : "" }, { "dropping-particle" : "", "family" : "Hofmann", "given" : "S", "non-dropping-particle" : "", "parse-names" : false, "suffix" : "" } ], "container-title" : "The European respiratory journal", "id" : "ITEM-1", "issue" : "3", "issued" : { "date-parts" : [ [ "2011", "3" ] ] }, "page" : "610-6", "title" : "Association of inflammatory bowel disease risk loci with sarcoidosis, and its acute and chronic subphenotypes.", "type" : "article-journal", "volume" : "37" }, "uris" : [ "http://www.mendeley.com/documents/?uuid=ef935282-7588-4331-ba19-c80c4a873661" ] } ], "mendeley" : { "formattedCitation" : "(24)", "plainTextFormattedCitation" : "(24)", "previouslyFormattedCitation" : "(22)" }, "properties" : { "noteIndex" : 0 }, "schema" : "https://github.com/citation-style-language/schema/raw/master/csl-citation.json" }</w:instrText>
            </w:r>
            <w:r w:rsidRPr="000D1988">
              <w:rPr>
                <w:rFonts w:cs="Times New Roman"/>
                <w:sz w:val="22"/>
              </w:rPr>
              <w:fldChar w:fldCharType="separate"/>
            </w:r>
            <w:r w:rsidR="00160B99" w:rsidRPr="000D1988">
              <w:rPr>
                <w:rFonts w:cs="Times New Roman"/>
                <w:noProof/>
                <w:sz w:val="22"/>
              </w:rPr>
              <w:t>(24)</w:t>
            </w:r>
            <w:r w:rsidRPr="000D1988">
              <w:rPr>
                <w:rFonts w:cs="Times New Roman"/>
                <w:sz w:val="22"/>
              </w:rPr>
              <w:fldChar w:fldCharType="end"/>
            </w:r>
          </w:p>
        </w:tc>
      </w:tr>
      <w:tr w:rsidR="00EF037E" w:rsidRPr="000D1988" w14:paraId="10051B7C" w14:textId="77777777" w:rsidTr="00E51F7A">
        <w:tc>
          <w:tcPr>
            <w:tcW w:w="1530" w:type="dxa"/>
          </w:tcPr>
          <w:p w14:paraId="13697009" w14:textId="77777777" w:rsidR="00EF037E" w:rsidRPr="000D1988" w:rsidRDefault="00EF037E" w:rsidP="00DE09CD">
            <w:pPr>
              <w:spacing w:before="40" w:after="40"/>
              <w:rPr>
                <w:rFonts w:cs="Times New Roman"/>
                <w:sz w:val="22"/>
              </w:rPr>
            </w:pPr>
            <w:r w:rsidRPr="000D1988">
              <w:rPr>
                <w:rFonts w:cs="Times New Roman"/>
                <w:sz w:val="22"/>
              </w:rPr>
              <w:t>NOD2</w:t>
            </w:r>
          </w:p>
        </w:tc>
        <w:tc>
          <w:tcPr>
            <w:tcW w:w="1800" w:type="dxa"/>
          </w:tcPr>
          <w:p w14:paraId="4EFBC4D6" w14:textId="77777777" w:rsidR="00EF037E" w:rsidRPr="000D1988" w:rsidRDefault="00EF037E" w:rsidP="00DE09CD">
            <w:pPr>
              <w:spacing w:before="40" w:after="40"/>
              <w:rPr>
                <w:rFonts w:cs="Times New Roman"/>
                <w:sz w:val="22"/>
              </w:rPr>
            </w:pPr>
            <w:r w:rsidRPr="000D1988">
              <w:rPr>
                <w:rFonts w:cs="Times New Roman"/>
                <w:sz w:val="22"/>
              </w:rPr>
              <w:t>Arg334Trp</w:t>
            </w:r>
          </w:p>
        </w:tc>
        <w:tc>
          <w:tcPr>
            <w:tcW w:w="3818" w:type="dxa"/>
          </w:tcPr>
          <w:p w14:paraId="2BBB2F18" w14:textId="77777777" w:rsidR="00EF037E" w:rsidRPr="000D1988" w:rsidRDefault="00EF037E" w:rsidP="00DE09CD">
            <w:pPr>
              <w:spacing w:before="40" w:after="40"/>
              <w:rPr>
                <w:rFonts w:cs="Times New Roman"/>
                <w:sz w:val="22"/>
              </w:rPr>
            </w:pPr>
            <w:r w:rsidRPr="000D1988">
              <w:rPr>
                <w:rFonts w:cs="Times New Roman"/>
                <w:sz w:val="22"/>
              </w:rPr>
              <w:t>Early-onset sarcoidosis</w:t>
            </w:r>
          </w:p>
        </w:tc>
        <w:tc>
          <w:tcPr>
            <w:tcW w:w="2302" w:type="dxa"/>
          </w:tcPr>
          <w:p w14:paraId="470A6E08" w14:textId="77777777" w:rsidR="00EF037E" w:rsidRPr="000D1988" w:rsidRDefault="00EF037E" w:rsidP="00DE09CD">
            <w:pPr>
              <w:spacing w:before="40" w:after="40"/>
              <w:rPr>
                <w:rFonts w:cs="Times New Roman"/>
                <w:sz w:val="22"/>
              </w:rPr>
            </w:pPr>
            <w:r w:rsidRPr="000D1988">
              <w:rPr>
                <w:rFonts w:cs="Times New Roman"/>
                <w:sz w:val="22"/>
              </w:rPr>
              <w:t>Japanese</w:t>
            </w:r>
          </w:p>
        </w:tc>
        <w:tc>
          <w:tcPr>
            <w:tcW w:w="1193" w:type="dxa"/>
          </w:tcPr>
          <w:p w14:paraId="762BF93A" w14:textId="004CEE4D" w:rsidR="00EF037E" w:rsidRPr="000D1988" w:rsidRDefault="00EF037E" w:rsidP="00DE09CD">
            <w:pPr>
              <w:spacing w:before="40" w:after="40"/>
              <w:rPr>
                <w:rFonts w:cs="Times New Roman"/>
                <w:sz w:val="22"/>
              </w:rPr>
            </w:pPr>
            <w:r w:rsidRPr="000D1988">
              <w:rPr>
                <w:rFonts w:cs="Times New Roman"/>
                <w:sz w:val="22"/>
              </w:rPr>
              <w:fldChar w:fldCharType="begin" w:fldLock="1"/>
            </w:r>
            <w:r w:rsidR="00160B99" w:rsidRPr="000D1988">
              <w:rPr>
                <w:rFonts w:cs="Times New Roman"/>
                <w:sz w:val="22"/>
              </w:rPr>
              <w:instrText>ADDIN CSL_CITATION { "citationItems" : [ { "id" : "ITEM-1", "itemData" : { "DOI" : "10.1007/s10067-017-3544-6", "ISSN" : "14349949", "author" : [ { "dropping-particle" : "", "family" : "Takeuchi", "given" : "Yusuke", "non-dropping-particle" : "", "parse-names" : false, "suffix" : "" }, { "dropping-particle" : "", "family" : "Shigemura", "given" : "Tomonari", "non-dropping-particle" : "", "parse-names" : false, "suffix" : "" }, { "dropping-particle" : "", "family" : "Kobayashi", "given" : "Norimoto", "non-dropping-particle" : "", "parse-names" : false, "suffix" : "" }, { "dropping-particle" : "", "family" : "Kaneko", "given" : "Naoe", "non-dropping-particle" : "", "parse-names" : false, "suffix" : "" }, { "dropping-particle" : "", "family" : "Iwasaki", "given" : "Tomoyuki", "non-dropping-particle" : "", "parse-names" : false, "suffix" : "" }, { "dropping-particle" : "", "family" : "Minami", "given" : "Kisei", "non-dropping-particle" : "", "parse-names" : false, "suffix" : "" }, { "dropping-particle" : "", "family" : "Kobayashi", "given" : "Keiko", "non-dropping-particle" : "", "parse-names" : false, "suffix" : "" }, { "dropping-particle" : "", "family" : "Masumoto", "given" : "Junya", "non-dropping-particle" : "", "parse-names" : false, "suffix" : "" }, { "dropping-particle" : "", "family" : "Agematsu", "given" : "Kazunaga", "non-dropping-particle" : "", "parse-names" : false, "suffix" : "" } ], "container-title" : "Clinical Rheumatology", "id" : "ITEM-1", "issue" : "5", "issued" : { "date-parts" : [ [ "2017" ] ] }, "page" : "1189-1196", "title" : "Early diagnosis of early-onset sarcoidosis: a case report with functional analysis and review of the literature", "type" : "article", "volume" : "36" }, "uris" : [ "http://www.mendeley.com/documents/?uuid=89998865-c146-451f-bda5-9f64fb044f11" ] } ], "mendeley" : { "formattedCitation" : "(25)", "plainTextFormattedCitation" : "(25)", "previouslyFormattedCitation" : "(23)" }, "properties" : { "noteIndex" : 0 }, "schema" : "https://github.com/citation-style-language/schema/raw/master/csl-citation.json" }</w:instrText>
            </w:r>
            <w:r w:rsidRPr="000D1988">
              <w:rPr>
                <w:rFonts w:cs="Times New Roman"/>
                <w:sz w:val="22"/>
              </w:rPr>
              <w:fldChar w:fldCharType="separate"/>
            </w:r>
            <w:r w:rsidR="00160B99" w:rsidRPr="000D1988">
              <w:rPr>
                <w:rFonts w:cs="Times New Roman"/>
                <w:noProof/>
                <w:sz w:val="22"/>
              </w:rPr>
              <w:t>(25)</w:t>
            </w:r>
            <w:r w:rsidRPr="000D1988">
              <w:rPr>
                <w:rFonts w:cs="Times New Roman"/>
                <w:sz w:val="22"/>
              </w:rPr>
              <w:fldChar w:fldCharType="end"/>
            </w:r>
          </w:p>
        </w:tc>
      </w:tr>
      <w:tr w:rsidR="00EF037E" w:rsidRPr="000D1988" w14:paraId="2284D1C0" w14:textId="77777777" w:rsidTr="00E51F7A">
        <w:tc>
          <w:tcPr>
            <w:tcW w:w="1530" w:type="dxa"/>
          </w:tcPr>
          <w:p w14:paraId="2EFC2FCD" w14:textId="77777777" w:rsidR="00EF037E" w:rsidRPr="000D1988" w:rsidRDefault="00EF037E" w:rsidP="00DE09CD">
            <w:pPr>
              <w:spacing w:before="40" w:after="40"/>
              <w:rPr>
                <w:rFonts w:cs="Times New Roman"/>
                <w:sz w:val="22"/>
              </w:rPr>
            </w:pPr>
            <w:r w:rsidRPr="000D1988">
              <w:rPr>
                <w:rFonts w:cs="Times New Roman"/>
                <w:sz w:val="22"/>
              </w:rPr>
              <w:t>SLC11A1</w:t>
            </w:r>
          </w:p>
        </w:tc>
        <w:tc>
          <w:tcPr>
            <w:tcW w:w="1800" w:type="dxa"/>
          </w:tcPr>
          <w:p w14:paraId="1BC29774" w14:textId="77777777" w:rsidR="00EF037E" w:rsidRPr="000D1988" w:rsidRDefault="00EF037E" w:rsidP="00DE09CD">
            <w:pPr>
              <w:spacing w:before="40" w:after="40"/>
              <w:rPr>
                <w:rFonts w:cs="Times New Roman"/>
                <w:sz w:val="22"/>
                <w:lang w:val="de-DE"/>
              </w:rPr>
            </w:pPr>
            <w:r w:rsidRPr="000D1988">
              <w:rPr>
                <w:rFonts w:cs="Times New Roman"/>
                <w:sz w:val="22"/>
                <w:lang w:val="de-DE"/>
              </w:rPr>
              <w:t>5’-(GT)n allele 2/3; INT4 G/C</w:t>
            </w:r>
          </w:p>
        </w:tc>
        <w:tc>
          <w:tcPr>
            <w:tcW w:w="3818" w:type="dxa"/>
          </w:tcPr>
          <w:p w14:paraId="1338F7AA" w14:textId="77777777" w:rsidR="00EF037E" w:rsidRPr="000D1988" w:rsidRDefault="00EF037E" w:rsidP="00DE09CD">
            <w:pPr>
              <w:spacing w:before="40" w:after="40"/>
              <w:rPr>
                <w:rFonts w:cs="Times New Roman"/>
                <w:sz w:val="22"/>
              </w:rPr>
            </w:pPr>
            <w:r w:rsidRPr="000D1988">
              <w:rPr>
                <w:rFonts w:cs="Times New Roman"/>
                <w:sz w:val="22"/>
              </w:rPr>
              <w:t>Susceptibility</w:t>
            </w:r>
          </w:p>
        </w:tc>
        <w:tc>
          <w:tcPr>
            <w:tcW w:w="2302" w:type="dxa"/>
          </w:tcPr>
          <w:p w14:paraId="0B81E2EB" w14:textId="77777777" w:rsidR="00EF037E" w:rsidRPr="000D1988" w:rsidRDefault="00EF037E" w:rsidP="00DE09CD">
            <w:pPr>
              <w:spacing w:before="40" w:after="40"/>
              <w:rPr>
                <w:rFonts w:cs="Times New Roman"/>
                <w:sz w:val="22"/>
              </w:rPr>
            </w:pPr>
            <w:r w:rsidRPr="000D1988">
              <w:rPr>
                <w:rFonts w:cs="Times New Roman"/>
                <w:noProof/>
                <w:sz w:val="22"/>
              </w:rPr>
              <w:t>Turkish</w:t>
            </w:r>
          </w:p>
        </w:tc>
        <w:tc>
          <w:tcPr>
            <w:tcW w:w="1193" w:type="dxa"/>
          </w:tcPr>
          <w:p w14:paraId="10EB00A7" w14:textId="6AFF3F84" w:rsidR="00EF037E" w:rsidRPr="000D1988" w:rsidRDefault="00EF037E" w:rsidP="00DE09CD">
            <w:pPr>
              <w:spacing w:before="40" w:after="40"/>
              <w:rPr>
                <w:rFonts w:cs="Times New Roman"/>
                <w:sz w:val="22"/>
              </w:rPr>
            </w:pPr>
            <w:r w:rsidRPr="000D1988">
              <w:rPr>
                <w:rFonts w:cs="Times New Roman"/>
                <w:sz w:val="22"/>
              </w:rPr>
              <w:fldChar w:fldCharType="begin" w:fldLock="1"/>
            </w:r>
            <w:r w:rsidR="00160B99" w:rsidRPr="000D1988">
              <w:rPr>
                <w:rFonts w:cs="Times New Roman"/>
                <w:sz w:val="22"/>
              </w:rPr>
              <w:instrText>ADDIN CSL_CITATION { "citationItems" : [ { "id" : "ITEM-1", "itemData" : { "DOI" : "10.1007/s11033-011-1297-x", "ISBN" : "1573-4978 (Electronic) 0301-4851 (Linking)", "ISSN" : "1573-4978", "PMID" : "22160516", "abstract" : "Sarcoidosis (SA) is an immune-mediated multisystemic disorder of unknown etiology characterized by the accumulation of lymphocytes, mononuclear phagocytes and epithelioid cell granulomas involved in different organs and tissues. The belief that genetics contribute to SA etiology is supported by twin studies, disease clustering in families and racial differences in incidence rates. Involvements of SLC11A1 in macrophage function and activation, makes it an attractive candidate gene for immune-mediated and infectious diseases. We investigated the association between SA and four polymorphisms of the SLC11A1 gene, including a single nucleotide change in intron 4 (INT4); a nonconservative single-base substitution at codon 543 (D543N); a TGTG deletion in the 3' untranslated region; and the functional (GT)(n) repeat polymorphism in the 5' region, in 95 Turkish SA patients and 150 healthy controls, by using amplification refractory mutation system-polymerase chain reaction and sequencing. We found significant association between SA and INT4 G/C allele frequency (P = 0.0000; odds ratio 2.75; 95% confidence interval 1.68-4.52) and 5'(GT)(n) allele 2/3 frequency (P = 0.0000; odds ratio 2.69; 95% confidence interval 1.61-4.47) suggesting that SLC11A1 might be a plausible candidate gene for SA.", "author" : [ { "dropping-particle" : "", "family" : "Ak\u00e7akaya", "given" : "Pinar", "non-dropping-particle" : "", "parse-names" : false, "suffix" : "" }, { "dropping-particle" : "", "family" : "Azeroglu", "given" : "Benura", "non-dropping-particle" : "", "parse-names" : false, "suffix" : "" }, { "dropping-particle" : "", "family" : "Even", "given" : "Ipek", "non-dropping-particle" : "", "parse-names" : false, "suffix" : "" }, { "dropping-particle" : "", "family" : "Ates", "given" : "Omer", "non-dropping-particle" : "", "parse-names" : false, "suffix" : "" }, { "dropping-particle" : "", "family" : "Turker", "given" : "Hatice", "non-dropping-particle" : "", "parse-names" : false, "suffix" : "" }, { "dropping-particle" : "", "family" : "Ongen", "given" : "Gul", "non-dropping-particle" : "", "parse-names" : false, "suffix" : "" }, { "dropping-particle" : "", "family" : "Topal-Sarikaya", "given" : "Aysegul", "non-dropping-particle" : "", "parse-names" : false, "suffix" : "" } ], "container-title" : "Molecular biology reports", "id" : "ITEM-1", "issue" : "4", "issued" : { "date-parts" : [ [ "2012", "4" ] ] }, "page" : "5009-16", "title" : "The functional SLC11A1 gene polymorphisms are associated with sarcoidosis in Turkish population.", "type" : "article-journal", "volume" : "39" }, "uris" : [ "http://www.mendeley.com/documents/?uuid=dce3d29a-10ba-468a-9896-ed74f0049b91" ] } ], "mendeley" : { "formattedCitation" : "(26)", "plainTextFormattedCitation" : "(26)", "previouslyFormattedCitation" : "(24)" }, "properties" : { "noteIndex" : 0 }, "schema" : "https://github.com/citation-style-language/schema/raw/master/csl-citation.json" }</w:instrText>
            </w:r>
            <w:r w:rsidRPr="000D1988">
              <w:rPr>
                <w:rFonts w:cs="Times New Roman"/>
                <w:sz w:val="22"/>
              </w:rPr>
              <w:fldChar w:fldCharType="separate"/>
            </w:r>
            <w:r w:rsidR="00160B99" w:rsidRPr="000D1988">
              <w:rPr>
                <w:rFonts w:cs="Times New Roman"/>
                <w:noProof/>
                <w:sz w:val="22"/>
              </w:rPr>
              <w:t>(26)</w:t>
            </w:r>
            <w:r w:rsidRPr="000D1988">
              <w:rPr>
                <w:rFonts w:cs="Times New Roman"/>
                <w:sz w:val="22"/>
              </w:rPr>
              <w:fldChar w:fldCharType="end"/>
            </w:r>
          </w:p>
        </w:tc>
      </w:tr>
    </w:tbl>
    <w:p w14:paraId="5C6F6660" w14:textId="3ED6C255" w:rsidR="00EF037E" w:rsidRPr="000D1988" w:rsidRDefault="00865F8A" w:rsidP="00E51F7A">
      <w:pPr>
        <w:widowControl w:val="0"/>
        <w:autoSpaceDE w:val="0"/>
        <w:autoSpaceDN w:val="0"/>
        <w:adjustRightInd w:val="0"/>
        <w:spacing w:after="120"/>
        <w:jc w:val="both"/>
        <w:rPr>
          <w:rFonts w:eastAsia="Times New Roman" w:cs="Times New Roman"/>
          <w:noProof/>
          <w:sz w:val="22"/>
        </w:rPr>
      </w:pPr>
      <w:r w:rsidRPr="000D1988">
        <w:rPr>
          <w:rFonts w:cs="Times New Roman"/>
          <w:sz w:val="22"/>
          <w:vertAlign w:val="superscript"/>
        </w:rPr>
        <w:t>#</w:t>
      </w:r>
      <w:r w:rsidR="00EF037E" w:rsidRPr="000D1988">
        <w:rPr>
          <w:rFonts w:cs="Times New Roman"/>
          <w:sz w:val="22"/>
          <w:vertAlign w:val="superscript"/>
        </w:rPr>
        <w:t xml:space="preserve"> </w:t>
      </w:r>
      <w:r w:rsidR="00EF037E" w:rsidRPr="000D1988">
        <w:rPr>
          <w:rFonts w:eastAsia="Times New Roman" w:cs="Times New Roman"/>
          <w:noProof/>
          <w:sz w:val="22"/>
        </w:rPr>
        <w:t>Non-HLA variants in the HLA region; intergenic variants are mentioned in parenthesis; abbreviations as AA, African Americans; ACE, angiotensin I converting enzyme; ANXA11, annexin A11; ATF6B, activating transcription factor 6 beta; BTNL2, butyrophilin-like 2 (HLA-class II associated); C6orf10, chromosome 6 open reading frame 10 ;</w:t>
      </w:r>
      <w:r w:rsidR="008A3722" w:rsidRPr="000D1988">
        <w:rPr>
          <w:rFonts w:eastAsia="Times New Roman" w:cs="Times New Roman"/>
          <w:noProof/>
          <w:sz w:val="22"/>
        </w:rPr>
        <w:t xml:space="preserve"> CCR2, C-C chemokine receptor 2</w:t>
      </w:r>
      <w:r w:rsidR="00EF037E" w:rsidRPr="000D1988">
        <w:rPr>
          <w:rFonts w:eastAsia="Times New Roman" w:cs="Times New Roman"/>
          <w:noProof/>
          <w:sz w:val="22"/>
        </w:rPr>
        <w:t>; CCR5, C-C chemokine receptor 5; CREBL1, CAMP responsive element binding protein-like 1; EA, Americans of European ancestry; HLA, human leukocyte antigen (major histocompatibility complex); IL1A, interleukin 1 alpha; IL23R, interleukin 23 receptor; LTA, lymphotoxin alpha; NOD2, nucleotide binding oligomerization domain containing 2; SLC11A1, solute carrier family 11 member 1; rs, reference sequence; TAP2, transporter 2, ATP binding cassette subfamily B member; TNF, tumor necrosis factor.</w:t>
      </w:r>
    </w:p>
    <w:p w14:paraId="38B7507C" w14:textId="77777777" w:rsidR="008C6A36" w:rsidRPr="000D1988" w:rsidRDefault="008C6A36" w:rsidP="006A0945">
      <w:pPr>
        <w:widowControl w:val="0"/>
        <w:autoSpaceDE w:val="0"/>
        <w:autoSpaceDN w:val="0"/>
        <w:adjustRightInd w:val="0"/>
        <w:spacing w:after="120" w:line="360" w:lineRule="auto"/>
        <w:ind w:left="480" w:hanging="480"/>
        <w:jc w:val="both"/>
        <w:outlineLvl w:val="0"/>
        <w:rPr>
          <w:rFonts w:eastAsia="Times New Roman" w:cs="Times New Roman"/>
          <w:b/>
          <w:noProof/>
          <w:szCs w:val="24"/>
        </w:rPr>
      </w:pPr>
      <w:r w:rsidRPr="000D1988">
        <w:rPr>
          <w:rFonts w:eastAsia="Times New Roman" w:cs="Times New Roman"/>
          <w:b/>
          <w:noProof/>
          <w:szCs w:val="24"/>
        </w:rPr>
        <w:lastRenderedPageBreak/>
        <w:t>References</w:t>
      </w:r>
    </w:p>
    <w:p w14:paraId="494369BE" w14:textId="2005D4F7" w:rsidR="00160B99" w:rsidRPr="000D1988" w:rsidRDefault="00824802" w:rsidP="00160B99">
      <w:pPr>
        <w:widowControl w:val="0"/>
        <w:autoSpaceDE w:val="0"/>
        <w:autoSpaceDN w:val="0"/>
        <w:adjustRightInd w:val="0"/>
        <w:spacing w:after="120"/>
        <w:ind w:left="640" w:hanging="640"/>
        <w:rPr>
          <w:rFonts w:eastAsia="Times New Roman" w:cs="Times New Roman"/>
          <w:noProof/>
        </w:rPr>
      </w:pPr>
      <w:r w:rsidRPr="000D1988">
        <w:rPr>
          <w:rFonts w:eastAsia="Times New Roman" w:cs="Times New Roman"/>
          <w:b/>
          <w:noProof/>
          <w:szCs w:val="24"/>
        </w:rPr>
        <w:fldChar w:fldCharType="begin" w:fldLock="1"/>
      </w:r>
      <w:r w:rsidR="008C6A36" w:rsidRPr="000D1988">
        <w:rPr>
          <w:rFonts w:eastAsia="Times New Roman" w:cs="Times New Roman"/>
          <w:b/>
          <w:noProof/>
          <w:szCs w:val="24"/>
        </w:rPr>
        <w:instrText xml:space="preserve">ADDIN Mendeley Bibliography CSL_BIBLIOGRAPHY </w:instrText>
      </w:r>
      <w:r w:rsidRPr="000D1988">
        <w:rPr>
          <w:rFonts w:eastAsia="Times New Roman" w:cs="Times New Roman"/>
          <w:b/>
          <w:noProof/>
          <w:szCs w:val="24"/>
        </w:rPr>
        <w:fldChar w:fldCharType="separate"/>
      </w:r>
      <w:r w:rsidR="00160B99" w:rsidRPr="000D1988">
        <w:rPr>
          <w:rFonts w:eastAsia="Times New Roman" w:cs="Times New Roman"/>
          <w:noProof/>
        </w:rPr>
        <w:t xml:space="preserve">1. </w:t>
      </w:r>
      <w:r w:rsidR="00160B99" w:rsidRPr="000D1988">
        <w:rPr>
          <w:rFonts w:eastAsia="Times New Roman" w:cs="Times New Roman"/>
          <w:noProof/>
        </w:rPr>
        <w:tab/>
        <w:t xml:space="preserve">Quail MA, Smith M, Coupland P, Otto TD, Harris SR, Connor TR, Bertoni A, Swerdlow HP, Gu Y. A tale of three next generation sequencing platforms: comparison of Ion Torrent, Pacific Biosciences and Illumina MiSeq sequencers. </w:t>
      </w:r>
      <w:r w:rsidR="00160B99" w:rsidRPr="000D1988">
        <w:rPr>
          <w:rFonts w:eastAsia="Times New Roman" w:cs="Times New Roman"/>
          <w:i/>
          <w:iCs/>
          <w:noProof/>
        </w:rPr>
        <w:t>BMC Genomics</w:t>
      </w:r>
      <w:r w:rsidR="00160B99" w:rsidRPr="000D1988">
        <w:rPr>
          <w:rFonts w:eastAsia="Times New Roman" w:cs="Times New Roman"/>
          <w:noProof/>
        </w:rPr>
        <w:t xml:space="preserve"> (2012) </w:t>
      </w:r>
      <w:r w:rsidR="00160B99" w:rsidRPr="000D1988">
        <w:rPr>
          <w:rFonts w:eastAsia="Times New Roman" w:cs="Times New Roman"/>
          <w:b/>
          <w:bCs/>
          <w:noProof/>
        </w:rPr>
        <w:t>13</w:t>
      </w:r>
      <w:r w:rsidR="00160B99" w:rsidRPr="000D1988">
        <w:rPr>
          <w:rFonts w:eastAsia="Times New Roman" w:cs="Times New Roman"/>
          <w:noProof/>
        </w:rPr>
        <w:t>: doi:10.1186/1471-2164-13-341</w:t>
      </w:r>
    </w:p>
    <w:p w14:paraId="3A3C7E9B" w14:textId="77777777" w:rsidR="00160B99" w:rsidRPr="000D1988" w:rsidRDefault="00160B99" w:rsidP="00160B99">
      <w:pPr>
        <w:widowControl w:val="0"/>
        <w:autoSpaceDE w:val="0"/>
        <w:autoSpaceDN w:val="0"/>
        <w:adjustRightInd w:val="0"/>
        <w:spacing w:after="120"/>
        <w:ind w:left="640" w:hanging="640"/>
        <w:rPr>
          <w:rFonts w:eastAsia="Times New Roman" w:cs="Times New Roman"/>
          <w:noProof/>
        </w:rPr>
      </w:pPr>
      <w:r w:rsidRPr="000D1988">
        <w:rPr>
          <w:rFonts w:eastAsia="Times New Roman" w:cs="Times New Roman"/>
          <w:noProof/>
        </w:rPr>
        <w:t xml:space="preserve">2. </w:t>
      </w:r>
      <w:r w:rsidRPr="000D1988">
        <w:rPr>
          <w:rFonts w:eastAsia="Times New Roman" w:cs="Times New Roman"/>
          <w:noProof/>
        </w:rPr>
        <w:tab/>
        <w:t xml:space="preserve">Shendure J, Ji H. Next-generation DNA sequencing. </w:t>
      </w:r>
      <w:r w:rsidRPr="000D1988">
        <w:rPr>
          <w:rFonts w:eastAsia="Times New Roman" w:cs="Times New Roman"/>
          <w:i/>
          <w:iCs/>
          <w:noProof/>
        </w:rPr>
        <w:t>Nat Biotechnol</w:t>
      </w:r>
      <w:r w:rsidRPr="000D1988">
        <w:rPr>
          <w:rFonts w:eastAsia="Times New Roman" w:cs="Times New Roman"/>
          <w:noProof/>
        </w:rPr>
        <w:t xml:space="preserve"> (2008) </w:t>
      </w:r>
      <w:r w:rsidRPr="000D1988">
        <w:rPr>
          <w:rFonts w:eastAsia="Times New Roman" w:cs="Times New Roman"/>
          <w:b/>
          <w:bCs/>
          <w:noProof/>
        </w:rPr>
        <w:t>26</w:t>
      </w:r>
      <w:r w:rsidRPr="000D1988">
        <w:rPr>
          <w:rFonts w:eastAsia="Times New Roman" w:cs="Times New Roman"/>
          <w:noProof/>
        </w:rPr>
        <w:t>:1135–1145. doi:10.1038/nbt1486</w:t>
      </w:r>
    </w:p>
    <w:p w14:paraId="3DD1DF51" w14:textId="77777777" w:rsidR="00160B99" w:rsidRPr="000D1988" w:rsidRDefault="00160B99" w:rsidP="00160B99">
      <w:pPr>
        <w:widowControl w:val="0"/>
        <w:autoSpaceDE w:val="0"/>
        <w:autoSpaceDN w:val="0"/>
        <w:adjustRightInd w:val="0"/>
        <w:spacing w:after="120"/>
        <w:ind w:left="640" w:hanging="640"/>
        <w:rPr>
          <w:rFonts w:eastAsia="Times New Roman" w:cs="Times New Roman"/>
          <w:noProof/>
        </w:rPr>
      </w:pPr>
      <w:r w:rsidRPr="000D1988">
        <w:rPr>
          <w:rFonts w:eastAsia="Times New Roman" w:cs="Times New Roman"/>
          <w:noProof/>
        </w:rPr>
        <w:t xml:space="preserve">3. </w:t>
      </w:r>
      <w:r w:rsidRPr="000D1988">
        <w:rPr>
          <w:rFonts w:eastAsia="Times New Roman" w:cs="Times New Roman"/>
          <w:noProof/>
        </w:rPr>
        <w:tab/>
        <w:t xml:space="preserve">Besser J, Carleton HA, Gerner-Smidt P, Lindsey RL, Trees E. Next-generation sequencing technologies and their application to the study and control of bacterial infections. </w:t>
      </w:r>
      <w:r w:rsidRPr="000D1988">
        <w:rPr>
          <w:rFonts w:eastAsia="Times New Roman" w:cs="Times New Roman"/>
          <w:i/>
          <w:iCs/>
          <w:noProof/>
        </w:rPr>
        <w:t>Clin Microbiol Infect</w:t>
      </w:r>
      <w:r w:rsidRPr="000D1988">
        <w:rPr>
          <w:rFonts w:eastAsia="Times New Roman" w:cs="Times New Roman"/>
          <w:noProof/>
        </w:rPr>
        <w:t xml:space="preserve"> (2018) </w:t>
      </w:r>
      <w:r w:rsidRPr="000D1988">
        <w:rPr>
          <w:rFonts w:eastAsia="Times New Roman" w:cs="Times New Roman"/>
          <w:b/>
          <w:bCs/>
          <w:noProof/>
        </w:rPr>
        <w:t>24</w:t>
      </w:r>
      <w:r w:rsidRPr="000D1988">
        <w:rPr>
          <w:rFonts w:eastAsia="Times New Roman" w:cs="Times New Roman"/>
          <w:noProof/>
        </w:rPr>
        <w:t>:335–341. doi:10.1016/j.cmi.2017.10.013</w:t>
      </w:r>
    </w:p>
    <w:p w14:paraId="37710C8E" w14:textId="77777777" w:rsidR="00160B99" w:rsidRPr="000D1988" w:rsidRDefault="00160B99" w:rsidP="00160B99">
      <w:pPr>
        <w:widowControl w:val="0"/>
        <w:autoSpaceDE w:val="0"/>
        <w:autoSpaceDN w:val="0"/>
        <w:adjustRightInd w:val="0"/>
        <w:spacing w:after="120"/>
        <w:ind w:left="640" w:hanging="640"/>
        <w:rPr>
          <w:rFonts w:eastAsia="Times New Roman" w:cs="Times New Roman"/>
          <w:noProof/>
        </w:rPr>
      </w:pPr>
      <w:r w:rsidRPr="000D1988">
        <w:rPr>
          <w:rFonts w:eastAsia="Times New Roman" w:cs="Times New Roman"/>
          <w:noProof/>
        </w:rPr>
        <w:t xml:space="preserve">4. </w:t>
      </w:r>
      <w:r w:rsidRPr="000D1988">
        <w:rPr>
          <w:rFonts w:eastAsia="Times New Roman" w:cs="Times New Roman"/>
          <w:noProof/>
        </w:rPr>
        <w:tab/>
        <w:t xml:space="preserve">Kishore A, Petrek M. Immunogenetics of Saarcoidosis. </w:t>
      </w:r>
      <w:r w:rsidRPr="000D1988">
        <w:rPr>
          <w:rFonts w:eastAsia="Times New Roman" w:cs="Times New Roman"/>
          <w:i/>
          <w:iCs/>
          <w:noProof/>
        </w:rPr>
        <w:t>Int Trends Immun</w:t>
      </w:r>
      <w:r w:rsidRPr="000D1988">
        <w:rPr>
          <w:rFonts w:eastAsia="Times New Roman" w:cs="Times New Roman"/>
          <w:noProof/>
        </w:rPr>
        <w:t xml:space="preserve"> (2013) </w:t>
      </w:r>
      <w:r w:rsidRPr="000D1988">
        <w:rPr>
          <w:rFonts w:eastAsia="Times New Roman" w:cs="Times New Roman"/>
          <w:b/>
          <w:bCs/>
          <w:noProof/>
        </w:rPr>
        <w:t>1</w:t>
      </w:r>
      <w:r w:rsidRPr="000D1988">
        <w:rPr>
          <w:rFonts w:eastAsia="Times New Roman" w:cs="Times New Roman"/>
          <w:noProof/>
        </w:rPr>
        <w:t>:43–53.</w:t>
      </w:r>
    </w:p>
    <w:p w14:paraId="06FB6D2B" w14:textId="77777777" w:rsidR="00160B99" w:rsidRPr="000D1988" w:rsidRDefault="00160B99" w:rsidP="00160B99">
      <w:pPr>
        <w:widowControl w:val="0"/>
        <w:autoSpaceDE w:val="0"/>
        <w:autoSpaceDN w:val="0"/>
        <w:adjustRightInd w:val="0"/>
        <w:spacing w:after="120"/>
        <w:ind w:left="640" w:hanging="640"/>
        <w:rPr>
          <w:rFonts w:eastAsia="Times New Roman" w:cs="Times New Roman"/>
          <w:noProof/>
        </w:rPr>
      </w:pPr>
      <w:r w:rsidRPr="000D1988">
        <w:rPr>
          <w:rFonts w:eastAsia="Times New Roman" w:cs="Times New Roman"/>
          <w:noProof/>
        </w:rPr>
        <w:t xml:space="preserve">5. </w:t>
      </w:r>
      <w:r w:rsidRPr="000D1988">
        <w:rPr>
          <w:rFonts w:eastAsia="Times New Roman" w:cs="Times New Roman"/>
          <w:noProof/>
        </w:rPr>
        <w:tab/>
        <w:t xml:space="preserve">Sah BP, Iannuzzi MC. “Genetic Factors Involved in Sarcoidosis,” in </w:t>
      </w:r>
      <w:r w:rsidRPr="000D1988">
        <w:rPr>
          <w:rFonts w:eastAsia="Times New Roman" w:cs="Times New Roman"/>
          <w:i/>
          <w:iCs/>
          <w:noProof/>
        </w:rPr>
        <w:t>Sarcoidosis</w:t>
      </w:r>
      <w:r w:rsidRPr="000D1988">
        <w:rPr>
          <w:rFonts w:eastAsia="Times New Roman" w:cs="Times New Roman"/>
          <w:noProof/>
        </w:rPr>
        <w:t xml:space="preserve"> (InTech), 53–77. doi:10.5772/55116</w:t>
      </w:r>
    </w:p>
    <w:p w14:paraId="7697CC55" w14:textId="77777777" w:rsidR="00160B99" w:rsidRPr="000D1988" w:rsidRDefault="00160B99" w:rsidP="00160B99">
      <w:pPr>
        <w:widowControl w:val="0"/>
        <w:autoSpaceDE w:val="0"/>
        <w:autoSpaceDN w:val="0"/>
        <w:adjustRightInd w:val="0"/>
        <w:spacing w:after="120"/>
        <w:ind w:left="640" w:hanging="640"/>
        <w:rPr>
          <w:rFonts w:eastAsia="Times New Roman" w:cs="Times New Roman"/>
          <w:noProof/>
        </w:rPr>
      </w:pPr>
      <w:r w:rsidRPr="000D1988">
        <w:rPr>
          <w:rFonts w:eastAsia="Times New Roman" w:cs="Times New Roman"/>
          <w:noProof/>
        </w:rPr>
        <w:t xml:space="preserve">6. </w:t>
      </w:r>
      <w:r w:rsidRPr="000D1988">
        <w:rPr>
          <w:rFonts w:eastAsia="Times New Roman" w:cs="Times New Roman"/>
          <w:noProof/>
        </w:rPr>
        <w:tab/>
        <w:t xml:space="preserve">Martinetti M, Tinelli C, Kolek V, Cuccia M, Salvaneschi L, Pasturenzi L, Semenzato G, Cipriani A, Bartova A, Luisetti M. “The sarcoidosis map”: a joint survey of clinical and immunogenetic findings in two European countries. </w:t>
      </w:r>
      <w:r w:rsidRPr="000D1988">
        <w:rPr>
          <w:rFonts w:eastAsia="Times New Roman" w:cs="Times New Roman"/>
          <w:i/>
          <w:iCs/>
          <w:noProof/>
        </w:rPr>
        <w:t>Am J Respir Crit Care Med</w:t>
      </w:r>
      <w:r w:rsidRPr="000D1988">
        <w:rPr>
          <w:rFonts w:eastAsia="Times New Roman" w:cs="Times New Roman"/>
          <w:noProof/>
        </w:rPr>
        <w:t xml:space="preserve"> (1995) </w:t>
      </w:r>
      <w:r w:rsidRPr="000D1988">
        <w:rPr>
          <w:rFonts w:eastAsia="Times New Roman" w:cs="Times New Roman"/>
          <w:b/>
          <w:bCs/>
          <w:noProof/>
        </w:rPr>
        <w:t>152</w:t>
      </w:r>
      <w:r w:rsidRPr="000D1988">
        <w:rPr>
          <w:rFonts w:eastAsia="Times New Roman" w:cs="Times New Roman"/>
          <w:noProof/>
        </w:rPr>
        <w:t>:557–64. doi:10.1164/ajrccm.152.2.7633707</w:t>
      </w:r>
    </w:p>
    <w:p w14:paraId="3886BE2F" w14:textId="77777777" w:rsidR="00160B99" w:rsidRPr="000D1988" w:rsidRDefault="00160B99" w:rsidP="00160B99">
      <w:pPr>
        <w:widowControl w:val="0"/>
        <w:autoSpaceDE w:val="0"/>
        <w:autoSpaceDN w:val="0"/>
        <w:adjustRightInd w:val="0"/>
        <w:spacing w:after="120"/>
        <w:ind w:left="640" w:hanging="640"/>
        <w:rPr>
          <w:rFonts w:eastAsia="Times New Roman" w:cs="Times New Roman"/>
          <w:noProof/>
        </w:rPr>
      </w:pPr>
      <w:r w:rsidRPr="000D1988">
        <w:rPr>
          <w:rFonts w:eastAsia="Times New Roman" w:cs="Times New Roman"/>
          <w:noProof/>
        </w:rPr>
        <w:t xml:space="preserve">7. </w:t>
      </w:r>
      <w:r w:rsidRPr="000D1988">
        <w:rPr>
          <w:rFonts w:eastAsia="Times New Roman" w:cs="Times New Roman"/>
          <w:noProof/>
        </w:rPr>
        <w:tab/>
        <w:t xml:space="preserve">Fingerlin TE, Hamzeh N, Maier LA. Genetics of Sarcoidosis. </w:t>
      </w:r>
      <w:r w:rsidRPr="000D1988">
        <w:rPr>
          <w:rFonts w:eastAsia="Times New Roman" w:cs="Times New Roman"/>
          <w:i/>
          <w:iCs/>
          <w:noProof/>
        </w:rPr>
        <w:t>Clin Chest Med</w:t>
      </w:r>
      <w:r w:rsidRPr="000D1988">
        <w:rPr>
          <w:rFonts w:eastAsia="Times New Roman" w:cs="Times New Roman"/>
          <w:noProof/>
        </w:rPr>
        <w:t xml:space="preserve"> (2015) </w:t>
      </w:r>
      <w:r w:rsidRPr="000D1988">
        <w:rPr>
          <w:rFonts w:eastAsia="Times New Roman" w:cs="Times New Roman"/>
          <w:b/>
          <w:bCs/>
          <w:noProof/>
        </w:rPr>
        <w:t>36</w:t>
      </w:r>
      <w:r w:rsidRPr="000D1988">
        <w:rPr>
          <w:rFonts w:eastAsia="Times New Roman" w:cs="Times New Roman"/>
          <w:noProof/>
        </w:rPr>
        <w:t>:569–84. doi:10.1016/j.ccm.2015.08.002</w:t>
      </w:r>
    </w:p>
    <w:p w14:paraId="243ADABB" w14:textId="77777777" w:rsidR="00160B99" w:rsidRPr="000D1988" w:rsidRDefault="00160B99" w:rsidP="00160B99">
      <w:pPr>
        <w:widowControl w:val="0"/>
        <w:autoSpaceDE w:val="0"/>
        <w:autoSpaceDN w:val="0"/>
        <w:adjustRightInd w:val="0"/>
        <w:spacing w:after="120"/>
        <w:ind w:left="640" w:hanging="640"/>
        <w:rPr>
          <w:rFonts w:eastAsia="Times New Roman" w:cs="Times New Roman"/>
          <w:noProof/>
        </w:rPr>
      </w:pPr>
      <w:r w:rsidRPr="000D1988">
        <w:rPr>
          <w:rFonts w:eastAsia="Times New Roman" w:cs="Times New Roman"/>
          <w:noProof/>
        </w:rPr>
        <w:t xml:space="preserve">8. </w:t>
      </w:r>
      <w:r w:rsidRPr="000D1988">
        <w:rPr>
          <w:rFonts w:eastAsia="Times New Roman" w:cs="Times New Roman"/>
          <w:noProof/>
        </w:rPr>
        <w:tab/>
        <w:t xml:space="preserve">Wennerström A, Pietinalho A, Lasota J, Salli K, Surakka I, Seppänen M, Selroos O, Lokki M-L. Major histocompatibility complex class II and BTNL2 associations in sarcoidosis. </w:t>
      </w:r>
      <w:r w:rsidRPr="000D1988">
        <w:rPr>
          <w:rFonts w:eastAsia="Times New Roman" w:cs="Times New Roman"/>
          <w:i/>
          <w:iCs/>
          <w:noProof/>
        </w:rPr>
        <w:t>Eur Respir J</w:t>
      </w:r>
      <w:r w:rsidRPr="000D1988">
        <w:rPr>
          <w:rFonts w:eastAsia="Times New Roman" w:cs="Times New Roman"/>
          <w:noProof/>
        </w:rPr>
        <w:t xml:space="preserve"> (2013) </w:t>
      </w:r>
      <w:r w:rsidRPr="000D1988">
        <w:rPr>
          <w:rFonts w:eastAsia="Times New Roman" w:cs="Times New Roman"/>
          <w:b/>
          <w:bCs/>
          <w:noProof/>
        </w:rPr>
        <w:t>42</w:t>
      </w:r>
      <w:r w:rsidRPr="000D1988">
        <w:rPr>
          <w:rFonts w:eastAsia="Times New Roman" w:cs="Times New Roman"/>
          <w:noProof/>
        </w:rPr>
        <w:t>:550–3. doi:10.1183/09031936.00035213</w:t>
      </w:r>
    </w:p>
    <w:p w14:paraId="00E6009E" w14:textId="77777777" w:rsidR="00160B99" w:rsidRPr="000D1988" w:rsidRDefault="00160B99" w:rsidP="00160B99">
      <w:pPr>
        <w:widowControl w:val="0"/>
        <w:autoSpaceDE w:val="0"/>
        <w:autoSpaceDN w:val="0"/>
        <w:adjustRightInd w:val="0"/>
        <w:spacing w:after="120"/>
        <w:ind w:left="640" w:hanging="640"/>
        <w:rPr>
          <w:rFonts w:eastAsia="Times New Roman" w:cs="Times New Roman"/>
          <w:noProof/>
        </w:rPr>
      </w:pPr>
      <w:r w:rsidRPr="000D1988">
        <w:rPr>
          <w:rFonts w:eastAsia="Times New Roman" w:cs="Times New Roman"/>
          <w:noProof/>
        </w:rPr>
        <w:t xml:space="preserve">9. </w:t>
      </w:r>
      <w:r w:rsidRPr="000D1988">
        <w:rPr>
          <w:rFonts w:eastAsia="Times New Roman" w:cs="Times New Roman"/>
          <w:noProof/>
        </w:rPr>
        <w:tab/>
        <w:t xml:space="preserve">Rivera N V, Ronninger M, Shchetynsky K, Franke A, Nöthen MM, Müller-Quernheim J, Schreiber S, Adrianto I, Karakaya B, van Moorsel CHM, et al. High-Density Genetic Mapping Identifies New Susceptibility Variants in Sarcoidosis Phenotypes and Shows Genomic-driven Phenotypic Differences. </w:t>
      </w:r>
      <w:r w:rsidRPr="000D1988">
        <w:rPr>
          <w:rFonts w:eastAsia="Times New Roman" w:cs="Times New Roman"/>
          <w:i/>
          <w:iCs/>
          <w:noProof/>
        </w:rPr>
        <w:t>Am J Respir Crit Care Med</w:t>
      </w:r>
      <w:r w:rsidRPr="000D1988">
        <w:rPr>
          <w:rFonts w:eastAsia="Times New Roman" w:cs="Times New Roman"/>
          <w:noProof/>
        </w:rPr>
        <w:t xml:space="preserve"> (2016) </w:t>
      </w:r>
      <w:r w:rsidRPr="000D1988">
        <w:rPr>
          <w:rFonts w:eastAsia="Times New Roman" w:cs="Times New Roman"/>
          <w:b/>
          <w:bCs/>
          <w:noProof/>
        </w:rPr>
        <w:t>193</w:t>
      </w:r>
      <w:r w:rsidRPr="000D1988">
        <w:rPr>
          <w:rFonts w:eastAsia="Times New Roman" w:cs="Times New Roman"/>
          <w:noProof/>
        </w:rPr>
        <w:t>:1008–1022.</w:t>
      </w:r>
    </w:p>
    <w:p w14:paraId="12B26838" w14:textId="77777777" w:rsidR="00160B99" w:rsidRPr="000D1988" w:rsidRDefault="00160B99" w:rsidP="00160B99">
      <w:pPr>
        <w:widowControl w:val="0"/>
        <w:autoSpaceDE w:val="0"/>
        <w:autoSpaceDN w:val="0"/>
        <w:adjustRightInd w:val="0"/>
        <w:spacing w:after="120"/>
        <w:ind w:left="640" w:hanging="640"/>
        <w:rPr>
          <w:rFonts w:eastAsia="Times New Roman" w:cs="Times New Roman"/>
          <w:noProof/>
        </w:rPr>
      </w:pPr>
      <w:r w:rsidRPr="000D1988">
        <w:rPr>
          <w:rFonts w:eastAsia="Times New Roman" w:cs="Times New Roman"/>
          <w:noProof/>
        </w:rPr>
        <w:t xml:space="preserve">10. </w:t>
      </w:r>
      <w:r w:rsidRPr="000D1988">
        <w:rPr>
          <w:rFonts w:eastAsia="Times New Roman" w:cs="Times New Roman"/>
          <w:noProof/>
        </w:rPr>
        <w:tab/>
        <w:t xml:space="preserve">Sato H, Woodhead FA, Ahmad T, Grutters JC, Spagnolo P, van den Bosch JMM, Maier LA, Newman LS, Nagai S, Izumi T, et al. Sarcoidosis HLA class II genotyping distinguishes differences of clinical phenotype across ethnic groups. </w:t>
      </w:r>
      <w:r w:rsidRPr="000D1988">
        <w:rPr>
          <w:rFonts w:eastAsia="Times New Roman" w:cs="Times New Roman"/>
          <w:i/>
          <w:iCs/>
          <w:noProof/>
        </w:rPr>
        <w:t>Hum Mol Genet</w:t>
      </w:r>
      <w:r w:rsidRPr="000D1988">
        <w:rPr>
          <w:rFonts w:eastAsia="Times New Roman" w:cs="Times New Roman"/>
          <w:noProof/>
        </w:rPr>
        <w:t xml:space="preserve"> (2010) </w:t>
      </w:r>
      <w:r w:rsidRPr="000D1988">
        <w:rPr>
          <w:rFonts w:eastAsia="Times New Roman" w:cs="Times New Roman"/>
          <w:b/>
          <w:bCs/>
          <w:noProof/>
        </w:rPr>
        <w:t>19</w:t>
      </w:r>
      <w:r w:rsidRPr="000D1988">
        <w:rPr>
          <w:rFonts w:eastAsia="Times New Roman" w:cs="Times New Roman"/>
          <w:noProof/>
        </w:rPr>
        <w:t>:4100–4111. doi:10.1093/hmg/ddq325</w:t>
      </w:r>
    </w:p>
    <w:p w14:paraId="6154F65F" w14:textId="77777777" w:rsidR="00160B99" w:rsidRPr="000D1988" w:rsidRDefault="00160B99" w:rsidP="00160B99">
      <w:pPr>
        <w:widowControl w:val="0"/>
        <w:autoSpaceDE w:val="0"/>
        <w:autoSpaceDN w:val="0"/>
        <w:adjustRightInd w:val="0"/>
        <w:spacing w:after="120"/>
        <w:ind w:left="640" w:hanging="640"/>
        <w:rPr>
          <w:rFonts w:eastAsia="Times New Roman" w:cs="Times New Roman"/>
          <w:noProof/>
        </w:rPr>
      </w:pPr>
      <w:r w:rsidRPr="000D1988">
        <w:rPr>
          <w:rFonts w:eastAsia="Times New Roman" w:cs="Times New Roman"/>
          <w:noProof/>
        </w:rPr>
        <w:t xml:space="preserve">11. </w:t>
      </w:r>
      <w:r w:rsidRPr="000D1988">
        <w:rPr>
          <w:rFonts w:eastAsia="Times New Roman" w:cs="Times New Roman"/>
          <w:noProof/>
        </w:rPr>
        <w:tab/>
        <w:t xml:space="preserve">Wolin A, Lahtela EL, Anttila V, Petrek M, Grunewald J, van Moorsel CHM, Eklund A, Grutters JC, Kolek V, Mrazek F, et al. SNP Variants in Major Histocompatibility Complex Are Associated with Sarcoidosis Susceptibility-A Joint Analysis in Four European Populations. </w:t>
      </w:r>
      <w:r w:rsidRPr="000D1988">
        <w:rPr>
          <w:rFonts w:eastAsia="Times New Roman" w:cs="Times New Roman"/>
          <w:i/>
          <w:iCs/>
          <w:noProof/>
        </w:rPr>
        <w:t>Front Immunol</w:t>
      </w:r>
      <w:r w:rsidRPr="000D1988">
        <w:rPr>
          <w:rFonts w:eastAsia="Times New Roman" w:cs="Times New Roman"/>
          <w:noProof/>
        </w:rPr>
        <w:t xml:space="preserve"> (2017) </w:t>
      </w:r>
      <w:r w:rsidRPr="000D1988">
        <w:rPr>
          <w:rFonts w:eastAsia="Times New Roman" w:cs="Times New Roman"/>
          <w:b/>
          <w:bCs/>
          <w:noProof/>
        </w:rPr>
        <w:t>8</w:t>
      </w:r>
      <w:r w:rsidRPr="000D1988">
        <w:rPr>
          <w:rFonts w:eastAsia="Times New Roman" w:cs="Times New Roman"/>
          <w:noProof/>
        </w:rPr>
        <w:t>:422. doi:10.3389/fimmu.2017.00422</w:t>
      </w:r>
    </w:p>
    <w:p w14:paraId="137C918A" w14:textId="77777777" w:rsidR="00160B99" w:rsidRPr="000D1988" w:rsidRDefault="00160B99" w:rsidP="00160B99">
      <w:pPr>
        <w:widowControl w:val="0"/>
        <w:autoSpaceDE w:val="0"/>
        <w:autoSpaceDN w:val="0"/>
        <w:adjustRightInd w:val="0"/>
        <w:spacing w:after="120"/>
        <w:ind w:left="640" w:hanging="640"/>
        <w:rPr>
          <w:rFonts w:eastAsia="Times New Roman" w:cs="Times New Roman"/>
          <w:noProof/>
        </w:rPr>
      </w:pPr>
      <w:r w:rsidRPr="000D1988">
        <w:rPr>
          <w:rFonts w:eastAsia="Times New Roman" w:cs="Times New Roman"/>
          <w:noProof/>
        </w:rPr>
        <w:t xml:space="preserve">12. </w:t>
      </w:r>
      <w:r w:rsidRPr="000D1988">
        <w:rPr>
          <w:rFonts w:eastAsia="Times New Roman" w:cs="Times New Roman"/>
          <w:noProof/>
        </w:rPr>
        <w:tab/>
        <w:t xml:space="preserve">Spagnolo P, Sato H, Grutters JC, Renzoni EA, Marshall SE, Ruven HJT, Wells AU, Tzouvelekis A, Van Moorsel CHM, Van Den Bosch JMM, et al. Analysis of BTNL2 genetic polymorphisms in British and Dutch patients with sarcoidosis. </w:t>
      </w:r>
      <w:r w:rsidRPr="000D1988">
        <w:rPr>
          <w:rFonts w:eastAsia="Times New Roman" w:cs="Times New Roman"/>
          <w:i/>
          <w:iCs/>
          <w:noProof/>
        </w:rPr>
        <w:t>Tissue Antigens</w:t>
      </w:r>
      <w:r w:rsidRPr="000D1988">
        <w:rPr>
          <w:rFonts w:eastAsia="Times New Roman" w:cs="Times New Roman"/>
          <w:noProof/>
        </w:rPr>
        <w:t xml:space="preserve"> (2007) </w:t>
      </w:r>
      <w:r w:rsidRPr="000D1988">
        <w:rPr>
          <w:rFonts w:eastAsia="Times New Roman" w:cs="Times New Roman"/>
          <w:b/>
          <w:bCs/>
          <w:noProof/>
        </w:rPr>
        <w:t>70</w:t>
      </w:r>
      <w:r w:rsidRPr="000D1988">
        <w:rPr>
          <w:rFonts w:eastAsia="Times New Roman" w:cs="Times New Roman"/>
          <w:noProof/>
        </w:rPr>
        <w:t>:219–227. doi:10.1111/j.1399-0039.2007.00879.x</w:t>
      </w:r>
    </w:p>
    <w:p w14:paraId="2CE81009" w14:textId="77777777" w:rsidR="00160B99" w:rsidRPr="000D1988" w:rsidRDefault="00160B99" w:rsidP="00160B99">
      <w:pPr>
        <w:widowControl w:val="0"/>
        <w:autoSpaceDE w:val="0"/>
        <w:autoSpaceDN w:val="0"/>
        <w:adjustRightInd w:val="0"/>
        <w:spacing w:after="120"/>
        <w:ind w:left="640" w:hanging="640"/>
        <w:rPr>
          <w:rFonts w:eastAsia="Times New Roman" w:cs="Times New Roman"/>
          <w:noProof/>
        </w:rPr>
      </w:pPr>
      <w:r w:rsidRPr="000D1988">
        <w:rPr>
          <w:rFonts w:eastAsia="Times New Roman" w:cs="Times New Roman"/>
          <w:noProof/>
        </w:rPr>
        <w:t xml:space="preserve">13. </w:t>
      </w:r>
      <w:r w:rsidRPr="000D1988">
        <w:rPr>
          <w:rFonts w:eastAsia="Times New Roman" w:cs="Times New Roman"/>
          <w:noProof/>
        </w:rPr>
        <w:tab/>
        <w:t xml:space="preserve">Morais A, Lima B, Peixoto MJ, Alves H, Marques A, Delgado L. BTNL2 gene polymorphism associations with susceptibility and phenotype expression in sarcoidosis. </w:t>
      </w:r>
      <w:r w:rsidRPr="000D1988">
        <w:rPr>
          <w:rFonts w:eastAsia="Times New Roman" w:cs="Times New Roman"/>
          <w:i/>
          <w:iCs/>
          <w:noProof/>
        </w:rPr>
        <w:t>Respir Med</w:t>
      </w:r>
      <w:r w:rsidRPr="000D1988">
        <w:rPr>
          <w:rFonts w:eastAsia="Times New Roman" w:cs="Times New Roman"/>
          <w:noProof/>
        </w:rPr>
        <w:t xml:space="preserve"> (2012) </w:t>
      </w:r>
      <w:r w:rsidRPr="000D1988">
        <w:rPr>
          <w:rFonts w:eastAsia="Times New Roman" w:cs="Times New Roman"/>
          <w:b/>
          <w:bCs/>
          <w:noProof/>
        </w:rPr>
        <w:t>106</w:t>
      </w:r>
      <w:r w:rsidRPr="000D1988">
        <w:rPr>
          <w:rFonts w:eastAsia="Times New Roman" w:cs="Times New Roman"/>
          <w:noProof/>
        </w:rPr>
        <w:t>:1771–1777. doi:10.1016/j.rmed.2012.08.009</w:t>
      </w:r>
    </w:p>
    <w:p w14:paraId="5DBBE5E3" w14:textId="77777777" w:rsidR="00160B99" w:rsidRPr="000D1988" w:rsidRDefault="00160B99" w:rsidP="00160B99">
      <w:pPr>
        <w:widowControl w:val="0"/>
        <w:autoSpaceDE w:val="0"/>
        <w:autoSpaceDN w:val="0"/>
        <w:adjustRightInd w:val="0"/>
        <w:spacing w:after="120"/>
        <w:ind w:left="640" w:hanging="640"/>
        <w:rPr>
          <w:rFonts w:eastAsia="Times New Roman" w:cs="Times New Roman"/>
          <w:noProof/>
        </w:rPr>
      </w:pPr>
      <w:r w:rsidRPr="000D1988">
        <w:rPr>
          <w:rFonts w:eastAsia="Times New Roman" w:cs="Times New Roman"/>
          <w:noProof/>
        </w:rPr>
        <w:t xml:space="preserve">14. </w:t>
      </w:r>
      <w:r w:rsidRPr="000D1988">
        <w:rPr>
          <w:rFonts w:eastAsia="Times New Roman" w:cs="Times New Roman"/>
          <w:noProof/>
        </w:rPr>
        <w:tab/>
        <w:t xml:space="preserve">Mrazek F, Holla LI, Hutyrova B, Znojil V, Vasku A, Kolek V, Welsh KI, Vacha J, du Bois </w:t>
      </w:r>
      <w:r w:rsidRPr="000D1988">
        <w:rPr>
          <w:rFonts w:eastAsia="Times New Roman" w:cs="Times New Roman"/>
          <w:noProof/>
        </w:rPr>
        <w:lastRenderedPageBreak/>
        <w:t xml:space="preserve">RM, Petrek M. Association of tumour necrosis factor-alpha, lymphotoxin-alpha and HLA-DRB1 gene polymorphisms with Löfgren’s syndrome in Czech patients with sarcoidosis. </w:t>
      </w:r>
      <w:r w:rsidRPr="000D1988">
        <w:rPr>
          <w:rFonts w:eastAsia="Times New Roman" w:cs="Times New Roman"/>
          <w:i/>
          <w:iCs/>
          <w:noProof/>
        </w:rPr>
        <w:t>Tissue Antigens</w:t>
      </w:r>
      <w:r w:rsidRPr="000D1988">
        <w:rPr>
          <w:rFonts w:eastAsia="Times New Roman" w:cs="Times New Roman"/>
          <w:noProof/>
        </w:rPr>
        <w:t xml:space="preserve"> (2005) </w:t>
      </w:r>
      <w:r w:rsidRPr="000D1988">
        <w:rPr>
          <w:rFonts w:eastAsia="Times New Roman" w:cs="Times New Roman"/>
          <w:b/>
          <w:bCs/>
          <w:noProof/>
        </w:rPr>
        <w:t>65</w:t>
      </w:r>
      <w:r w:rsidRPr="000D1988">
        <w:rPr>
          <w:rFonts w:eastAsia="Times New Roman" w:cs="Times New Roman"/>
          <w:noProof/>
        </w:rPr>
        <w:t>:163–71. doi:10.1111/j.1399-0039.2005.00370.x</w:t>
      </w:r>
    </w:p>
    <w:p w14:paraId="0C6F0D49" w14:textId="77777777" w:rsidR="00160B99" w:rsidRPr="000D1988" w:rsidRDefault="00160B99" w:rsidP="00160B99">
      <w:pPr>
        <w:widowControl w:val="0"/>
        <w:autoSpaceDE w:val="0"/>
        <w:autoSpaceDN w:val="0"/>
        <w:adjustRightInd w:val="0"/>
        <w:spacing w:after="120"/>
        <w:ind w:left="640" w:hanging="640"/>
        <w:rPr>
          <w:rFonts w:eastAsia="Times New Roman" w:cs="Times New Roman"/>
          <w:noProof/>
        </w:rPr>
      </w:pPr>
      <w:r w:rsidRPr="000D1988">
        <w:rPr>
          <w:rFonts w:eastAsia="Times New Roman" w:cs="Times New Roman"/>
          <w:noProof/>
        </w:rPr>
        <w:t xml:space="preserve">15. </w:t>
      </w:r>
      <w:r w:rsidRPr="000D1988">
        <w:rPr>
          <w:rFonts w:eastAsia="Times New Roman" w:cs="Times New Roman"/>
          <w:noProof/>
        </w:rPr>
        <w:tab/>
        <w:t xml:space="preserve">Mrazek F, Stahelova A, Kriegova E, Fillerova R, Zurkova M, Kolek V, Petrek M. Functional variant ANXA11 R230C: True marker of protection and candidate disease modifier in sarcoidosis. </w:t>
      </w:r>
      <w:r w:rsidRPr="000D1988">
        <w:rPr>
          <w:rFonts w:eastAsia="Times New Roman" w:cs="Times New Roman"/>
          <w:i/>
          <w:iCs/>
          <w:noProof/>
        </w:rPr>
        <w:t>Genes Immun</w:t>
      </w:r>
      <w:r w:rsidRPr="000D1988">
        <w:rPr>
          <w:rFonts w:eastAsia="Times New Roman" w:cs="Times New Roman"/>
          <w:noProof/>
        </w:rPr>
        <w:t xml:space="preserve"> (2011) </w:t>
      </w:r>
      <w:r w:rsidRPr="000D1988">
        <w:rPr>
          <w:rFonts w:eastAsia="Times New Roman" w:cs="Times New Roman"/>
          <w:b/>
          <w:bCs/>
          <w:noProof/>
        </w:rPr>
        <w:t>12</w:t>
      </w:r>
      <w:r w:rsidRPr="000D1988">
        <w:rPr>
          <w:rFonts w:eastAsia="Times New Roman" w:cs="Times New Roman"/>
          <w:noProof/>
        </w:rPr>
        <w:t>:490–494. doi:10.1038/gene.2011.27</w:t>
      </w:r>
    </w:p>
    <w:p w14:paraId="1B5D5881" w14:textId="77777777" w:rsidR="00160B99" w:rsidRPr="000D1988" w:rsidRDefault="00160B99" w:rsidP="00160B99">
      <w:pPr>
        <w:widowControl w:val="0"/>
        <w:autoSpaceDE w:val="0"/>
        <w:autoSpaceDN w:val="0"/>
        <w:adjustRightInd w:val="0"/>
        <w:spacing w:after="120"/>
        <w:ind w:left="640" w:hanging="640"/>
        <w:rPr>
          <w:rFonts w:eastAsia="Times New Roman" w:cs="Times New Roman"/>
          <w:noProof/>
          <w:lang w:val="nl-NL"/>
        </w:rPr>
      </w:pPr>
      <w:r w:rsidRPr="000D1988">
        <w:rPr>
          <w:rFonts w:eastAsia="Times New Roman" w:cs="Times New Roman"/>
          <w:noProof/>
        </w:rPr>
        <w:t xml:space="preserve">16. </w:t>
      </w:r>
      <w:r w:rsidRPr="000D1988">
        <w:rPr>
          <w:rFonts w:eastAsia="Times New Roman" w:cs="Times New Roman"/>
          <w:noProof/>
        </w:rPr>
        <w:tab/>
        <w:t xml:space="preserve">Levin AM, Iannuzzi MC, Montgomery CG, Trudeau S, Datta I, McKeigue P, Fischer A, Nebel A, Rybicki BA. Association of ANXA11 genetic variation with sarcoidosis in African Americans and European Americans. </w:t>
      </w:r>
      <w:r w:rsidRPr="000D1988">
        <w:rPr>
          <w:rFonts w:eastAsia="Times New Roman" w:cs="Times New Roman"/>
          <w:i/>
          <w:iCs/>
          <w:noProof/>
          <w:lang w:val="nl-NL"/>
        </w:rPr>
        <w:t>Genes Immun</w:t>
      </w:r>
      <w:r w:rsidRPr="000D1988">
        <w:rPr>
          <w:rFonts w:eastAsia="Times New Roman" w:cs="Times New Roman"/>
          <w:noProof/>
          <w:lang w:val="nl-NL"/>
        </w:rPr>
        <w:t xml:space="preserve"> (2013) </w:t>
      </w:r>
      <w:r w:rsidRPr="000D1988">
        <w:rPr>
          <w:rFonts w:eastAsia="Times New Roman" w:cs="Times New Roman"/>
          <w:b/>
          <w:bCs/>
          <w:noProof/>
          <w:lang w:val="nl-NL"/>
        </w:rPr>
        <w:t>14</w:t>
      </w:r>
      <w:r w:rsidRPr="000D1988">
        <w:rPr>
          <w:rFonts w:eastAsia="Times New Roman" w:cs="Times New Roman"/>
          <w:noProof/>
          <w:lang w:val="nl-NL"/>
        </w:rPr>
        <w:t>:13–8. doi:10.1038/gene.2012.48</w:t>
      </w:r>
    </w:p>
    <w:p w14:paraId="6718FC11" w14:textId="77777777" w:rsidR="00160B99" w:rsidRPr="000D1988" w:rsidRDefault="00160B99" w:rsidP="00160B99">
      <w:pPr>
        <w:widowControl w:val="0"/>
        <w:autoSpaceDE w:val="0"/>
        <w:autoSpaceDN w:val="0"/>
        <w:adjustRightInd w:val="0"/>
        <w:spacing w:after="120"/>
        <w:ind w:left="640" w:hanging="640"/>
        <w:rPr>
          <w:rFonts w:eastAsia="Times New Roman" w:cs="Times New Roman"/>
          <w:noProof/>
        </w:rPr>
      </w:pPr>
      <w:r w:rsidRPr="000D1988">
        <w:rPr>
          <w:rFonts w:eastAsia="Times New Roman" w:cs="Times New Roman"/>
          <w:noProof/>
          <w:lang w:val="nl-NL"/>
        </w:rPr>
        <w:t xml:space="preserve">17. </w:t>
      </w:r>
      <w:r w:rsidRPr="000D1988">
        <w:rPr>
          <w:rFonts w:eastAsia="Times New Roman" w:cs="Times New Roman"/>
          <w:noProof/>
          <w:lang w:val="nl-NL"/>
        </w:rPr>
        <w:tab/>
        <w:t xml:space="preserve">Stouten K, van de Werken M, Tchetverikov I, Saboerali M, Vermeer HJ, Castel R, Verheijen FM. </w:t>
      </w:r>
      <w:r w:rsidRPr="000D1988">
        <w:rPr>
          <w:rFonts w:eastAsia="Times New Roman" w:cs="Times New Roman"/>
          <w:noProof/>
        </w:rPr>
        <w:t xml:space="preserve">Extreme elevation of serum angiotensin-converting enzyme (ACE) activity: always consider familial ACE hyperactivity. </w:t>
      </w:r>
      <w:r w:rsidRPr="000D1988">
        <w:rPr>
          <w:rFonts w:eastAsia="Times New Roman" w:cs="Times New Roman"/>
          <w:i/>
          <w:iCs/>
          <w:noProof/>
        </w:rPr>
        <w:t>Ann Clin Biochem</w:t>
      </w:r>
      <w:r w:rsidRPr="000D1988">
        <w:rPr>
          <w:rFonts w:eastAsia="Times New Roman" w:cs="Times New Roman"/>
          <w:noProof/>
        </w:rPr>
        <w:t xml:space="preserve"> (2014) </w:t>
      </w:r>
      <w:r w:rsidRPr="000D1988">
        <w:rPr>
          <w:rFonts w:eastAsia="Times New Roman" w:cs="Times New Roman"/>
          <w:b/>
          <w:bCs/>
          <w:noProof/>
        </w:rPr>
        <w:t>51</w:t>
      </w:r>
      <w:r w:rsidRPr="000D1988">
        <w:rPr>
          <w:rFonts w:eastAsia="Times New Roman" w:cs="Times New Roman"/>
          <w:noProof/>
        </w:rPr>
        <w:t>:289–93. doi:10.1177/0004563213489812</w:t>
      </w:r>
    </w:p>
    <w:p w14:paraId="448B02A6" w14:textId="77777777" w:rsidR="00160B99" w:rsidRPr="000D1988" w:rsidRDefault="00160B99" w:rsidP="00160B99">
      <w:pPr>
        <w:widowControl w:val="0"/>
        <w:autoSpaceDE w:val="0"/>
        <w:autoSpaceDN w:val="0"/>
        <w:adjustRightInd w:val="0"/>
        <w:spacing w:after="120"/>
        <w:ind w:left="640" w:hanging="640"/>
        <w:rPr>
          <w:rFonts w:eastAsia="Times New Roman" w:cs="Times New Roman"/>
          <w:noProof/>
        </w:rPr>
      </w:pPr>
      <w:r w:rsidRPr="000D1988">
        <w:rPr>
          <w:rFonts w:eastAsia="Times New Roman" w:cs="Times New Roman"/>
          <w:noProof/>
        </w:rPr>
        <w:t xml:space="preserve">18. </w:t>
      </w:r>
      <w:r w:rsidRPr="000D1988">
        <w:rPr>
          <w:rFonts w:eastAsia="Times New Roman" w:cs="Times New Roman"/>
          <w:noProof/>
        </w:rPr>
        <w:tab/>
        <w:t xml:space="preserve">McGrath DS, Foley PJ, Petrek M, Izakovicova-Holla L, Kolek V, Veeraraghavan S, Lympany PA, Pantelidis P, Vasku A, Wells AU, et al. ACE Gene I/D Polymorphism and Sarcoidosis Pulmonary Disease Severity. </w:t>
      </w:r>
      <w:r w:rsidRPr="000D1988">
        <w:rPr>
          <w:rFonts w:eastAsia="Times New Roman" w:cs="Times New Roman"/>
          <w:i/>
          <w:iCs/>
          <w:noProof/>
        </w:rPr>
        <w:t>Am J Respir Crit Care Med</w:t>
      </w:r>
      <w:r w:rsidRPr="000D1988">
        <w:rPr>
          <w:rFonts w:eastAsia="Times New Roman" w:cs="Times New Roman"/>
          <w:noProof/>
        </w:rPr>
        <w:t xml:space="preserve"> (2001) </w:t>
      </w:r>
      <w:r w:rsidRPr="000D1988">
        <w:rPr>
          <w:rFonts w:eastAsia="Times New Roman" w:cs="Times New Roman"/>
          <w:b/>
          <w:bCs/>
          <w:noProof/>
        </w:rPr>
        <w:t>164</w:t>
      </w:r>
      <w:r w:rsidRPr="000D1988">
        <w:rPr>
          <w:rFonts w:eastAsia="Times New Roman" w:cs="Times New Roman"/>
          <w:noProof/>
        </w:rPr>
        <w:t>:197–201. doi:10.1164/ajrccm.164.2.2011009</w:t>
      </w:r>
    </w:p>
    <w:p w14:paraId="23F1786B" w14:textId="77777777" w:rsidR="00160B99" w:rsidRPr="000D1988" w:rsidRDefault="00160B99" w:rsidP="00160B99">
      <w:pPr>
        <w:widowControl w:val="0"/>
        <w:autoSpaceDE w:val="0"/>
        <w:autoSpaceDN w:val="0"/>
        <w:adjustRightInd w:val="0"/>
        <w:spacing w:after="120"/>
        <w:ind w:left="640" w:hanging="640"/>
        <w:rPr>
          <w:rFonts w:eastAsia="Times New Roman" w:cs="Times New Roman"/>
          <w:noProof/>
        </w:rPr>
      </w:pPr>
      <w:r w:rsidRPr="000D1988">
        <w:rPr>
          <w:rFonts w:eastAsia="Times New Roman" w:cs="Times New Roman"/>
          <w:noProof/>
        </w:rPr>
        <w:t xml:space="preserve">19. </w:t>
      </w:r>
      <w:r w:rsidRPr="000D1988">
        <w:rPr>
          <w:rFonts w:eastAsia="Times New Roman" w:cs="Times New Roman"/>
          <w:noProof/>
        </w:rPr>
        <w:tab/>
        <w:t xml:space="preserve">Pacheco Y, Calender A, Israël-Biet D, Roy P, Lebecque S, Cottin V, Bouvry D, Nunes H, Sève P, Pérard L, et al. Familial vs. sporadic sarcoidosis: BTNL2 polymorphisms, clinical presentations, and outcomes in a French cohort. </w:t>
      </w:r>
      <w:r w:rsidRPr="000D1988">
        <w:rPr>
          <w:rFonts w:eastAsia="Times New Roman" w:cs="Times New Roman"/>
          <w:i/>
          <w:iCs/>
          <w:noProof/>
        </w:rPr>
        <w:t>Orphanet J Rare Dis</w:t>
      </w:r>
      <w:r w:rsidRPr="000D1988">
        <w:rPr>
          <w:rFonts w:eastAsia="Times New Roman" w:cs="Times New Roman"/>
          <w:noProof/>
        </w:rPr>
        <w:t xml:space="preserve"> (2016) </w:t>
      </w:r>
      <w:r w:rsidRPr="000D1988">
        <w:rPr>
          <w:rFonts w:eastAsia="Times New Roman" w:cs="Times New Roman"/>
          <w:b/>
          <w:bCs/>
          <w:noProof/>
        </w:rPr>
        <w:t>11</w:t>
      </w:r>
      <w:r w:rsidRPr="000D1988">
        <w:rPr>
          <w:rFonts w:eastAsia="Times New Roman" w:cs="Times New Roman"/>
          <w:noProof/>
        </w:rPr>
        <w:t>:165. doi:10.1186/s13023-016-0546-4</w:t>
      </w:r>
    </w:p>
    <w:p w14:paraId="01A559BF" w14:textId="77777777" w:rsidR="00160B99" w:rsidRPr="000D1988" w:rsidRDefault="00160B99" w:rsidP="00160B99">
      <w:pPr>
        <w:widowControl w:val="0"/>
        <w:autoSpaceDE w:val="0"/>
        <w:autoSpaceDN w:val="0"/>
        <w:adjustRightInd w:val="0"/>
        <w:spacing w:after="120"/>
        <w:ind w:left="640" w:hanging="640"/>
        <w:rPr>
          <w:rFonts w:eastAsia="Times New Roman" w:cs="Times New Roman"/>
          <w:noProof/>
        </w:rPr>
      </w:pPr>
      <w:r w:rsidRPr="000D1988">
        <w:rPr>
          <w:rFonts w:eastAsia="Times New Roman" w:cs="Times New Roman"/>
          <w:noProof/>
        </w:rPr>
        <w:t xml:space="preserve">20. </w:t>
      </w:r>
      <w:r w:rsidRPr="000D1988">
        <w:rPr>
          <w:rFonts w:eastAsia="Times New Roman" w:cs="Times New Roman"/>
          <w:noProof/>
        </w:rPr>
        <w:tab/>
        <w:t xml:space="preserve">Petrek M, Drabek J, Kolek V, Zlamal J, Welsh KI, Bunce M, Weigl E, Du BR. CC chemokine receptor gene polymorphisms in Czech patients with pulmonary sarcoidosis. </w:t>
      </w:r>
      <w:r w:rsidRPr="000D1988">
        <w:rPr>
          <w:rFonts w:eastAsia="Times New Roman" w:cs="Times New Roman"/>
          <w:i/>
          <w:iCs/>
          <w:noProof/>
        </w:rPr>
        <w:t>Am J Respir Crit Care Med</w:t>
      </w:r>
      <w:r w:rsidRPr="000D1988">
        <w:rPr>
          <w:rFonts w:eastAsia="Times New Roman" w:cs="Times New Roman"/>
          <w:noProof/>
        </w:rPr>
        <w:t xml:space="preserve"> (2000) </w:t>
      </w:r>
      <w:r w:rsidRPr="000D1988">
        <w:rPr>
          <w:rFonts w:eastAsia="Times New Roman" w:cs="Times New Roman"/>
          <w:b/>
          <w:bCs/>
          <w:noProof/>
        </w:rPr>
        <w:t>162</w:t>
      </w:r>
      <w:r w:rsidRPr="000D1988">
        <w:rPr>
          <w:rFonts w:eastAsia="Times New Roman" w:cs="Times New Roman"/>
          <w:noProof/>
        </w:rPr>
        <w:t>:1000–1003.</w:t>
      </w:r>
    </w:p>
    <w:p w14:paraId="3F70A2B1" w14:textId="77777777" w:rsidR="00160B99" w:rsidRPr="000D1988" w:rsidRDefault="00160B99" w:rsidP="00160B99">
      <w:pPr>
        <w:widowControl w:val="0"/>
        <w:autoSpaceDE w:val="0"/>
        <w:autoSpaceDN w:val="0"/>
        <w:adjustRightInd w:val="0"/>
        <w:spacing w:after="120"/>
        <w:ind w:left="640" w:hanging="640"/>
        <w:rPr>
          <w:rFonts w:eastAsia="Times New Roman" w:cs="Times New Roman"/>
          <w:noProof/>
        </w:rPr>
      </w:pPr>
      <w:r w:rsidRPr="000D1988">
        <w:rPr>
          <w:rFonts w:eastAsia="Times New Roman" w:cs="Times New Roman"/>
          <w:noProof/>
        </w:rPr>
        <w:t xml:space="preserve">21. </w:t>
      </w:r>
      <w:r w:rsidRPr="000D1988">
        <w:rPr>
          <w:rFonts w:eastAsia="Times New Roman" w:cs="Times New Roman"/>
          <w:noProof/>
        </w:rPr>
        <w:tab/>
        <w:t xml:space="preserve">Spagnolo P, Renzoni EA, Wells AU, Copley SJ, Desai SR, Sato H, Grutters JC, Abdallah A, Taegtmeyer A, du Bois RM, et al. C-C chemokine receptor 5 gene variants in relation to lung disease in sarcoidosis. </w:t>
      </w:r>
      <w:r w:rsidRPr="000D1988">
        <w:rPr>
          <w:rFonts w:eastAsia="Times New Roman" w:cs="Times New Roman"/>
          <w:i/>
          <w:iCs/>
          <w:noProof/>
        </w:rPr>
        <w:t>Am J Respir Crit Care Med</w:t>
      </w:r>
      <w:r w:rsidRPr="000D1988">
        <w:rPr>
          <w:rFonts w:eastAsia="Times New Roman" w:cs="Times New Roman"/>
          <w:noProof/>
        </w:rPr>
        <w:t xml:space="preserve"> (2005) </w:t>
      </w:r>
      <w:r w:rsidRPr="000D1988">
        <w:rPr>
          <w:rFonts w:eastAsia="Times New Roman" w:cs="Times New Roman"/>
          <w:b/>
          <w:bCs/>
          <w:noProof/>
        </w:rPr>
        <w:t>172</w:t>
      </w:r>
      <w:r w:rsidRPr="000D1988">
        <w:rPr>
          <w:rFonts w:eastAsia="Times New Roman" w:cs="Times New Roman"/>
          <w:noProof/>
        </w:rPr>
        <w:t>:721–8. doi:10.1164/rccm.200412-1707OC</w:t>
      </w:r>
    </w:p>
    <w:p w14:paraId="5F1E43E1" w14:textId="77777777" w:rsidR="00160B99" w:rsidRPr="000D1988" w:rsidRDefault="00160B99" w:rsidP="00160B99">
      <w:pPr>
        <w:widowControl w:val="0"/>
        <w:autoSpaceDE w:val="0"/>
        <w:autoSpaceDN w:val="0"/>
        <w:adjustRightInd w:val="0"/>
        <w:spacing w:after="120"/>
        <w:ind w:left="640" w:hanging="640"/>
        <w:rPr>
          <w:rFonts w:eastAsia="Times New Roman" w:cs="Times New Roman"/>
          <w:noProof/>
        </w:rPr>
      </w:pPr>
      <w:r w:rsidRPr="000D1988">
        <w:rPr>
          <w:rFonts w:eastAsia="Times New Roman" w:cs="Times New Roman"/>
          <w:noProof/>
        </w:rPr>
        <w:t xml:space="preserve">22. </w:t>
      </w:r>
      <w:r w:rsidRPr="000D1988">
        <w:rPr>
          <w:rFonts w:eastAsia="Times New Roman" w:cs="Times New Roman"/>
          <w:noProof/>
        </w:rPr>
        <w:tab/>
        <w:t xml:space="preserve">Petrek M, Gibejova A, Drabek J, Mrazek F, Kolek V, Weigl E, du Bois RM. CC chemokine receptor 5 (CCR5) mRNA expression in pulmonary sarcoidosis. </w:t>
      </w:r>
      <w:r w:rsidRPr="000D1988">
        <w:rPr>
          <w:rFonts w:eastAsia="Times New Roman" w:cs="Times New Roman"/>
          <w:i/>
          <w:iCs/>
          <w:noProof/>
        </w:rPr>
        <w:t>Immunol Lett</w:t>
      </w:r>
      <w:r w:rsidRPr="000D1988">
        <w:rPr>
          <w:rFonts w:eastAsia="Times New Roman" w:cs="Times New Roman"/>
          <w:noProof/>
        </w:rPr>
        <w:t xml:space="preserve"> (2002) </w:t>
      </w:r>
      <w:r w:rsidRPr="000D1988">
        <w:rPr>
          <w:rFonts w:eastAsia="Times New Roman" w:cs="Times New Roman"/>
          <w:b/>
          <w:bCs/>
          <w:noProof/>
        </w:rPr>
        <w:t>80</w:t>
      </w:r>
      <w:r w:rsidRPr="000D1988">
        <w:rPr>
          <w:rFonts w:eastAsia="Times New Roman" w:cs="Times New Roman"/>
          <w:noProof/>
        </w:rPr>
        <w:t>:189–93. Available at: http://www.ncbi.nlm.nih.gov/pubmed/11803051 [Accessed May 7, 2018]</w:t>
      </w:r>
    </w:p>
    <w:p w14:paraId="271F0367" w14:textId="77777777" w:rsidR="00160B99" w:rsidRPr="000D1988" w:rsidRDefault="00160B99" w:rsidP="00160B99">
      <w:pPr>
        <w:widowControl w:val="0"/>
        <w:autoSpaceDE w:val="0"/>
        <w:autoSpaceDN w:val="0"/>
        <w:adjustRightInd w:val="0"/>
        <w:spacing w:after="120"/>
        <w:ind w:left="640" w:hanging="640"/>
        <w:rPr>
          <w:rFonts w:eastAsia="Times New Roman" w:cs="Times New Roman"/>
          <w:noProof/>
        </w:rPr>
      </w:pPr>
      <w:r w:rsidRPr="000D1988">
        <w:rPr>
          <w:rFonts w:eastAsia="Times New Roman" w:cs="Times New Roman"/>
          <w:noProof/>
        </w:rPr>
        <w:t xml:space="preserve">23. </w:t>
      </w:r>
      <w:r w:rsidRPr="000D1988">
        <w:rPr>
          <w:rFonts w:eastAsia="Times New Roman" w:cs="Times New Roman"/>
          <w:noProof/>
        </w:rPr>
        <w:tab/>
        <w:t xml:space="preserve">Hutyrová B, Pantelidis P, Drábek J, Zůrková M, Kolek V, Lenhart K, Welsh KI, Du Bois RM, Petrek M. Interleukin-1 Gene Cluster Polymorphisms in Sarcoidosis and Idiopathic Pulmonary Fibrosis. </w:t>
      </w:r>
      <w:r w:rsidRPr="000D1988">
        <w:rPr>
          <w:rFonts w:eastAsia="Times New Roman" w:cs="Times New Roman"/>
          <w:i/>
          <w:iCs/>
          <w:noProof/>
        </w:rPr>
        <w:t>Am J Respir Crit Care Med</w:t>
      </w:r>
      <w:r w:rsidRPr="000D1988">
        <w:rPr>
          <w:rFonts w:eastAsia="Times New Roman" w:cs="Times New Roman"/>
          <w:noProof/>
        </w:rPr>
        <w:t xml:space="preserve"> (2002) </w:t>
      </w:r>
      <w:r w:rsidRPr="000D1988">
        <w:rPr>
          <w:rFonts w:eastAsia="Times New Roman" w:cs="Times New Roman"/>
          <w:b/>
          <w:bCs/>
          <w:noProof/>
        </w:rPr>
        <w:t>165</w:t>
      </w:r>
      <w:r w:rsidRPr="000D1988">
        <w:rPr>
          <w:rFonts w:eastAsia="Times New Roman" w:cs="Times New Roman"/>
          <w:noProof/>
        </w:rPr>
        <w:t>:148–151. doi:10.1164/ajrccm.165.2.2106004</w:t>
      </w:r>
    </w:p>
    <w:p w14:paraId="6BD25923" w14:textId="77777777" w:rsidR="00160B99" w:rsidRPr="000D1988" w:rsidRDefault="00160B99" w:rsidP="00160B99">
      <w:pPr>
        <w:widowControl w:val="0"/>
        <w:autoSpaceDE w:val="0"/>
        <w:autoSpaceDN w:val="0"/>
        <w:adjustRightInd w:val="0"/>
        <w:spacing w:after="120"/>
        <w:ind w:left="640" w:hanging="640"/>
        <w:rPr>
          <w:rFonts w:eastAsia="Times New Roman" w:cs="Times New Roman"/>
          <w:noProof/>
        </w:rPr>
      </w:pPr>
      <w:r w:rsidRPr="000D1988">
        <w:rPr>
          <w:rFonts w:eastAsia="Times New Roman" w:cs="Times New Roman"/>
          <w:noProof/>
        </w:rPr>
        <w:t xml:space="preserve">24. </w:t>
      </w:r>
      <w:r w:rsidRPr="000D1988">
        <w:rPr>
          <w:rFonts w:eastAsia="Times New Roman" w:cs="Times New Roman"/>
          <w:noProof/>
        </w:rPr>
        <w:tab/>
        <w:t xml:space="preserve">Fischer A, Nothnagel M, Franke A, Jacobs G, Saadati HR, Gaede KI, Rosenstiel P, Schürmann M, Müller-Quernheim J, Schreiber S, et al. Association of inflammatory bowel disease risk loci with sarcoidosis, and its acute and chronic subphenotypes. </w:t>
      </w:r>
      <w:r w:rsidRPr="000D1988">
        <w:rPr>
          <w:rFonts w:eastAsia="Times New Roman" w:cs="Times New Roman"/>
          <w:i/>
          <w:iCs/>
          <w:noProof/>
        </w:rPr>
        <w:t>Eur Respir J</w:t>
      </w:r>
      <w:r w:rsidRPr="000D1988">
        <w:rPr>
          <w:rFonts w:eastAsia="Times New Roman" w:cs="Times New Roman"/>
          <w:noProof/>
        </w:rPr>
        <w:t xml:space="preserve"> (2011) </w:t>
      </w:r>
      <w:r w:rsidRPr="000D1988">
        <w:rPr>
          <w:rFonts w:eastAsia="Times New Roman" w:cs="Times New Roman"/>
          <w:b/>
          <w:bCs/>
          <w:noProof/>
        </w:rPr>
        <w:t>37</w:t>
      </w:r>
      <w:r w:rsidRPr="000D1988">
        <w:rPr>
          <w:rFonts w:eastAsia="Times New Roman" w:cs="Times New Roman"/>
          <w:noProof/>
        </w:rPr>
        <w:t>:610–6. doi:10.1183/09031936.00049410</w:t>
      </w:r>
    </w:p>
    <w:p w14:paraId="7FB281EE" w14:textId="77777777" w:rsidR="00160B99" w:rsidRPr="000D1988" w:rsidRDefault="00160B99" w:rsidP="00160B99">
      <w:pPr>
        <w:widowControl w:val="0"/>
        <w:autoSpaceDE w:val="0"/>
        <w:autoSpaceDN w:val="0"/>
        <w:adjustRightInd w:val="0"/>
        <w:spacing w:after="120"/>
        <w:ind w:left="640" w:hanging="640"/>
        <w:rPr>
          <w:rFonts w:eastAsia="Times New Roman" w:cs="Times New Roman"/>
          <w:noProof/>
        </w:rPr>
      </w:pPr>
      <w:r w:rsidRPr="000D1988">
        <w:rPr>
          <w:rFonts w:eastAsia="Times New Roman" w:cs="Times New Roman"/>
          <w:noProof/>
        </w:rPr>
        <w:t xml:space="preserve">25. </w:t>
      </w:r>
      <w:r w:rsidRPr="000D1988">
        <w:rPr>
          <w:rFonts w:eastAsia="Times New Roman" w:cs="Times New Roman"/>
          <w:noProof/>
        </w:rPr>
        <w:tab/>
        <w:t xml:space="preserve">Takeuchi Y, Shigemura T, Kobayashi N, Kaneko N, Iwasaki T, Minami K, Kobayashi K, Masumoto J, Agematsu K. Early diagnosis of early-onset sarcoidosis: a case report with functional analysis and review of the literature. </w:t>
      </w:r>
      <w:r w:rsidRPr="000D1988">
        <w:rPr>
          <w:rFonts w:eastAsia="Times New Roman" w:cs="Times New Roman"/>
          <w:i/>
          <w:iCs/>
          <w:noProof/>
        </w:rPr>
        <w:t>Clin Rheumatol</w:t>
      </w:r>
      <w:r w:rsidRPr="000D1988">
        <w:rPr>
          <w:rFonts w:eastAsia="Times New Roman" w:cs="Times New Roman"/>
          <w:noProof/>
        </w:rPr>
        <w:t xml:space="preserve"> (2017) </w:t>
      </w:r>
      <w:r w:rsidRPr="000D1988">
        <w:rPr>
          <w:rFonts w:eastAsia="Times New Roman" w:cs="Times New Roman"/>
          <w:b/>
          <w:bCs/>
          <w:noProof/>
        </w:rPr>
        <w:t>36</w:t>
      </w:r>
      <w:r w:rsidRPr="000D1988">
        <w:rPr>
          <w:rFonts w:eastAsia="Times New Roman" w:cs="Times New Roman"/>
          <w:noProof/>
        </w:rPr>
        <w:t>:1189–1196. doi:10.1007/s10067-017-3544-6</w:t>
      </w:r>
    </w:p>
    <w:p w14:paraId="7E2F8F27" w14:textId="77777777" w:rsidR="00160B99" w:rsidRPr="000D1988" w:rsidRDefault="00160B99" w:rsidP="00160B99">
      <w:pPr>
        <w:widowControl w:val="0"/>
        <w:autoSpaceDE w:val="0"/>
        <w:autoSpaceDN w:val="0"/>
        <w:adjustRightInd w:val="0"/>
        <w:spacing w:after="120"/>
        <w:ind w:left="640" w:hanging="640"/>
        <w:rPr>
          <w:rFonts w:cs="Times New Roman"/>
          <w:noProof/>
        </w:rPr>
      </w:pPr>
      <w:r w:rsidRPr="000D1988">
        <w:rPr>
          <w:rFonts w:eastAsia="Times New Roman" w:cs="Times New Roman"/>
          <w:noProof/>
        </w:rPr>
        <w:lastRenderedPageBreak/>
        <w:t xml:space="preserve">26. </w:t>
      </w:r>
      <w:r w:rsidRPr="000D1988">
        <w:rPr>
          <w:rFonts w:eastAsia="Times New Roman" w:cs="Times New Roman"/>
          <w:noProof/>
        </w:rPr>
        <w:tab/>
        <w:t xml:space="preserve">Akçakaya P, Azeroglu B, Even I, Ates O, Turker H, Ongen G, Topal-Sarikaya A. The functional SLC11A1 gene polymorphisms are associated with sarcoidosis in Turkish population. </w:t>
      </w:r>
      <w:r w:rsidRPr="000D1988">
        <w:rPr>
          <w:rFonts w:eastAsia="Times New Roman" w:cs="Times New Roman"/>
          <w:i/>
          <w:iCs/>
          <w:noProof/>
        </w:rPr>
        <w:t>Mol Biol Rep</w:t>
      </w:r>
      <w:r w:rsidRPr="000D1988">
        <w:rPr>
          <w:rFonts w:eastAsia="Times New Roman" w:cs="Times New Roman"/>
          <w:noProof/>
        </w:rPr>
        <w:t xml:space="preserve"> (2012) </w:t>
      </w:r>
      <w:r w:rsidRPr="000D1988">
        <w:rPr>
          <w:rFonts w:eastAsia="Times New Roman" w:cs="Times New Roman"/>
          <w:b/>
          <w:bCs/>
          <w:noProof/>
        </w:rPr>
        <w:t>39</w:t>
      </w:r>
      <w:r w:rsidRPr="000D1988">
        <w:rPr>
          <w:rFonts w:eastAsia="Times New Roman" w:cs="Times New Roman"/>
          <w:noProof/>
        </w:rPr>
        <w:t>:5009–16. doi:10.1007/s11033-011-1297-x</w:t>
      </w:r>
    </w:p>
    <w:p w14:paraId="2B75BEBB" w14:textId="50471211" w:rsidR="00555999" w:rsidRDefault="00824802" w:rsidP="00160B99">
      <w:pPr>
        <w:widowControl w:val="0"/>
        <w:autoSpaceDE w:val="0"/>
        <w:autoSpaceDN w:val="0"/>
        <w:adjustRightInd w:val="0"/>
        <w:spacing w:after="120"/>
        <w:ind w:left="640" w:hanging="640"/>
        <w:jc w:val="both"/>
        <w:rPr>
          <w:rFonts w:eastAsia="Times New Roman" w:cs="Times New Roman"/>
          <w:b/>
          <w:noProof/>
          <w:szCs w:val="24"/>
        </w:rPr>
      </w:pPr>
      <w:r w:rsidRPr="000D1988">
        <w:rPr>
          <w:rFonts w:eastAsia="Times New Roman" w:cs="Times New Roman"/>
          <w:b/>
          <w:noProof/>
          <w:szCs w:val="24"/>
        </w:rPr>
        <w:fldChar w:fldCharType="end"/>
      </w:r>
    </w:p>
    <w:sectPr w:rsidR="00555999" w:rsidSect="000D1988">
      <w:headerReference w:type="even" r:id="rId9"/>
      <w:headerReference w:type="default" r:id="rId10"/>
      <w:footerReference w:type="even" r:id="rId11"/>
      <w:footerReference w:type="default" r:id="rId12"/>
      <w:headerReference w:type="first" r:id="rId13"/>
      <w:pgSz w:w="12240" w:h="15840"/>
      <w:pgMar w:top="1138" w:right="1181" w:bottom="1138" w:left="1282" w:header="283"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2735D" w14:textId="77777777" w:rsidR="004C4AC7" w:rsidRDefault="004C4AC7" w:rsidP="00117666">
      <w:pPr>
        <w:spacing w:after="0"/>
      </w:pPr>
      <w:r>
        <w:separator/>
      </w:r>
    </w:p>
  </w:endnote>
  <w:endnote w:type="continuationSeparator" w:id="0">
    <w:p w14:paraId="4FE7F161" w14:textId="77777777" w:rsidR="004C4AC7" w:rsidRDefault="004C4AC7"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T Std">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5720B" w14:textId="4160C79D" w:rsidR="001E4BA5" w:rsidRPr="00577C4C" w:rsidRDefault="001E4BA5">
    <w:pPr>
      <w:pStyle w:val="Footer"/>
      <w:rPr>
        <w:color w:val="C00000"/>
        <w:szCs w:val="24"/>
      </w:rPr>
    </w:pPr>
    <w:r>
      <w:rPr>
        <w:noProof/>
      </w:rPr>
      <mc:AlternateContent>
        <mc:Choice Requires="wps">
          <w:drawing>
            <wp:anchor distT="0" distB="0" distL="114300" distR="114300" simplePos="0" relativeHeight="251665408" behindDoc="0" locked="0" layoutInCell="1" allowOverlap="1" wp14:anchorId="01A4DE4F" wp14:editId="528131D0">
              <wp:simplePos x="0" y="0"/>
              <wp:positionH relativeFrom="margin">
                <wp:align>right</wp:align>
              </wp:positionH>
              <wp:positionV relativeFrom="bottomMargin">
                <wp:align>top</wp:align>
              </wp:positionV>
              <wp:extent cx="1508760" cy="3346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34645"/>
                      </a:xfrm>
                      <a:prstGeom prst="rect">
                        <a:avLst/>
                      </a:prstGeom>
                      <a:noFill/>
                      <a:ln w="6350">
                        <a:noFill/>
                      </a:ln>
                      <a:effectLst/>
                    </wps:spPr>
                    <wps:txbx>
                      <w:txbxContent>
                        <w:p w14:paraId="1324BAC5" w14:textId="5A78F428" w:rsidR="001E4BA5" w:rsidRPr="00577C4C" w:rsidRDefault="001E4BA5">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60B99" w:rsidRPr="00160B99">
                            <w:rPr>
                              <w:noProof/>
                              <w:color w:val="000000" w:themeColor="text1"/>
                              <w:sz w:val="22"/>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1A4DE4F" id="_x0000_t202" coordsize="21600,21600" o:spt="202" path="m0,0l0,21600,21600,21600,21600,0xe">
              <v:stroke joinstyle="miter"/>
              <v:path gradientshapeok="t" o:connecttype="rect"/>
            </v:shapetype>
            <v:shape id="Text_x0020_Box_x0020_1" o:spid="_x0000_s1026" type="#_x0000_t202" style="position:absolute;margin-left:67.6pt;margin-top:0;width:118.8pt;height:26.3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" filled="f" stroked="f" strokeweight=".5pt">
              <v:path arrowok="t"/>
              <v:textbox style="mso-fit-shape-to-text:t">
                <w:txbxContent>
                  <w:p w14:paraId="1324BAC5" w14:textId="5A78F428" w:rsidR="00312819" w:rsidRPr="00577C4C" w:rsidRDefault="00312819">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F539E" w:rsidRPr="002F539E">
                      <w:rPr>
                        <w:noProof/>
                        <w:color w:val="000000" w:themeColor="text1"/>
                        <w:sz w:val="22"/>
                        <w:szCs w:val="40"/>
                      </w:rPr>
                      <w:t>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6708F" w14:textId="1C5E663D" w:rsidR="001E4BA5" w:rsidRPr="00577C4C" w:rsidRDefault="001E4BA5">
    <w:pPr>
      <w:pStyle w:val="Footer"/>
      <w:rPr>
        <w:b/>
        <w:sz w:val="20"/>
        <w:szCs w:val="24"/>
      </w:rPr>
    </w:pPr>
    <w:r>
      <w:rPr>
        <w:noProof/>
      </w:rPr>
      <mc:AlternateContent>
        <mc:Choice Requires="wps">
          <w:drawing>
            <wp:anchor distT="0" distB="0" distL="114300" distR="114300" simplePos="0" relativeHeight="251646976" behindDoc="0" locked="0" layoutInCell="1" allowOverlap="1" wp14:anchorId="2CF12816" wp14:editId="25828CC0">
              <wp:simplePos x="0" y="0"/>
              <wp:positionH relativeFrom="margin">
                <wp:align>right</wp:align>
              </wp:positionH>
              <wp:positionV relativeFrom="bottomMargin">
                <wp:align>top</wp:align>
              </wp:positionV>
              <wp:extent cx="1508760" cy="33464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34645"/>
                      </a:xfrm>
                      <a:prstGeom prst="rect">
                        <a:avLst/>
                      </a:prstGeom>
                      <a:noFill/>
                      <a:ln w="6350">
                        <a:noFill/>
                      </a:ln>
                      <a:effectLst/>
                    </wps:spPr>
                    <wps:txbx>
                      <w:txbxContent>
                        <w:p w14:paraId="29DDACD7" w14:textId="4098C94B" w:rsidR="001E4BA5" w:rsidRPr="00577C4C" w:rsidRDefault="001E4BA5">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60B99" w:rsidRPr="00160B99">
                            <w:rPr>
                              <w:noProof/>
                              <w:color w:val="000000" w:themeColor="text1"/>
                              <w:sz w:val="22"/>
                              <w:szCs w:val="40"/>
                            </w:rPr>
                            <w:t>7</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CF12816" id="_x0000_t202" coordsize="21600,21600" o:spt="202" path="m0,0l0,21600,21600,21600,21600,0xe">
              <v:stroke joinstyle="miter"/>
              <v:path gradientshapeok="t" o:connecttype="rect"/>
            </v:shapetype>
            <v:shape id="Text_x0020_Box_x0020_56" o:spid="_x0000_s1027" type="#_x0000_t202" style="position:absolute;margin-left:67.6pt;margin-top:0;width:118.8pt;height:26.3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" filled="f" stroked="f" strokeweight=".5pt">
              <v:path arrowok="t"/>
              <v:textbox style="mso-fit-shape-to-text:t">
                <w:txbxContent>
                  <w:p w14:paraId="29DDACD7" w14:textId="4098C94B" w:rsidR="00312819" w:rsidRPr="00577C4C" w:rsidRDefault="00312819">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F539E" w:rsidRPr="002F539E">
                      <w:rPr>
                        <w:noProof/>
                        <w:color w:val="000000" w:themeColor="text1"/>
                        <w:sz w:val="22"/>
                        <w:szCs w:val="40"/>
                      </w:rPr>
                      <w:t>7</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62ECB" w14:textId="77777777" w:rsidR="004C4AC7" w:rsidRDefault="004C4AC7" w:rsidP="00117666">
      <w:pPr>
        <w:spacing w:after="0"/>
      </w:pPr>
      <w:r>
        <w:separator/>
      </w:r>
    </w:p>
  </w:footnote>
  <w:footnote w:type="continuationSeparator" w:id="0">
    <w:p w14:paraId="50FF85B3" w14:textId="77777777" w:rsidR="004C4AC7" w:rsidRDefault="004C4AC7"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6631" w14:textId="01BC0C17" w:rsidR="001E4BA5" w:rsidRPr="00555999" w:rsidRDefault="001E4BA5" w:rsidP="00CA1447">
    <w:pPr>
      <w:pStyle w:val="Header"/>
      <w:tabs>
        <w:tab w:val="clear" w:pos="4844"/>
        <w:tab w:val="clear" w:pos="9689"/>
        <w:tab w:val="center" w:pos="0"/>
        <w:tab w:val="right" w:pos="9777"/>
      </w:tabs>
      <w:rPr>
        <w:color w:val="FF0000"/>
      </w:rPr>
    </w:pPr>
    <w:r w:rsidRPr="000D1988">
      <w:rPr>
        <w:color w:val="FF0000"/>
      </w:rPr>
      <w:ptab w:relativeTo="margin" w:alignment="center" w:leader="none"/>
    </w:r>
    <w:r w:rsidRPr="000D1988">
      <w:rPr>
        <w:color w:val="FF0000"/>
      </w:rPr>
      <w:t xml:space="preserve">                                                                                                         </w:t>
    </w:r>
    <w:r w:rsidRPr="000D1988">
      <w:t>NGS HLA applied to sarcoidosis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4CBD0" w14:textId="2110B8BE" w:rsidR="001E4BA5" w:rsidRPr="00691048" w:rsidRDefault="001E4BA5" w:rsidP="00CA1447">
    <w:pPr>
      <w:pStyle w:val="Header"/>
      <w:tabs>
        <w:tab w:val="clear" w:pos="4844"/>
        <w:tab w:val="clear" w:pos="9689"/>
        <w:tab w:val="center" w:pos="0"/>
        <w:tab w:val="right" w:pos="9777"/>
      </w:tabs>
      <w:rPr>
        <w:color w:val="FF0000"/>
      </w:rPr>
    </w:pPr>
    <w:r w:rsidRPr="000D1988">
      <w:rPr>
        <w:color w:val="FF0000"/>
      </w:rPr>
      <w:ptab w:relativeTo="margin" w:alignment="center" w:leader="none"/>
    </w:r>
    <w:r w:rsidRPr="000D1988">
      <w:rPr>
        <w:color w:val="FF0000"/>
      </w:rPr>
      <w:t xml:space="preserve">                                                                                                         </w:t>
    </w:r>
    <w:r w:rsidRPr="000D1988">
      <w:t>NGS HLA applied to sarcoidosis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001" w14:textId="77777777" w:rsidR="001E4BA5" w:rsidRDefault="001E4BA5" w:rsidP="00A53000">
    <w:pPr>
      <w:pStyle w:val="Header"/>
    </w:pPr>
    <w:r w:rsidRPr="005A1D84">
      <w:rPr>
        <w:noProof/>
        <w:color w:val="A6A6A6" w:themeColor="background1" w:themeShade="A6"/>
      </w:rPr>
      <w:drawing>
        <wp:inline distT="0" distB="0" distL="0" distR="0" wp14:anchorId="3A9B8DFD" wp14:editId="7CA2F883">
          <wp:extent cx="1382534" cy="497091"/>
          <wp:effectExtent l="0" t="0" r="0" b="0"/>
          <wp:docPr id="3" name="Picture 3"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7C517B"/>
    <w:multiLevelType w:val="hybridMultilevel"/>
    <w:tmpl w:val="681C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74B07"/>
    <w:multiLevelType w:val="hybridMultilevel"/>
    <w:tmpl w:val="439C4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6" w15:restartNumberingAfterBreak="0">
    <w:nsid w:val="211A1AAD"/>
    <w:multiLevelType w:val="hybridMultilevel"/>
    <w:tmpl w:val="4100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2A7CAC"/>
    <w:multiLevelType w:val="multilevel"/>
    <w:tmpl w:val="C6A8CCEA"/>
    <w:numStyleLink w:val="Headings"/>
  </w:abstractNum>
  <w:abstractNum w:abstractNumId="9" w15:restartNumberingAfterBreak="0">
    <w:nsid w:val="310704ED"/>
    <w:multiLevelType w:val="hybridMultilevel"/>
    <w:tmpl w:val="46B61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26AD0"/>
    <w:multiLevelType w:val="multilevel"/>
    <w:tmpl w:val="067C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E27686"/>
    <w:multiLevelType w:val="hybridMultilevel"/>
    <w:tmpl w:val="A2A0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C7737"/>
    <w:multiLevelType w:val="hybridMultilevel"/>
    <w:tmpl w:val="A0C8C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750DA"/>
    <w:multiLevelType w:val="hybridMultilevel"/>
    <w:tmpl w:val="00DA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87081"/>
    <w:multiLevelType w:val="hybridMultilevel"/>
    <w:tmpl w:val="C2D6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97B5A"/>
    <w:multiLevelType w:val="hybridMultilevel"/>
    <w:tmpl w:val="0E8C8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BB5026"/>
    <w:multiLevelType w:val="hybridMultilevel"/>
    <w:tmpl w:val="34B0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C6F29"/>
    <w:multiLevelType w:val="multilevel"/>
    <w:tmpl w:val="C6A8CCEA"/>
    <w:numStyleLink w:val="Headings"/>
  </w:abstractNum>
  <w:abstractNum w:abstractNumId="28"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8"/>
  </w:num>
  <w:num w:numId="3">
    <w:abstractNumId w:val="2"/>
  </w:num>
  <w:num w:numId="4">
    <w:abstractNumId w:val="2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num>
  <w:num w:numId="8">
    <w:abstractNumId w:val="10"/>
  </w:num>
  <w:num w:numId="9">
    <w:abstractNumId w:val="13"/>
  </w:num>
  <w:num w:numId="10">
    <w:abstractNumId w:val="11"/>
  </w:num>
  <w:num w:numId="11">
    <w:abstractNumId w:val="4"/>
  </w:num>
  <w:num w:numId="12">
    <w:abstractNumId w:val="28"/>
  </w:num>
  <w:num w:numId="13">
    <w:abstractNumId w:val="17"/>
  </w:num>
  <w:num w:numId="14">
    <w:abstractNumId w:val="7"/>
  </w:num>
  <w:num w:numId="15">
    <w:abstractNumId w:val="16"/>
  </w:num>
  <w:num w:numId="16">
    <w:abstractNumId w:val="21"/>
  </w:num>
  <w:num w:numId="17">
    <w:abstractNumId w:val="5"/>
    <w:lvlOverride w:ilvl="0">
      <w:lvl w:ilvl="0">
        <w:start w:val="1"/>
        <w:numFmt w:val="decimal"/>
        <w:pStyle w:val="Heading1"/>
        <w:lvlText w:val="%1."/>
        <w:lvlJc w:val="left"/>
        <w:pPr>
          <w:ind w:left="360" w:hanging="360"/>
        </w:pPr>
      </w:lvl>
    </w:lvlOverride>
    <w:lvlOverride w:ilvl="1">
      <w:lvl w:ilvl="1" w:tentative="1">
        <w:start w:val="1"/>
        <w:numFmt w:val="lowerLetter"/>
        <w:pStyle w:val="Heading2"/>
        <w:lvlText w:val="%2."/>
        <w:lvlJc w:val="left"/>
        <w:pPr>
          <w:ind w:left="1080" w:hanging="360"/>
        </w:pPr>
      </w:lvl>
    </w:lvlOverride>
    <w:lvlOverride w:ilvl="2">
      <w:lvl w:ilvl="2" w:tentative="1">
        <w:start w:val="1"/>
        <w:numFmt w:val="lowerRoman"/>
        <w:pStyle w:val="Heading3"/>
        <w:lvlText w:val="%3."/>
        <w:lvlJc w:val="right"/>
        <w:pPr>
          <w:ind w:left="1800" w:hanging="180"/>
        </w:pPr>
      </w:lvl>
    </w:lvlOverride>
    <w:lvlOverride w:ilvl="3">
      <w:lvl w:ilvl="3" w:tentative="1">
        <w:start w:val="1"/>
        <w:numFmt w:val="decimal"/>
        <w:pStyle w:val="Heading4"/>
        <w:lvlText w:val="%4."/>
        <w:lvlJc w:val="left"/>
        <w:pPr>
          <w:ind w:left="2520" w:hanging="360"/>
        </w:pPr>
      </w:lvl>
    </w:lvlOverride>
    <w:lvlOverride w:ilvl="4">
      <w:lvl w:ilvl="4" w:tentative="1">
        <w:start w:val="1"/>
        <w:numFmt w:val="lowerLetter"/>
        <w:pStyle w:val="Heading5"/>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7"/>
  </w:num>
  <w:num w:numId="21">
    <w:abstractNumId w:val="5"/>
  </w:num>
  <w:num w:numId="22">
    <w:abstractNumId w:val="5"/>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9"/>
  </w:num>
  <w:num w:numId="24">
    <w:abstractNumId w:val="26"/>
  </w:num>
  <w:num w:numId="25">
    <w:abstractNumId w:val="24"/>
  </w:num>
  <w:num w:numId="26">
    <w:abstractNumId w:val="1"/>
  </w:num>
  <w:num w:numId="27">
    <w:abstractNumId w:val="14"/>
  </w:num>
  <w:num w:numId="28">
    <w:abstractNumId w:val="3"/>
  </w:num>
  <w:num w:numId="29">
    <w:abstractNumId w:val="9"/>
  </w:num>
  <w:num w:numId="30">
    <w:abstractNumId w:val="20"/>
  </w:num>
  <w:num w:numId="31">
    <w:abstractNumId w:val="6"/>
  </w:num>
  <w:num w:numId="32">
    <w:abstractNumId w:val="25"/>
  </w:num>
  <w:num w:numId="33">
    <w:abstractNumId w:val="23"/>
  </w:num>
  <w:num w:numId="34">
    <w:abstractNumId w:val="5"/>
    <w:lvlOverride w:ilvl="0">
      <w:lvl w:ilvl="0">
        <w:start w:val="1"/>
        <w:numFmt w:val="decimal"/>
        <w:pStyle w:val="Heading1"/>
        <w:lvlText w:val="%1."/>
        <w:lvlJc w:val="left"/>
        <w:pPr>
          <w:ind w:left="360" w:hanging="360"/>
        </w:pPr>
        <w:rPr>
          <w:b/>
        </w:rPr>
      </w:lvl>
    </w:lvlOverride>
    <w:lvlOverride w:ilvl="1">
      <w:lvl w:ilvl="1" w:tentative="1">
        <w:start w:val="1"/>
        <w:numFmt w:val="lowerLetter"/>
        <w:pStyle w:val="Heading2"/>
        <w:lvlText w:val="%2."/>
        <w:lvlJc w:val="left"/>
        <w:pPr>
          <w:ind w:left="1080" w:hanging="360"/>
        </w:pPr>
      </w:lvl>
    </w:lvlOverride>
    <w:lvlOverride w:ilvl="2">
      <w:lvl w:ilvl="2" w:tentative="1">
        <w:start w:val="1"/>
        <w:numFmt w:val="lowerRoman"/>
        <w:pStyle w:val="Heading3"/>
        <w:lvlText w:val="%3."/>
        <w:lvlJc w:val="right"/>
        <w:pPr>
          <w:ind w:left="1800" w:hanging="180"/>
        </w:pPr>
      </w:lvl>
    </w:lvlOverride>
    <w:lvlOverride w:ilvl="3">
      <w:lvl w:ilvl="3" w:tentative="1">
        <w:start w:val="1"/>
        <w:numFmt w:val="decimal"/>
        <w:pStyle w:val="Heading4"/>
        <w:lvlText w:val="%4."/>
        <w:lvlJc w:val="left"/>
        <w:pPr>
          <w:ind w:left="2520" w:hanging="360"/>
        </w:pPr>
      </w:lvl>
    </w:lvlOverride>
    <w:lvlOverride w:ilvl="4">
      <w:lvl w:ilvl="4" w:tentative="1">
        <w:start w:val="1"/>
        <w:numFmt w:val="lowerLetter"/>
        <w:pStyle w:val="Heading5"/>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yMzc2M7Q0MzE2NDNQ0lEKTi0uzszPAykwNKkFADEldywtAAAA"/>
  </w:docVars>
  <w:rsids>
    <w:rsidRoot w:val="008C6A36"/>
    <w:rsid w:val="00001283"/>
    <w:rsid w:val="0000655F"/>
    <w:rsid w:val="000112FD"/>
    <w:rsid w:val="00012187"/>
    <w:rsid w:val="00013CB7"/>
    <w:rsid w:val="00025447"/>
    <w:rsid w:val="000303A8"/>
    <w:rsid w:val="0003043F"/>
    <w:rsid w:val="00032027"/>
    <w:rsid w:val="00034304"/>
    <w:rsid w:val="00035434"/>
    <w:rsid w:val="00045678"/>
    <w:rsid w:val="000458E4"/>
    <w:rsid w:val="00050BB6"/>
    <w:rsid w:val="00063D84"/>
    <w:rsid w:val="0006636D"/>
    <w:rsid w:val="00067C32"/>
    <w:rsid w:val="000701E3"/>
    <w:rsid w:val="00077D53"/>
    <w:rsid w:val="00080579"/>
    <w:rsid w:val="00081394"/>
    <w:rsid w:val="000859D8"/>
    <w:rsid w:val="0008678B"/>
    <w:rsid w:val="00086DD5"/>
    <w:rsid w:val="0008774B"/>
    <w:rsid w:val="00093699"/>
    <w:rsid w:val="0009793E"/>
    <w:rsid w:val="000A5D43"/>
    <w:rsid w:val="000A77C9"/>
    <w:rsid w:val="000B34BD"/>
    <w:rsid w:val="000B7EA4"/>
    <w:rsid w:val="000C672B"/>
    <w:rsid w:val="000C7E2A"/>
    <w:rsid w:val="000D1988"/>
    <w:rsid w:val="000E0894"/>
    <w:rsid w:val="000F19C6"/>
    <w:rsid w:val="000F249C"/>
    <w:rsid w:val="000F4CFB"/>
    <w:rsid w:val="000F55AE"/>
    <w:rsid w:val="00100E10"/>
    <w:rsid w:val="00106E0A"/>
    <w:rsid w:val="00107D48"/>
    <w:rsid w:val="00110C1C"/>
    <w:rsid w:val="001163C1"/>
    <w:rsid w:val="00117666"/>
    <w:rsid w:val="001223A7"/>
    <w:rsid w:val="0013045F"/>
    <w:rsid w:val="00131661"/>
    <w:rsid w:val="00131DBC"/>
    <w:rsid w:val="00134256"/>
    <w:rsid w:val="00147395"/>
    <w:rsid w:val="001552C9"/>
    <w:rsid w:val="00160B99"/>
    <w:rsid w:val="00177D84"/>
    <w:rsid w:val="0018232F"/>
    <w:rsid w:val="001823D2"/>
    <w:rsid w:val="00182D5E"/>
    <w:rsid w:val="00186307"/>
    <w:rsid w:val="00190ADE"/>
    <w:rsid w:val="001925AB"/>
    <w:rsid w:val="001964EF"/>
    <w:rsid w:val="00196DDA"/>
    <w:rsid w:val="001A3F01"/>
    <w:rsid w:val="001B0712"/>
    <w:rsid w:val="001B1A2C"/>
    <w:rsid w:val="001B3A9F"/>
    <w:rsid w:val="001B6BE3"/>
    <w:rsid w:val="001D1012"/>
    <w:rsid w:val="001D1897"/>
    <w:rsid w:val="001D42D7"/>
    <w:rsid w:val="001D5037"/>
    <w:rsid w:val="001D589C"/>
    <w:rsid w:val="001D5C23"/>
    <w:rsid w:val="001E4BA5"/>
    <w:rsid w:val="001F3090"/>
    <w:rsid w:val="001F4C07"/>
    <w:rsid w:val="001F57C2"/>
    <w:rsid w:val="001F74FE"/>
    <w:rsid w:val="00201844"/>
    <w:rsid w:val="00205441"/>
    <w:rsid w:val="00207029"/>
    <w:rsid w:val="00213D2B"/>
    <w:rsid w:val="002161B5"/>
    <w:rsid w:val="00220143"/>
    <w:rsid w:val="00220AEA"/>
    <w:rsid w:val="00225EB5"/>
    <w:rsid w:val="00226954"/>
    <w:rsid w:val="0024007F"/>
    <w:rsid w:val="0024452C"/>
    <w:rsid w:val="00247868"/>
    <w:rsid w:val="002532CA"/>
    <w:rsid w:val="00254358"/>
    <w:rsid w:val="00255877"/>
    <w:rsid w:val="002629A3"/>
    <w:rsid w:val="00265660"/>
    <w:rsid w:val="00267D18"/>
    <w:rsid w:val="002727D4"/>
    <w:rsid w:val="00281667"/>
    <w:rsid w:val="002868E2"/>
    <w:rsid w:val="002869C3"/>
    <w:rsid w:val="002936E4"/>
    <w:rsid w:val="00296B2A"/>
    <w:rsid w:val="00296B88"/>
    <w:rsid w:val="00297C74"/>
    <w:rsid w:val="002A660C"/>
    <w:rsid w:val="002A78FD"/>
    <w:rsid w:val="002B69DE"/>
    <w:rsid w:val="002C28B2"/>
    <w:rsid w:val="002C4ABC"/>
    <w:rsid w:val="002C5403"/>
    <w:rsid w:val="002C5B85"/>
    <w:rsid w:val="002C74CA"/>
    <w:rsid w:val="002D5897"/>
    <w:rsid w:val="002E29BD"/>
    <w:rsid w:val="002E4AFB"/>
    <w:rsid w:val="002E5B1B"/>
    <w:rsid w:val="002F539E"/>
    <w:rsid w:val="002F744D"/>
    <w:rsid w:val="00303DE6"/>
    <w:rsid w:val="003042FE"/>
    <w:rsid w:val="00310124"/>
    <w:rsid w:val="00312819"/>
    <w:rsid w:val="003161FC"/>
    <w:rsid w:val="00324983"/>
    <w:rsid w:val="003306B8"/>
    <w:rsid w:val="00330A41"/>
    <w:rsid w:val="003319FB"/>
    <w:rsid w:val="003328FA"/>
    <w:rsid w:val="0033329B"/>
    <w:rsid w:val="00336689"/>
    <w:rsid w:val="00337B4C"/>
    <w:rsid w:val="00340AB0"/>
    <w:rsid w:val="00351F1E"/>
    <w:rsid w:val="003544FB"/>
    <w:rsid w:val="003624D6"/>
    <w:rsid w:val="00365D63"/>
    <w:rsid w:val="00367739"/>
    <w:rsid w:val="0036793B"/>
    <w:rsid w:val="00372682"/>
    <w:rsid w:val="00373ABC"/>
    <w:rsid w:val="003758EE"/>
    <w:rsid w:val="00376CC5"/>
    <w:rsid w:val="0038038A"/>
    <w:rsid w:val="00384E76"/>
    <w:rsid w:val="00385EF2"/>
    <w:rsid w:val="0039693B"/>
    <w:rsid w:val="003B192F"/>
    <w:rsid w:val="003B4506"/>
    <w:rsid w:val="003C0A5A"/>
    <w:rsid w:val="003C0EF5"/>
    <w:rsid w:val="003D2F2D"/>
    <w:rsid w:val="003D3541"/>
    <w:rsid w:val="003D38D8"/>
    <w:rsid w:val="003D6F8F"/>
    <w:rsid w:val="003D7DC5"/>
    <w:rsid w:val="003E5D31"/>
    <w:rsid w:val="003F2A8A"/>
    <w:rsid w:val="003F588B"/>
    <w:rsid w:val="00401590"/>
    <w:rsid w:val="004015F7"/>
    <w:rsid w:val="00404FB9"/>
    <w:rsid w:val="004143A9"/>
    <w:rsid w:val="00414EDB"/>
    <w:rsid w:val="00417F13"/>
    <w:rsid w:val="00426B1A"/>
    <w:rsid w:val="00436D06"/>
    <w:rsid w:val="00451452"/>
    <w:rsid w:val="0046145B"/>
    <w:rsid w:val="004619DB"/>
    <w:rsid w:val="00462E11"/>
    <w:rsid w:val="00463E3D"/>
    <w:rsid w:val="004645AE"/>
    <w:rsid w:val="00474357"/>
    <w:rsid w:val="004756DE"/>
    <w:rsid w:val="004860D8"/>
    <w:rsid w:val="00486E01"/>
    <w:rsid w:val="0049085F"/>
    <w:rsid w:val="0049428F"/>
    <w:rsid w:val="00495760"/>
    <w:rsid w:val="0049610B"/>
    <w:rsid w:val="004A1961"/>
    <w:rsid w:val="004A2C25"/>
    <w:rsid w:val="004A7E87"/>
    <w:rsid w:val="004C37FC"/>
    <w:rsid w:val="004C3BD3"/>
    <w:rsid w:val="004C41F6"/>
    <w:rsid w:val="004C4AC7"/>
    <w:rsid w:val="004D1480"/>
    <w:rsid w:val="004D3E33"/>
    <w:rsid w:val="004F12ED"/>
    <w:rsid w:val="004F22AC"/>
    <w:rsid w:val="004F2FE4"/>
    <w:rsid w:val="004F552C"/>
    <w:rsid w:val="00500DD9"/>
    <w:rsid w:val="00506689"/>
    <w:rsid w:val="00524AA1"/>
    <w:rsid w:val="005250F2"/>
    <w:rsid w:val="00531BC9"/>
    <w:rsid w:val="005443EB"/>
    <w:rsid w:val="00546E7C"/>
    <w:rsid w:val="00547B6D"/>
    <w:rsid w:val="00550C3F"/>
    <w:rsid w:val="00551DD8"/>
    <w:rsid w:val="00555999"/>
    <w:rsid w:val="00557BBB"/>
    <w:rsid w:val="00560924"/>
    <w:rsid w:val="005613D4"/>
    <w:rsid w:val="005634BA"/>
    <w:rsid w:val="00566885"/>
    <w:rsid w:val="005738D3"/>
    <w:rsid w:val="00580FD3"/>
    <w:rsid w:val="005850B2"/>
    <w:rsid w:val="00594A60"/>
    <w:rsid w:val="005969E8"/>
    <w:rsid w:val="005A0B44"/>
    <w:rsid w:val="005A18FC"/>
    <w:rsid w:val="005A1D84"/>
    <w:rsid w:val="005A2718"/>
    <w:rsid w:val="005A3713"/>
    <w:rsid w:val="005A70EA"/>
    <w:rsid w:val="005B5D27"/>
    <w:rsid w:val="005B75F6"/>
    <w:rsid w:val="005B7894"/>
    <w:rsid w:val="005C3963"/>
    <w:rsid w:val="005D1840"/>
    <w:rsid w:val="005D35E4"/>
    <w:rsid w:val="005D7910"/>
    <w:rsid w:val="005E2A8B"/>
    <w:rsid w:val="00602276"/>
    <w:rsid w:val="0061152C"/>
    <w:rsid w:val="00613F66"/>
    <w:rsid w:val="00614636"/>
    <w:rsid w:val="006161EB"/>
    <w:rsid w:val="0061704A"/>
    <w:rsid w:val="0062154F"/>
    <w:rsid w:val="006232DF"/>
    <w:rsid w:val="00631A8C"/>
    <w:rsid w:val="006348B0"/>
    <w:rsid w:val="00635B19"/>
    <w:rsid w:val="00637C23"/>
    <w:rsid w:val="00640315"/>
    <w:rsid w:val="0064081E"/>
    <w:rsid w:val="00644870"/>
    <w:rsid w:val="00651CA2"/>
    <w:rsid w:val="00653C99"/>
    <w:rsid w:val="00653D60"/>
    <w:rsid w:val="00660D05"/>
    <w:rsid w:val="006671D0"/>
    <w:rsid w:val="00671D9A"/>
    <w:rsid w:val="00673952"/>
    <w:rsid w:val="00682D0B"/>
    <w:rsid w:val="00686C9D"/>
    <w:rsid w:val="00687B79"/>
    <w:rsid w:val="00691048"/>
    <w:rsid w:val="0069132A"/>
    <w:rsid w:val="00694790"/>
    <w:rsid w:val="006A018A"/>
    <w:rsid w:val="006A0945"/>
    <w:rsid w:val="006A2392"/>
    <w:rsid w:val="006B0A5C"/>
    <w:rsid w:val="006B0F00"/>
    <w:rsid w:val="006B2D5B"/>
    <w:rsid w:val="006B7AD9"/>
    <w:rsid w:val="006B7D01"/>
    <w:rsid w:val="006B7D14"/>
    <w:rsid w:val="006C5097"/>
    <w:rsid w:val="006D1D28"/>
    <w:rsid w:val="006D3E80"/>
    <w:rsid w:val="006D4C88"/>
    <w:rsid w:val="006D5B93"/>
    <w:rsid w:val="006D619D"/>
    <w:rsid w:val="006D7A26"/>
    <w:rsid w:val="006E2948"/>
    <w:rsid w:val="006F56DC"/>
    <w:rsid w:val="00715922"/>
    <w:rsid w:val="00717C85"/>
    <w:rsid w:val="00724ACD"/>
    <w:rsid w:val="00725A7D"/>
    <w:rsid w:val="0073085C"/>
    <w:rsid w:val="007332BB"/>
    <w:rsid w:val="007334F3"/>
    <w:rsid w:val="007348B7"/>
    <w:rsid w:val="00746505"/>
    <w:rsid w:val="00753276"/>
    <w:rsid w:val="00764A99"/>
    <w:rsid w:val="00765C13"/>
    <w:rsid w:val="007701E1"/>
    <w:rsid w:val="00776359"/>
    <w:rsid w:val="007848E4"/>
    <w:rsid w:val="00786616"/>
    <w:rsid w:val="00790BB3"/>
    <w:rsid w:val="00792043"/>
    <w:rsid w:val="00792E76"/>
    <w:rsid w:val="007945AF"/>
    <w:rsid w:val="00797EDD"/>
    <w:rsid w:val="007A197B"/>
    <w:rsid w:val="007A52F3"/>
    <w:rsid w:val="007B0322"/>
    <w:rsid w:val="007B5D7B"/>
    <w:rsid w:val="007B7EB8"/>
    <w:rsid w:val="007C0E3F"/>
    <w:rsid w:val="007C206C"/>
    <w:rsid w:val="007C5729"/>
    <w:rsid w:val="007D67F5"/>
    <w:rsid w:val="007D6931"/>
    <w:rsid w:val="007E0490"/>
    <w:rsid w:val="007E09A8"/>
    <w:rsid w:val="007E23B8"/>
    <w:rsid w:val="007E5A29"/>
    <w:rsid w:val="007E6CE1"/>
    <w:rsid w:val="007F0EE5"/>
    <w:rsid w:val="007F1AB7"/>
    <w:rsid w:val="007F3292"/>
    <w:rsid w:val="00806889"/>
    <w:rsid w:val="00807B04"/>
    <w:rsid w:val="008111E4"/>
    <w:rsid w:val="00812FBF"/>
    <w:rsid w:val="0081301C"/>
    <w:rsid w:val="008156FA"/>
    <w:rsid w:val="00817DD6"/>
    <w:rsid w:val="00822D3D"/>
    <w:rsid w:val="00824802"/>
    <w:rsid w:val="008350EE"/>
    <w:rsid w:val="0083547D"/>
    <w:rsid w:val="00835840"/>
    <w:rsid w:val="008369C4"/>
    <w:rsid w:val="00836D70"/>
    <w:rsid w:val="00842871"/>
    <w:rsid w:val="00850E7B"/>
    <w:rsid w:val="00850ECC"/>
    <w:rsid w:val="008520F2"/>
    <w:rsid w:val="008533B2"/>
    <w:rsid w:val="00854D4A"/>
    <w:rsid w:val="008629A9"/>
    <w:rsid w:val="008637A4"/>
    <w:rsid w:val="008645F0"/>
    <w:rsid w:val="00864AE9"/>
    <w:rsid w:val="00865F8A"/>
    <w:rsid w:val="008719BC"/>
    <w:rsid w:val="00872D91"/>
    <w:rsid w:val="0088105D"/>
    <w:rsid w:val="008838D2"/>
    <w:rsid w:val="0088513A"/>
    <w:rsid w:val="00885ED7"/>
    <w:rsid w:val="00890C5B"/>
    <w:rsid w:val="008922D1"/>
    <w:rsid w:val="00893C19"/>
    <w:rsid w:val="008A0217"/>
    <w:rsid w:val="008A20F5"/>
    <w:rsid w:val="008A3722"/>
    <w:rsid w:val="008B4C18"/>
    <w:rsid w:val="008C0414"/>
    <w:rsid w:val="008C632E"/>
    <w:rsid w:val="008C6A36"/>
    <w:rsid w:val="008C6B2B"/>
    <w:rsid w:val="008D09C6"/>
    <w:rsid w:val="008D294C"/>
    <w:rsid w:val="008D5ABE"/>
    <w:rsid w:val="008D6071"/>
    <w:rsid w:val="008D6842"/>
    <w:rsid w:val="008D6B43"/>
    <w:rsid w:val="008D6C8D"/>
    <w:rsid w:val="008E2B54"/>
    <w:rsid w:val="008E3AC6"/>
    <w:rsid w:val="008E4404"/>
    <w:rsid w:val="008E58C7"/>
    <w:rsid w:val="008F0461"/>
    <w:rsid w:val="008F2A3A"/>
    <w:rsid w:val="008F5021"/>
    <w:rsid w:val="008F53E4"/>
    <w:rsid w:val="008F59E9"/>
    <w:rsid w:val="008F5FCB"/>
    <w:rsid w:val="008F7126"/>
    <w:rsid w:val="009016D6"/>
    <w:rsid w:val="0090342F"/>
    <w:rsid w:val="0091137B"/>
    <w:rsid w:val="00913A39"/>
    <w:rsid w:val="009241A3"/>
    <w:rsid w:val="009305EF"/>
    <w:rsid w:val="00940D72"/>
    <w:rsid w:val="009424D8"/>
    <w:rsid w:val="00942B71"/>
    <w:rsid w:val="00943573"/>
    <w:rsid w:val="00946DFF"/>
    <w:rsid w:val="00961744"/>
    <w:rsid w:val="00967413"/>
    <w:rsid w:val="00970802"/>
    <w:rsid w:val="00971B61"/>
    <w:rsid w:val="00980C31"/>
    <w:rsid w:val="009826CB"/>
    <w:rsid w:val="00984694"/>
    <w:rsid w:val="00990F08"/>
    <w:rsid w:val="00994750"/>
    <w:rsid w:val="009955FF"/>
    <w:rsid w:val="00996803"/>
    <w:rsid w:val="0099775F"/>
    <w:rsid w:val="009A5B6B"/>
    <w:rsid w:val="009A715A"/>
    <w:rsid w:val="009B28E2"/>
    <w:rsid w:val="009B3908"/>
    <w:rsid w:val="009C095D"/>
    <w:rsid w:val="009C160A"/>
    <w:rsid w:val="009C3CD3"/>
    <w:rsid w:val="009C4AEA"/>
    <w:rsid w:val="009D067E"/>
    <w:rsid w:val="009D259D"/>
    <w:rsid w:val="009D5965"/>
    <w:rsid w:val="009E3C4D"/>
    <w:rsid w:val="009E40BD"/>
    <w:rsid w:val="009F007B"/>
    <w:rsid w:val="009F5A51"/>
    <w:rsid w:val="00A061B8"/>
    <w:rsid w:val="00A07CD5"/>
    <w:rsid w:val="00A1350A"/>
    <w:rsid w:val="00A1452B"/>
    <w:rsid w:val="00A21177"/>
    <w:rsid w:val="00A21364"/>
    <w:rsid w:val="00A32885"/>
    <w:rsid w:val="00A337A0"/>
    <w:rsid w:val="00A414E6"/>
    <w:rsid w:val="00A421BB"/>
    <w:rsid w:val="00A47954"/>
    <w:rsid w:val="00A47F53"/>
    <w:rsid w:val="00A50D9D"/>
    <w:rsid w:val="00A52C47"/>
    <w:rsid w:val="00A53000"/>
    <w:rsid w:val="00A545C6"/>
    <w:rsid w:val="00A64B57"/>
    <w:rsid w:val="00A75F87"/>
    <w:rsid w:val="00A95CCE"/>
    <w:rsid w:val="00A95D8B"/>
    <w:rsid w:val="00AA12B9"/>
    <w:rsid w:val="00AA12E7"/>
    <w:rsid w:val="00AA22CC"/>
    <w:rsid w:val="00AA40D4"/>
    <w:rsid w:val="00AC0270"/>
    <w:rsid w:val="00AC3EA3"/>
    <w:rsid w:val="00AC792D"/>
    <w:rsid w:val="00AD09C7"/>
    <w:rsid w:val="00AD2D13"/>
    <w:rsid w:val="00AE1512"/>
    <w:rsid w:val="00AE178D"/>
    <w:rsid w:val="00AF34F7"/>
    <w:rsid w:val="00B007E5"/>
    <w:rsid w:val="00B02EA7"/>
    <w:rsid w:val="00B03177"/>
    <w:rsid w:val="00B05FEC"/>
    <w:rsid w:val="00B06835"/>
    <w:rsid w:val="00B070D3"/>
    <w:rsid w:val="00B173DB"/>
    <w:rsid w:val="00B25B8C"/>
    <w:rsid w:val="00B26624"/>
    <w:rsid w:val="00B43699"/>
    <w:rsid w:val="00B43B64"/>
    <w:rsid w:val="00B45BB3"/>
    <w:rsid w:val="00B54BBE"/>
    <w:rsid w:val="00B602D1"/>
    <w:rsid w:val="00B6211E"/>
    <w:rsid w:val="00B62698"/>
    <w:rsid w:val="00B64B47"/>
    <w:rsid w:val="00B654BB"/>
    <w:rsid w:val="00B657B8"/>
    <w:rsid w:val="00B712ED"/>
    <w:rsid w:val="00B74C9B"/>
    <w:rsid w:val="00B759CE"/>
    <w:rsid w:val="00B84920"/>
    <w:rsid w:val="00B84F3E"/>
    <w:rsid w:val="00B8556A"/>
    <w:rsid w:val="00B921DE"/>
    <w:rsid w:val="00B926B0"/>
    <w:rsid w:val="00B95AB4"/>
    <w:rsid w:val="00BA4A73"/>
    <w:rsid w:val="00BB4E27"/>
    <w:rsid w:val="00BC482E"/>
    <w:rsid w:val="00BC7063"/>
    <w:rsid w:val="00BD288A"/>
    <w:rsid w:val="00BD388F"/>
    <w:rsid w:val="00BE7446"/>
    <w:rsid w:val="00BF3A98"/>
    <w:rsid w:val="00C012A3"/>
    <w:rsid w:val="00C16F19"/>
    <w:rsid w:val="00C2211D"/>
    <w:rsid w:val="00C23347"/>
    <w:rsid w:val="00C360AF"/>
    <w:rsid w:val="00C43133"/>
    <w:rsid w:val="00C52A7B"/>
    <w:rsid w:val="00C559FD"/>
    <w:rsid w:val="00C57A03"/>
    <w:rsid w:val="00C612D1"/>
    <w:rsid w:val="00C6324C"/>
    <w:rsid w:val="00C679AA"/>
    <w:rsid w:val="00C724CF"/>
    <w:rsid w:val="00C75972"/>
    <w:rsid w:val="00C75C7D"/>
    <w:rsid w:val="00C82792"/>
    <w:rsid w:val="00C857DC"/>
    <w:rsid w:val="00C933A3"/>
    <w:rsid w:val="00C948FD"/>
    <w:rsid w:val="00C95984"/>
    <w:rsid w:val="00C96451"/>
    <w:rsid w:val="00CA1447"/>
    <w:rsid w:val="00CA3C0A"/>
    <w:rsid w:val="00CA3D28"/>
    <w:rsid w:val="00CB1836"/>
    <w:rsid w:val="00CB43D5"/>
    <w:rsid w:val="00CB487D"/>
    <w:rsid w:val="00CC2621"/>
    <w:rsid w:val="00CC32E3"/>
    <w:rsid w:val="00CC3C9E"/>
    <w:rsid w:val="00CC568E"/>
    <w:rsid w:val="00CC6C50"/>
    <w:rsid w:val="00CC76F9"/>
    <w:rsid w:val="00CD066B"/>
    <w:rsid w:val="00CD2A48"/>
    <w:rsid w:val="00CD3EEE"/>
    <w:rsid w:val="00CD4482"/>
    <w:rsid w:val="00CD46E2"/>
    <w:rsid w:val="00CD6B2E"/>
    <w:rsid w:val="00CD75C8"/>
    <w:rsid w:val="00CD7FEE"/>
    <w:rsid w:val="00CE6193"/>
    <w:rsid w:val="00CF07FE"/>
    <w:rsid w:val="00CF3413"/>
    <w:rsid w:val="00D0028C"/>
    <w:rsid w:val="00D00D0B"/>
    <w:rsid w:val="00D04B69"/>
    <w:rsid w:val="00D21BDB"/>
    <w:rsid w:val="00D231AC"/>
    <w:rsid w:val="00D3480B"/>
    <w:rsid w:val="00D40081"/>
    <w:rsid w:val="00D443DA"/>
    <w:rsid w:val="00D44CA9"/>
    <w:rsid w:val="00D45424"/>
    <w:rsid w:val="00D521F7"/>
    <w:rsid w:val="00D52962"/>
    <w:rsid w:val="00D537FA"/>
    <w:rsid w:val="00D61BB3"/>
    <w:rsid w:val="00D623BC"/>
    <w:rsid w:val="00D73983"/>
    <w:rsid w:val="00D76EAD"/>
    <w:rsid w:val="00D80D99"/>
    <w:rsid w:val="00D843C5"/>
    <w:rsid w:val="00D8680C"/>
    <w:rsid w:val="00D9416A"/>
    <w:rsid w:val="00D946AA"/>
    <w:rsid w:val="00D9503C"/>
    <w:rsid w:val="00DA328E"/>
    <w:rsid w:val="00DB0D34"/>
    <w:rsid w:val="00DB23CB"/>
    <w:rsid w:val="00DB34BB"/>
    <w:rsid w:val="00DB63A5"/>
    <w:rsid w:val="00DB7C36"/>
    <w:rsid w:val="00DC14F9"/>
    <w:rsid w:val="00DC2BE9"/>
    <w:rsid w:val="00DC76B2"/>
    <w:rsid w:val="00DD73EF"/>
    <w:rsid w:val="00DE09CD"/>
    <w:rsid w:val="00DE1173"/>
    <w:rsid w:val="00DE23E8"/>
    <w:rsid w:val="00DE4B31"/>
    <w:rsid w:val="00DE51E8"/>
    <w:rsid w:val="00DE7C2B"/>
    <w:rsid w:val="00DF408D"/>
    <w:rsid w:val="00DF7B1A"/>
    <w:rsid w:val="00E0128B"/>
    <w:rsid w:val="00E02954"/>
    <w:rsid w:val="00E10166"/>
    <w:rsid w:val="00E15087"/>
    <w:rsid w:val="00E150B6"/>
    <w:rsid w:val="00E21C78"/>
    <w:rsid w:val="00E2303D"/>
    <w:rsid w:val="00E2466E"/>
    <w:rsid w:val="00E3253C"/>
    <w:rsid w:val="00E32598"/>
    <w:rsid w:val="00E41DED"/>
    <w:rsid w:val="00E42CFB"/>
    <w:rsid w:val="00E4322D"/>
    <w:rsid w:val="00E43569"/>
    <w:rsid w:val="00E51F7A"/>
    <w:rsid w:val="00E55ED5"/>
    <w:rsid w:val="00E55FA2"/>
    <w:rsid w:val="00E63942"/>
    <w:rsid w:val="00E64E17"/>
    <w:rsid w:val="00E67CEF"/>
    <w:rsid w:val="00E67DFA"/>
    <w:rsid w:val="00E74375"/>
    <w:rsid w:val="00E8045A"/>
    <w:rsid w:val="00E93557"/>
    <w:rsid w:val="00E9777D"/>
    <w:rsid w:val="00E97CEA"/>
    <w:rsid w:val="00EA3D3C"/>
    <w:rsid w:val="00EB6656"/>
    <w:rsid w:val="00EC0815"/>
    <w:rsid w:val="00EC1401"/>
    <w:rsid w:val="00EC16BA"/>
    <w:rsid w:val="00EC7CC3"/>
    <w:rsid w:val="00ED19C8"/>
    <w:rsid w:val="00EE12F8"/>
    <w:rsid w:val="00EE3B44"/>
    <w:rsid w:val="00EF037E"/>
    <w:rsid w:val="00EF04D2"/>
    <w:rsid w:val="00EF4012"/>
    <w:rsid w:val="00F04163"/>
    <w:rsid w:val="00F05B94"/>
    <w:rsid w:val="00F14DBA"/>
    <w:rsid w:val="00F23AAC"/>
    <w:rsid w:val="00F243BF"/>
    <w:rsid w:val="00F27B7F"/>
    <w:rsid w:val="00F30DD1"/>
    <w:rsid w:val="00F30E25"/>
    <w:rsid w:val="00F31D8C"/>
    <w:rsid w:val="00F374F6"/>
    <w:rsid w:val="00F46494"/>
    <w:rsid w:val="00F53E3C"/>
    <w:rsid w:val="00F558AB"/>
    <w:rsid w:val="00F568EB"/>
    <w:rsid w:val="00F61D89"/>
    <w:rsid w:val="00F67CC2"/>
    <w:rsid w:val="00F72FC4"/>
    <w:rsid w:val="00F85247"/>
    <w:rsid w:val="00F85D60"/>
    <w:rsid w:val="00F86ABB"/>
    <w:rsid w:val="00F90567"/>
    <w:rsid w:val="00F91740"/>
    <w:rsid w:val="00F9182F"/>
    <w:rsid w:val="00F95F77"/>
    <w:rsid w:val="00F96B1B"/>
    <w:rsid w:val="00FB0503"/>
    <w:rsid w:val="00FC3C12"/>
    <w:rsid w:val="00FC3FF5"/>
    <w:rsid w:val="00FC416C"/>
    <w:rsid w:val="00FD7648"/>
    <w:rsid w:val="00FE5C52"/>
    <w:rsid w:val="00FF1110"/>
    <w:rsid w:val="00FF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3DB83"/>
  <w15:docId w15:val="{CED7A9DF-E08B-4BCA-9C73-809F26EE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tabs>
        <w:tab w:val="num" w:pos="567"/>
      </w:tabs>
      <w:spacing w:before="240"/>
      <w:ind w:left="567" w:hanging="567"/>
      <w:contextualSpacing w:val="0"/>
      <w:outlineLvl w:val="0"/>
    </w:pPr>
    <w:rPr>
      <w:b/>
    </w:rPr>
  </w:style>
  <w:style w:type="paragraph" w:styleId="Heading2">
    <w:name w:val="heading 2"/>
    <w:basedOn w:val="Heading1"/>
    <w:next w:val="Normal"/>
    <w:link w:val="Heading2Char"/>
    <w:uiPriority w:val="2"/>
    <w:qFormat/>
    <w:rsid w:val="00D80D99"/>
    <w:pPr>
      <w:numPr>
        <w:ilvl w:val="1"/>
      </w:numPr>
      <w:tabs>
        <w:tab w:val="num" w:pos="567"/>
      </w:tabs>
      <w:spacing w:after="200"/>
      <w:ind w:left="567" w:hanging="567"/>
      <w:outlineLvl w:val="1"/>
    </w:pPr>
  </w:style>
  <w:style w:type="paragraph" w:styleId="Heading3">
    <w:name w:val="heading 3"/>
    <w:basedOn w:val="Normal"/>
    <w:next w:val="Normal"/>
    <w:link w:val="Heading3Char"/>
    <w:uiPriority w:val="2"/>
    <w:qFormat/>
    <w:rsid w:val="00D80D99"/>
    <w:pPr>
      <w:keepNext/>
      <w:keepLines/>
      <w:numPr>
        <w:ilvl w:val="2"/>
        <w:numId w:val="17"/>
      </w:numPr>
      <w:tabs>
        <w:tab w:val="num" w:pos="567"/>
      </w:tabs>
      <w:spacing w:before="40" w:after="120"/>
      <w:ind w:left="567" w:hanging="567"/>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tabs>
        <w:tab w:val="num" w:pos="567"/>
      </w:tabs>
      <w:ind w:left="567" w:hanging="567"/>
      <w:outlineLvl w:val="3"/>
    </w:pPr>
    <w:rPr>
      <w:iCs/>
    </w:rPr>
  </w:style>
  <w:style w:type="paragraph" w:styleId="Heading5">
    <w:name w:val="heading 5"/>
    <w:basedOn w:val="Heading4"/>
    <w:next w:val="Normal"/>
    <w:link w:val="Heading5Char"/>
    <w:uiPriority w:val="2"/>
    <w:qFormat/>
    <w:rsid w:val="00D80D99"/>
    <w:pPr>
      <w:numPr>
        <w:ilvl w:val="4"/>
      </w:numPr>
      <w:tabs>
        <w:tab w:val="num" w:pos="567"/>
      </w:tabs>
      <w:ind w:left="567" w:hanging="567"/>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9"/>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3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genesymbol">
    <w:name w:val="genesymbol"/>
    <w:basedOn w:val="DefaultParagraphFont"/>
    <w:rsid w:val="008C6A36"/>
  </w:style>
  <w:style w:type="character" w:customStyle="1" w:styleId="st">
    <w:name w:val="st"/>
    <w:basedOn w:val="DefaultParagraphFont"/>
    <w:rsid w:val="008C6A36"/>
  </w:style>
  <w:style w:type="character" w:customStyle="1" w:styleId="cit">
    <w:name w:val="cit"/>
    <w:basedOn w:val="DefaultParagraphFont"/>
    <w:rsid w:val="008C6A36"/>
  </w:style>
  <w:style w:type="character" w:customStyle="1" w:styleId="y0nh2b">
    <w:name w:val="y0nh2b"/>
    <w:basedOn w:val="DefaultParagraphFont"/>
    <w:rsid w:val="008C6A36"/>
  </w:style>
  <w:style w:type="character" w:customStyle="1" w:styleId="hlfld-contribauthor">
    <w:name w:val="hlfld-contribauthor"/>
    <w:basedOn w:val="DefaultParagraphFont"/>
    <w:rsid w:val="008C6A36"/>
  </w:style>
  <w:style w:type="character" w:customStyle="1" w:styleId="seperator">
    <w:name w:val="seperator"/>
    <w:basedOn w:val="DefaultParagraphFont"/>
    <w:rsid w:val="008C6A36"/>
  </w:style>
  <w:style w:type="character" w:customStyle="1" w:styleId="seriestitle">
    <w:name w:val="seriestitle"/>
    <w:basedOn w:val="DefaultParagraphFont"/>
    <w:rsid w:val="008C6A36"/>
  </w:style>
  <w:style w:type="character" w:customStyle="1" w:styleId="volume">
    <w:name w:val="volume"/>
    <w:basedOn w:val="DefaultParagraphFont"/>
    <w:rsid w:val="008C6A36"/>
  </w:style>
  <w:style w:type="character" w:customStyle="1" w:styleId="issue">
    <w:name w:val="issue"/>
    <w:basedOn w:val="DefaultParagraphFont"/>
    <w:rsid w:val="008C6A36"/>
  </w:style>
  <w:style w:type="character" w:customStyle="1" w:styleId="page-range">
    <w:name w:val="page-range"/>
    <w:basedOn w:val="DefaultParagraphFont"/>
    <w:rsid w:val="008C6A36"/>
  </w:style>
  <w:style w:type="character" w:customStyle="1" w:styleId="pub-year">
    <w:name w:val="pub-year"/>
    <w:basedOn w:val="DefaultParagraphFont"/>
    <w:rsid w:val="008C6A36"/>
  </w:style>
  <w:style w:type="character" w:customStyle="1" w:styleId="highlight">
    <w:name w:val="highlight"/>
    <w:basedOn w:val="DefaultParagraphFont"/>
    <w:rsid w:val="008C6A36"/>
  </w:style>
  <w:style w:type="character" w:customStyle="1" w:styleId="cwdgrey1">
    <w:name w:val="cwd_grey_1"/>
    <w:basedOn w:val="DefaultParagraphFont"/>
    <w:rsid w:val="008C6A36"/>
  </w:style>
  <w:style w:type="paragraph" w:customStyle="1" w:styleId="Default">
    <w:name w:val="Default"/>
    <w:rsid w:val="008C6A36"/>
    <w:pPr>
      <w:autoSpaceDE w:val="0"/>
      <w:autoSpaceDN w:val="0"/>
      <w:adjustRightInd w:val="0"/>
      <w:spacing w:after="0" w:line="240" w:lineRule="auto"/>
    </w:pPr>
    <w:rPr>
      <w:rFonts w:ascii="Times New Roman MT Std" w:hAnsi="Times New Roman MT Std" w:cs="Times New Roman MT Std"/>
      <w:color w:val="000000"/>
      <w:sz w:val="24"/>
      <w:szCs w:val="24"/>
    </w:rPr>
  </w:style>
  <w:style w:type="paragraph" w:styleId="DocumentMap">
    <w:name w:val="Document Map"/>
    <w:basedOn w:val="Normal"/>
    <w:link w:val="DocumentMapChar"/>
    <w:uiPriority w:val="99"/>
    <w:semiHidden/>
    <w:unhideWhenUsed/>
    <w:rsid w:val="00546E7C"/>
    <w:pPr>
      <w:spacing w:before="0" w:after="0"/>
    </w:pPr>
    <w:rPr>
      <w:rFonts w:cs="Times New Roman"/>
      <w:szCs w:val="24"/>
    </w:rPr>
  </w:style>
  <w:style w:type="character" w:customStyle="1" w:styleId="DocumentMapChar">
    <w:name w:val="Document Map Char"/>
    <w:basedOn w:val="DefaultParagraphFont"/>
    <w:link w:val="DocumentMap"/>
    <w:uiPriority w:val="99"/>
    <w:semiHidden/>
    <w:rsid w:val="00546E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504">
      <w:bodyDiv w:val="1"/>
      <w:marLeft w:val="0"/>
      <w:marRight w:val="0"/>
      <w:marTop w:val="0"/>
      <w:marBottom w:val="0"/>
      <w:divBdr>
        <w:top w:val="none" w:sz="0" w:space="0" w:color="auto"/>
        <w:left w:val="none" w:sz="0" w:space="0" w:color="auto"/>
        <w:bottom w:val="none" w:sz="0" w:space="0" w:color="auto"/>
        <w:right w:val="none" w:sz="0" w:space="0" w:color="auto"/>
      </w:divBdr>
    </w:div>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57290116">
      <w:bodyDiv w:val="1"/>
      <w:marLeft w:val="0"/>
      <w:marRight w:val="0"/>
      <w:marTop w:val="0"/>
      <w:marBottom w:val="0"/>
      <w:divBdr>
        <w:top w:val="none" w:sz="0" w:space="0" w:color="auto"/>
        <w:left w:val="none" w:sz="0" w:space="0" w:color="auto"/>
        <w:bottom w:val="none" w:sz="0" w:space="0" w:color="auto"/>
        <w:right w:val="none" w:sz="0" w:space="0" w:color="auto"/>
      </w:divBdr>
    </w:div>
    <w:div w:id="74791742">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228614615">
      <w:bodyDiv w:val="1"/>
      <w:marLeft w:val="0"/>
      <w:marRight w:val="0"/>
      <w:marTop w:val="0"/>
      <w:marBottom w:val="0"/>
      <w:divBdr>
        <w:top w:val="none" w:sz="0" w:space="0" w:color="auto"/>
        <w:left w:val="none" w:sz="0" w:space="0" w:color="auto"/>
        <w:bottom w:val="none" w:sz="0" w:space="0" w:color="auto"/>
        <w:right w:val="none" w:sz="0" w:space="0" w:color="auto"/>
      </w:divBdr>
      <w:divsChild>
        <w:div w:id="980385541">
          <w:marLeft w:val="0"/>
          <w:marRight w:val="0"/>
          <w:marTop w:val="0"/>
          <w:marBottom w:val="0"/>
          <w:divBdr>
            <w:top w:val="none" w:sz="0" w:space="0" w:color="auto"/>
            <w:left w:val="none" w:sz="0" w:space="0" w:color="auto"/>
            <w:bottom w:val="none" w:sz="0" w:space="0" w:color="auto"/>
            <w:right w:val="none" w:sz="0" w:space="0" w:color="auto"/>
          </w:divBdr>
        </w:div>
        <w:div w:id="345137590">
          <w:marLeft w:val="0"/>
          <w:marRight w:val="0"/>
          <w:marTop w:val="0"/>
          <w:marBottom w:val="0"/>
          <w:divBdr>
            <w:top w:val="none" w:sz="0" w:space="0" w:color="auto"/>
            <w:left w:val="none" w:sz="0" w:space="0" w:color="auto"/>
            <w:bottom w:val="none" w:sz="0" w:space="0" w:color="auto"/>
            <w:right w:val="none" w:sz="0" w:space="0" w:color="auto"/>
          </w:divBdr>
        </w:div>
        <w:div w:id="821701894">
          <w:marLeft w:val="0"/>
          <w:marRight w:val="0"/>
          <w:marTop w:val="0"/>
          <w:marBottom w:val="0"/>
          <w:divBdr>
            <w:top w:val="none" w:sz="0" w:space="0" w:color="auto"/>
            <w:left w:val="none" w:sz="0" w:space="0" w:color="auto"/>
            <w:bottom w:val="none" w:sz="0" w:space="0" w:color="auto"/>
            <w:right w:val="none" w:sz="0" w:space="0" w:color="auto"/>
          </w:divBdr>
        </w:div>
        <w:div w:id="1275016314">
          <w:marLeft w:val="0"/>
          <w:marRight w:val="0"/>
          <w:marTop w:val="0"/>
          <w:marBottom w:val="0"/>
          <w:divBdr>
            <w:top w:val="none" w:sz="0" w:space="0" w:color="auto"/>
            <w:left w:val="none" w:sz="0" w:space="0" w:color="auto"/>
            <w:bottom w:val="none" w:sz="0" w:space="0" w:color="auto"/>
            <w:right w:val="none" w:sz="0" w:space="0" w:color="auto"/>
          </w:divBdr>
        </w:div>
        <w:div w:id="1136022360">
          <w:marLeft w:val="0"/>
          <w:marRight w:val="0"/>
          <w:marTop w:val="0"/>
          <w:marBottom w:val="0"/>
          <w:divBdr>
            <w:top w:val="none" w:sz="0" w:space="0" w:color="auto"/>
            <w:left w:val="none" w:sz="0" w:space="0" w:color="auto"/>
            <w:bottom w:val="none" w:sz="0" w:space="0" w:color="auto"/>
            <w:right w:val="none" w:sz="0" w:space="0" w:color="auto"/>
          </w:divBdr>
        </w:div>
        <w:div w:id="1766654920">
          <w:marLeft w:val="0"/>
          <w:marRight w:val="0"/>
          <w:marTop w:val="0"/>
          <w:marBottom w:val="0"/>
          <w:divBdr>
            <w:top w:val="none" w:sz="0" w:space="0" w:color="auto"/>
            <w:left w:val="none" w:sz="0" w:space="0" w:color="auto"/>
            <w:bottom w:val="none" w:sz="0" w:space="0" w:color="auto"/>
            <w:right w:val="none" w:sz="0" w:space="0" w:color="auto"/>
          </w:divBdr>
        </w:div>
        <w:div w:id="273052034">
          <w:marLeft w:val="0"/>
          <w:marRight w:val="0"/>
          <w:marTop w:val="0"/>
          <w:marBottom w:val="0"/>
          <w:divBdr>
            <w:top w:val="none" w:sz="0" w:space="0" w:color="auto"/>
            <w:left w:val="none" w:sz="0" w:space="0" w:color="auto"/>
            <w:bottom w:val="none" w:sz="0" w:space="0" w:color="auto"/>
            <w:right w:val="none" w:sz="0" w:space="0" w:color="auto"/>
          </w:divBdr>
        </w:div>
        <w:div w:id="1005009504">
          <w:marLeft w:val="0"/>
          <w:marRight w:val="0"/>
          <w:marTop w:val="0"/>
          <w:marBottom w:val="0"/>
          <w:divBdr>
            <w:top w:val="none" w:sz="0" w:space="0" w:color="auto"/>
            <w:left w:val="none" w:sz="0" w:space="0" w:color="auto"/>
            <w:bottom w:val="none" w:sz="0" w:space="0" w:color="auto"/>
            <w:right w:val="none" w:sz="0" w:space="0" w:color="auto"/>
          </w:divBdr>
        </w:div>
        <w:div w:id="2083403364">
          <w:marLeft w:val="0"/>
          <w:marRight w:val="0"/>
          <w:marTop w:val="0"/>
          <w:marBottom w:val="0"/>
          <w:divBdr>
            <w:top w:val="none" w:sz="0" w:space="0" w:color="auto"/>
            <w:left w:val="none" w:sz="0" w:space="0" w:color="auto"/>
            <w:bottom w:val="none" w:sz="0" w:space="0" w:color="auto"/>
            <w:right w:val="none" w:sz="0" w:space="0" w:color="auto"/>
          </w:divBdr>
        </w:div>
        <w:div w:id="719399382">
          <w:marLeft w:val="0"/>
          <w:marRight w:val="0"/>
          <w:marTop w:val="0"/>
          <w:marBottom w:val="0"/>
          <w:divBdr>
            <w:top w:val="none" w:sz="0" w:space="0" w:color="auto"/>
            <w:left w:val="none" w:sz="0" w:space="0" w:color="auto"/>
            <w:bottom w:val="none" w:sz="0" w:space="0" w:color="auto"/>
            <w:right w:val="none" w:sz="0" w:space="0" w:color="auto"/>
          </w:divBdr>
        </w:div>
      </w:divsChild>
    </w:div>
    <w:div w:id="250630099">
      <w:bodyDiv w:val="1"/>
      <w:marLeft w:val="0"/>
      <w:marRight w:val="0"/>
      <w:marTop w:val="0"/>
      <w:marBottom w:val="0"/>
      <w:divBdr>
        <w:top w:val="none" w:sz="0" w:space="0" w:color="auto"/>
        <w:left w:val="none" w:sz="0" w:space="0" w:color="auto"/>
        <w:bottom w:val="none" w:sz="0" w:space="0" w:color="auto"/>
        <w:right w:val="none" w:sz="0" w:space="0" w:color="auto"/>
      </w:divBdr>
    </w:div>
    <w:div w:id="272901963">
      <w:bodyDiv w:val="1"/>
      <w:marLeft w:val="0"/>
      <w:marRight w:val="0"/>
      <w:marTop w:val="0"/>
      <w:marBottom w:val="0"/>
      <w:divBdr>
        <w:top w:val="none" w:sz="0" w:space="0" w:color="auto"/>
        <w:left w:val="none" w:sz="0" w:space="0" w:color="auto"/>
        <w:bottom w:val="none" w:sz="0" w:space="0" w:color="auto"/>
        <w:right w:val="none" w:sz="0" w:space="0" w:color="auto"/>
      </w:divBdr>
    </w:div>
    <w:div w:id="312758054">
      <w:bodyDiv w:val="1"/>
      <w:marLeft w:val="0"/>
      <w:marRight w:val="0"/>
      <w:marTop w:val="0"/>
      <w:marBottom w:val="0"/>
      <w:divBdr>
        <w:top w:val="none" w:sz="0" w:space="0" w:color="auto"/>
        <w:left w:val="none" w:sz="0" w:space="0" w:color="auto"/>
        <w:bottom w:val="none" w:sz="0" w:space="0" w:color="auto"/>
        <w:right w:val="none" w:sz="0" w:space="0" w:color="auto"/>
      </w:divBdr>
      <w:divsChild>
        <w:div w:id="773867732">
          <w:marLeft w:val="0"/>
          <w:marRight w:val="0"/>
          <w:marTop w:val="0"/>
          <w:marBottom w:val="0"/>
          <w:divBdr>
            <w:top w:val="none" w:sz="0" w:space="0" w:color="auto"/>
            <w:left w:val="none" w:sz="0" w:space="0" w:color="auto"/>
            <w:bottom w:val="none" w:sz="0" w:space="0" w:color="auto"/>
            <w:right w:val="none" w:sz="0" w:space="0" w:color="auto"/>
          </w:divBdr>
          <w:divsChild>
            <w:div w:id="1536310580">
              <w:marLeft w:val="0"/>
              <w:marRight w:val="0"/>
              <w:marTop w:val="0"/>
              <w:marBottom w:val="0"/>
              <w:divBdr>
                <w:top w:val="none" w:sz="0" w:space="0" w:color="auto"/>
                <w:left w:val="none" w:sz="0" w:space="0" w:color="auto"/>
                <w:bottom w:val="none" w:sz="0" w:space="0" w:color="auto"/>
                <w:right w:val="none" w:sz="0" w:space="0" w:color="auto"/>
              </w:divBdr>
            </w:div>
            <w:div w:id="2097363530">
              <w:marLeft w:val="0"/>
              <w:marRight w:val="0"/>
              <w:marTop w:val="0"/>
              <w:marBottom w:val="0"/>
              <w:divBdr>
                <w:top w:val="none" w:sz="0" w:space="0" w:color="auto"/>
                <w:left w:val="none" w:sz="0" w:space="0" w:color="auto"/>
                <w:bottom w:val="none" w:sz="0" w:space="0" w:color="auto"/>
                <w:right w:val="none" w:sz="0" w:space="0" w:color="auto"/>
              </w:divBdr>
            </w:div>
            <w:div w:id="12428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384986701">
      <w:bodyDiv w:val="1"/>
      <w:marLeft w:val="0"/>
      <w:marRight w:val="0"/>
      <w:marTop w:val="0"/>
      <w:marBottom w:val="0"/>
      <w:divBdr>
        <w:top w:val="none" w:sz="0" w:space="0" w:color="auto"/>
        <w:left w:val="none" w:sz="0" w:space="0" w:color="auto"/>
        <w:bottom w:val="none" w:sz="0" w:space="0" w:color="auto"/>
        <w:right w:val="none" w:sz="0" w:space="0" w:color="auto"/>
      </w:divBdr>
    </w:div>
    <w:div w:id="432676906">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48034228">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587924152">
      <w:bodyDiv w:val="1"/>
      <w:marLeft w:val="0"/>
      <w:marRight w:val="0"/>
      <w:marTop w:val="0"/>
      <w:marBottom w:val="0"/>
      <w:divBdr>
        <w:top w:val="none" w:sz="0" w:space="0" w:color="auto"/>
        <w:left w:val="none" w:sz="0" w:space="0" w:color="auto"/>
        <w:bottom w:val="none" w:sz="0" w:space="0" w:color="auto"/>
        <w:right w:val="none" w:sz="0" w:space="0" w:color="auto"/>
      </w:divBdr>
    </w:div>
    <w:div w:id="619381278">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726536383">
      <w:bodyDiv w:val="1"/>
      <w:marLeft w:val="0"/>
      <w:marRight w:val="0"/>
      <w:marTop w:val="0"/>
      <w:marBottom w:val="0"/>
      <w:divBdr>
        <w:top w:val="none" w:sz="0" w:space="0" w:color="auto"/>
        <w:left w:val="none" w:sz="0" w:space="0" w:color="auto"/>
        <w:bottom w:val="none" w:sz="0" w:space="0" w:color="auto"/>
        <w:right w:val="none" w:sz="0" w:space="0" w:color="auto"/>
      </w:divBdr>
    </w:div>
    <w:div w:id="874079667">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999113203">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101417324">
      <w:bodyDiv w:val="1"/>
      <w:marLeft w:val="0"/>
      <w:marRight w:val="0"/>
      <w:marTop w:val="0"/>
      <w:marBottom w:val="0"/>
      <w:divBdr>
        <w:top w:val="none" w:sz="0" w:space="0" w:color="auto"/>
        <w:left w:val="none" w:sz="0" w:space="0" w:color="auto"/>
        <w:bottom w:val="none" w:sz="0" w:space="0" w:color="auto"/>
        <w:right w:val="none" w:sz="0" w:space="0" w:color="auto"/>
      </w:divBdr>
    </w:div>
    <w:div w:id="1186288087">
      <w:bodyDiv w:val="1"/>
      <w:marLeft w:val="0"/>
      <w:marRight w:val="0"/>
      <w:marTop w:val="0"/>
      <w:marBottom w:val="0"/>
      <w:divBdr>
        <w:top w:val="none" w:sz="0" w:space="0" w:color="auto"/>
        <w:left w:val="none" w:sz="0" w:space="0" w:color="auto"/>
        <w:bottom w:val="none" w:sz="0" w:space="0" w:color="auto"/>
        <w:right w:val="none" w:sz="0" w:space="0" w:color="auto"/>
      </w:divBdr>
    </w:div>
    <w:div w:id="1352144712">
      <w:bodyDiv w:val="1"/>
      <w:marLeft w:val="0"/>
      <w:marRight w:val="0"/>
      <w:marTop w:val="0"/>
      <w:marBottom w:val="0"/>
      <w:divBdr>
        <w:top w:val="none" w:sz="0" w:space="0" w:color="auto"/>
        <w:left w:val="none" w:sz="0" w:space="0" w:color="auto"/>
        <w:bottom w:val="none" w:sz="0" w:space="0" w:color="auto"/>
        <w:right w:val="none" w:sz="0" w:space="0" w:color="auto"/>
      </w:divBdr>
    </w:div>
    <w:div w:id="1360081173">
      <w:bodyDiv w:val="1"/>
      <w:marLeft w:val="0"/>
      <w:marRight w:val="0"/>
      <w:marTop w:val="0"/>
      <w:marBottom w:val="0"/>
      <w:divBdr>
        <w:top w:val="none" w:sz="0" w:space="0" w:color="auto"/>
        <w:left w:val="none" w:sz="0" w:space="0" w:color="auto"/>
        <w:bottom w:val="none" w:sz="0" w:space="0" w:color="auto"/>
        <w:right w:val="none" w:sz="0" w:space="0" w:color="auto"/>
      </w:divBdr>
    </w:div>
    <w:div w:id="1405759902">
      <w:bodyDiv w:val="1"/>
      <w:marLeft w:val="0"/>
      <w:marRight w:val="0"/>
      <w:marTop w:val="0"/>
      <w:marBottom w:val="0"/>
      <w:divBdr>
        <w:top w:val="none" w:sz="0" w:space="0" w:color="auto"/>
        <w:left w:val="none" w:sz="0" w:space="0" w:color="auto"/>
        <w:bottom w:val="none" w:sz="0" w:space="0" w:color="auto"/>
        <w:right w:val="none" w:sz="0" w:space="0" w:color="auto"/>
      </w:divBdr>
    </w:div>
    <w:div w:id="1490756096">
      <w:bodyDiv w:val="1"/>
      <w:marLeft w:val="0"/>
      <w:marRight w:val="0"/>
      <w:marTop w:val="0"/>
      <w:marBottom w:val="0"/>
      <w:divBdr>
        <w:top w:val="none" w:sz="0" w:space="0" w:color="auto"/>
        <w:left w:val="none" w:sz="0" w:space="0" w:color="auto"/>
        <w:bottom w:val="none" w:sz="0" w:space="0" w:color="auto"/>
        <w:right w:val="none" w:sz="0" w:space="0" w:color="auto"/>
      </w:divBdr>
    </w:div>
    <w:div w:id="1611813315">
      <w:bodyDiv w:val="1"/>
      <w:marLeft w:val="0"/>
      <w:marRight w:val="0"/>
      <w:marTop w:val="0"/>
      <w:marBottom w:val="0"/>
      <w:divBdr>
        <w:top w:val="none" w:sz="0" w:space="0" w:color="auto"/>
        <w:left w:val="none" w:sz="0" w:space="0" w:color="auto"/>
        <w:bottom w:val="none" w:sz="0" w:space="0" w:color="auto"/>
        <w:right w:val="none" w:sz="0" w:space="0" w:color="auto"/>
      </w:divBdr>
      <w:divsChild>
        <w:div w:id="808980634">
          <w:marLeft w:val="0"/>
          <w:marRight w:val="0"/>
          <w:marTop w:val="0"/>
          <w:marBottom w:val="0"/>
          <w:divBdr>
            <w:top w:val="none" w:sz="0" w:space="0" w:color="auto"/>
            <w:left w:val="none" w:sz="0" w:space="0" w:color="auto"/>
            <w:bottom w:val="none" w:sz="0" w:space="0" w:color="auto"/>
            <w:right w:val="none" w:sz="0" w:space="0" w:color="auto"/>
          </w:divBdr>
          <w:divsChild>
            <w:div w:id="501244360">
              <w:marLeft w:val="0"/>
              <w:marRight w:val="0"/>
              <w:marTop w:val="0"/>
              <w:marBottom w:val="0"/>
              <w:divBdr>
                <w:top w:val="none" w:sz="0" w:space="0" w:color="auto"/>
                <w:left w:val="none" w:sz="0" w:space="0" w:color="auto"/>
                <w:bottom w:val="none" w:sz="0" w:space="0" w:color="auto"/>
                <w:right w:val="none" w:sz="0" w:space="0" w:color="auto"/>
              </w:divBdr>
            </w:div>
            <w:div w:id="1262951612">
              <w:marLeft w:val="0"/>
              <w:marRight w:val="0"/>
              <w:marTop w:val="0"/>
              <w:marBottom w:val="0"/>
              <w:divBdr>
                <w:top w:val="none" w:sz="0" w:space="0" w:color="auto"/>
                <w:left w:val="none" w:sz="0" w:space="0" w:color="auto"/>
                <w:bottom w:val="none" w:sz="0" w:space="0" w:color="auto"/>
                <w:right w:val="none" w:sz="0" w:space="0" w:color="auto"/>
              </w:divBdr>
            </w:div>
            <w:div w:id="20037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4248">
      <w:bodyDiv w:val="1"/>
      <w:marLeft w:val="0"/>
      <w:marRight w:val="0"/>
      <w:marTop w:val="0"/>
      <w:marBottom w:val="0"/>
      <w:divBdr>
        <w:top w:val="none" w:sz="0" w:space="0" w:color="auto"/>
        <w:left w:val="none" w:sz="0" w:space="0" w:color="auto"/>
        <w:bottom w:val="none" w:sz="0" w:space="0" w:color="auto"/>
        <w:right w:val="none" w:sz="0" w:space="0" w:color="auto"/>
      </w:divBdr>
    </w:div>
    <w:div w:id="1753043110">
      <w:bodyDiv w:val="1"/>
      <w:marLeft w:val="0"/>
      <w:marRight w:val="0"/>
      <w:marTop w:val="0"/>
      <w:marBottom w:val="0"/>
      <w:divBdr>
        <w:top w:val="none" w:sz="0" w:space="0" w:color="auto"/>
        <w:left w:val="none" w:sz="0" w:space="0" w:color="auto"/>
        <w:bottom w:val="none" w:sz="0" w:space="0" w:color="auto"/>
        <w:right w:val="none" w:sz="0" w:space="0" w:color="auto"/>
      </w:divBdr>
    </w:div>
    <w:div w:id="1764762043">
      <w:bodyDiv w:val="1"/>
      <w:marLeft w:val="0"/>
      <w:marRight w:val="0"/>
      <w:marTop w:val="0"/>
      <w:marBottom w:val="0"/>
      <w:divBdr>
        <w:top w:val="none" w:sz="0" w:space="0" w:color="auto"/>
        <w:left w:val="none" w:sz="0" w:space="0" w:color="auto"/>
        <w:bottom w:val="none" w:sz="0" w:space="0" w:color="auto"/>
        <w:right w:val="none" w:sz="0" w:space="0" w:color="auto"/>
      </w:divBdr>
    </w:div>
    <w:div w:id="1975865741">
      <w:bodyDiv w:val="1"/>
      <w:marLeft w:val="0"/>
      <w:marRight w:val="0"/>
      <w:marTop w:val="0"/>
      <w:marBottom w:val="0"/>
      <w:divBdr>
        <w:top w:val="none" w:sz="0" w:space="0" w:color="auto"/>
        <w:left w:val="none" w:sz="0" w:space="0" w:color="auto"/>
        <w:bottom w:val="none" w:sz="0" w:space="0" w:color="auto"/>
        <w:right w:val="none" w:sz="0" w:space="0" w:color="auto"/>
      </w:divBdr>
    </w:div>
    <w:div w:id="2087412001">
      <w:bodyDiv w:val="1"/>
      <w:marLeft w:val="0"/>
      <w:marRight w:val="0"/>
      <w:marTop w:val="0"/>
      <w:marBottom w:val="0"/>
      <w:divBdr>
        <w:top w:val="none" w:sz="0" w:space="0" w:color="auto"/>
        <w:left w:val="none" w:sz="0" w:space="0" w:color="auto"/>
        <w:bottom w:val="none" w:sz="0" w:space="0" w:color="auto"/>
        <w:right w:val="none" w:sz="0" w:space="0" w:color="auto"/>
      </w:divBdr>
    </w:div>
    <w:div w:id="2095861729">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petrek@fnol.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64ECEB5-077B-4835-94B3-AA763F6B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37735</Words>
  <Characters>215091</Characters>
  <Application>Microsoft Office Word</Application>
  <DocSecurity>0</DocSecurity>
  <Lines>1792</Lines>
  <Paragraphs>504</Paragraphs>
  <ScaleCrop>false</ScaleCrop>
  <HeadingPairs>
    <vt:vector size="2" baseType="variant">
      <vt:variant>
        <vt:lpstr>Title</vt:lpstr>
      </vt:variant>
      <vt:variant>
        <vt:i4>1</vt:i4>
      </vt:variant>
    </vt:vector>
  </HeadingPairs>
  <TitlesOfParts>
    <vt:vector size="1" baseType="lpstr">
      <vt:lpstr/>
    </vt:vector>
  </TitlesOfParts>
  <Company>UPOL</Company>
  <LinksUpToDate>false</LinksUpToDate>
  <CharactersWithSpaces>252322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Kishore Amit</dc:creator>
  <cp:lastModifiedBy>Sidra Amiri</cp:lastModifiedBy>
  <cp:revision>2</cp:revision>
  <cp:lastPrinted>2013-10-03T12:51:00Z</cp:lastPrinted>
  <dcterms:created xsi:type="dcterms:W3CDTF">2018-10-17T09:30:00Z</dcterms:created>
  <dcterms:modified xsi:type="dcterms:W3CDTF">2018-10-17T09:30:00Z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http://www.zotero.org/styles/bmc-genomics</vt:lpwstr>
  </property>
  <property fmtid="{D5CDD505-2E9C-101B-9397-08002B2CF9AE}" pid="5" name="Mendeley Recent Style Name 1_1">
    <vt:lpwstr>BMC Genomics</vt:lpwstr>
  </property>
  <property fmtid="{D5CDD505-2E9C-101B-9397-08002B2CF9AE}" pid="6" name="Mendeley Recent Style Id 2_1">
    <vt:lpwstr>http://www.zotero.org/styles/chest</vt:lpwstr>
  </property>
  <property fmtid="{D5CDD505-2E9C-101B-9397-08002B2CF9AE}" pid="7" name="Mendeley Recent Style Name 2_1">
    <vt:lpwstr>Chest</vt:lpwstr>
  </property>
  <property fmtid="{D5CDD505-2E9C-101B-9397-08002B2CF9AE}" pid="8" name="Mendeley Recent Style Id 3_1">
    <vt:lpwstr>http://www.zotero.org/styles/frontiers-in-genetics</vt:lpwstr>
  </property>
  <property fmtid="{D5CDD505-2E9C-101B-9397-08002B2CF9AE}" pid="9" name="Mendeley Recent Style Name 3_1">
    <vt:lpwstr>Frontiers in Genetics</vt:lpwstr>
  </property>
  <property fmtid="{D5CDD505-2E9C-101B-9397-08002B2CF9AE}" pid="10" name="Mendeley Recent Style Id 4_1">
    <vt:lpwstr>http://www.zotero.org/styles/frontiers-in-immunology</vt:lpwstr>
  </property>
  <property fmtid="{D5CDD505-2E9C-101B-9397-08002B2CF9AE}" pid="11" name="Mendeley Recent Style Name 4_1">
    <vt:lpwstr>Frontiers in Immunology</vt:lpwstr>
  </property>
  <property fmtid="{D5CDD505-2E9C-101B-9397-08002B2CF9AE}" pid="12" name="Mendeley Recent Style Id 5_1">
    <vt:lpwstr>http://www.zotero.org/styles/human-genetics</vt:lpwstr>
  </property>
  <property fmtid="{D5CDD505-2E9C-101B-9397-08002B2CF9AE}" pid="13" name="Mendeley Recent Style Name 5_1">
    <vt:lpwstr>Human Genetics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http://csl.mendeley.com/styles/456017911/respirology</vt:lpwstr>
  </property>
  <property fmtid="{D5CDD505-2E9C-101B-9397-08002B2CF9AE}" pid="21" name="Mendeley Recent Style Name 9_1">
    <vt:lpwstr>Respirology</vt:lpwstr>
  </property>
  <property fmtid="{D5CDD505-2E9C-101B-9397-08002B2CF9AE}" pid="22" name="Mendeley Citation Style_1">
    <vt:lpwstr>http://www.zotero.org/styles/frontiers-in-immunology</vt:lpwstr>
  </property>
  <property fmtid="{D5CDD505-2E9C-101B-9397-08002B2CF9AE}" pid="23" name="Mendeley Document_1">
    <vt:lpwstr>True</vt:lpwstr>
  </property>
  <property fmtid="{D5CDD505-2E9C-101B-9397-08002B2CF9AE}" pid="24" name="Mendeley Unique User Id_1">
    <vt:lpwstr>55cb9fe4-2378-3b0f-ad31-60a7e3ca87a9</vt:lpwstr>
  </property>
</Properties>
</file>