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0C37FC" w14:textId="77777777" w:rsidR="00364CCF" w:rsidRPr="001549D3" w:rsidRDefault="00364CCF" w:rsidP="00364CCF">
      <w:pPr>
        <w:pStyle w:val="SupplementaryMaterial"/>
        <w:rPr>
          <w:b w:val="0"/>
        </w:rPr>
      </w:pPr>
      <w:r w:rsidRPr="001549D3">
        <w:t>Supplementary Material</w:t>
      </w:r>
    </w:p>
    <w:p w14:paraId="43CC97DD" w14:textId="77777777" w:rsidR="005337A7" w:rsidRPr="00376CC5" w:rsidRDefault="005337A7" w:rsidP="005337A7">
      <w:pPr>
        <w:pStyle w:val="Title"/>
      </w:pPr>
      <w:r>
        <w:t>Four NSCL/P loci associated with normal craniofacial morphology.</w:t>
      </w:r>
    </w:p>
    <w:p w14:paraId="1AEAC08B" w14:textId="77777777" w:rsidR="006C3B7A" w:rsidRPr="00376CC5" w:rsidRDefault="006C3B7A" w:rsidP="006C3B7A">
      <w:pPr>
        <w:pStyle w:val="AuthorList"/>
      </w:pPr>
      <w:r>
        <w:t>Karlijne Indencleef</w:t>
      </w:r>
      <w:r w:rsidRPr="00A545C6">
        <w:rPr>
          <w:vertAlign w:val="superscript"/>
        </w:rPr>
        <w:t>1</w:t>
      </w:r>
      <w:r>
        <w:rPr>
          <w:vertAlign w:val="superscript"/>
        </w:rPr>
        <w:t>,</w:t>
      </w:r>
      <w:proofErr w:type="gramStart"/>
      <w:r>
        <w:rPr>
          <w:vertAlign w:val="superscript"/>
        </w:rPr>
        <w:t>2,*</w:t>
      </w:r>
      <w:proofErr w:type="gramEnd"/>
      <w:r w:rsidRPr="00376CC5">
        <w:t xml:space="preserve">, </w:t>
      </w:r>
      <w:proofErr w:type="spellStart"/>
      <w:r>
        <w:t>Jasmien</w:t>
      </w:r>
      <w:proofErr w:type="spellEnd"/>
      <w:r>
        <w:t xml:space="preserve"> Roosenboom</w:t>
      </w:r>
      <w:r w:rsidRPr="00A545C6">
        <w:rPr>
          <w:vertAlign w:val="superscript"/>
        </w:rPr>
        <w:t>2</w:t>
      </w:r>
      <w:r w:rsidRPr="00376CC5">
        <w:t>,</w:t>
      </w:r>
      <w:r>
        <w:t xml:space="preserve"> Hanne Hoskens</w:t>
      </w:r>
      <w:r>
        <w:rPr>
          <w:vertAlign w:val="superscript"/>
        </w:rPr>
        <w:t>2,4</w:t>
      </w:r>
      <w:r>
        <w:t>, Julie D. White</w:t>
      </w:r>
      <w:r>
        <w:rPr>
          <w:vertAlign w:val="superscript"/>
        </w:rPr>
        <w:t>5</w:t>
      </w:r>
      <w:r>
        <w:t>, Mark D. Shriver</w:t>
      </w:r>
      <w:r>
        <w:rPr>
          <w:vertAlign w:val="superscript"/>
        </w:rPr>
        <w:t>5</w:t>
      </w:r>
      <w:r>
        <w:t>, Stephen Richmond</w:t>
      </w:r>
      <w:r>
        <w:rPr>
          <w:vertAlign w:val="superscript"/>
        </w:rPr>
        <w:t>6</w:t>
      </w:r>
      <w:r>
        <w:t>, Hilde Peeters</w:t>
      </w:r>
      <w:r>
        <w:rPr>
          <w:vertAlign w:val="superscript"/>
        </w:rPr>
        <w:t>4</w:t>
      </w:r>
      <w:r>
        <w:t>, Mary L. Marazita</w:t>
      </w:r>
      <w:r>
        <w:rPr>
          <w:vertAlign w:val="superscript"/>
        </w:rPr>
        <w:t>3</w:t>
      </w:r>
      <w:r>
        <w:t>, Seth M. Weinberg</w:t>
      </w:r>
      <w:r>
        <w:rPr>
          <w:vertAlign w:val="superscript"/>
        </w:rPr>
        <w:t>3</w:t>
      </w:r>
      <w:r>
        <w:t>, Greet Hens</w:t>
      </w:r>
      <w:r>
        <w:rPr>
          <w:vertAlign w:val="superscript"/>
        </w:rPr>
        <w:t>7</w:t>
      </w:r>
      <w:r>
        <w:t>, Peter Claes</w:t>
      </w:r>
      <w:r w:rsidRPr="00A545C6">
        <w:rPr>
          <w:vertAlign w:val="superscript"/>
        </w:rPr>
        <w:t>1</w:t>
      </w:r>
      <w:r>
        <w:rPr>
          <w:vertAlign w:val="superscript"/>
        </w:rPr>
        <w:t>,2,*</w:t>
      </w:r>
    </w:p>
    <w:p w14:paraId="3AE9645F" w14:textId="77777777" w:rsidR="00364CCF" w:rsidRPr="00994A3D" w:rsidRDefault="00364CCF" w:rsidP="00364CCF">
      <w:pPr>
        <w:spacing w:before="240"/>
      </w:pPr>
      <w:r w:rsidRPr="00994A3D">
        <w:rPr>
          <w:b/>
        </w:rPr>
        <w:t xml:space="preserve">* Correspondence: </w:t>
      </w:r>
      <w:hyperlink r:id="rId7" w:history="1">
        <w:r w:rsidR="006C3B7A" w:rsidRPr="00195E29">
          <w:rPr>
            <w:rStyle w:val="Hyperlink"/>
          </w:rPr>
          <w:t>karlijne.indencleef@kuleuven.be</w:t>
        </w:r>
      </w:hyperlink>
      <w:r w:rsidR="006C3B7A">
        <w:t>, peter.claes@kuleuven.be</w:t>
      </w:r>
    </w:p>
    <w:p w14:paraId="26BC5C1E" w14:textId="6C7275BB" w:rsidR="00364CCF" w:rsidRPr="001549D3" w:rsidRDefault="00364CCF" w:rsidP="001B07C1">
      <w:pPr>
        <w:pStyle w:val="Heading1"/>
        <w:numPr>
          <w:ilvl w:val="0"/>
          <w:numId w:val="3"/>
        </w:numPr>
      </w:pPr>
      <w:r w:rsidRPr="00994A3D">
        <w:t xml:space="preserve">Supplementary Figures </w:t>
      </w:r>
    </w:p>
    <w:p w14:paraId="2326A8F1" w14:textId="77777777" w:rsidR="00364CCF" w:rsidRPr="001549D3" w:rsidRDefault="00D133EA" w:rsidP="00364CCF">
      <w:pPr>
        <w:keepNext/>
        <w:jc w:val="center"/>
      </w:pPr>
      <w:r>
        <w:rPr>
          <w:noProof/>
        </w:rPr>
        <w:drawing>
          <wp:inline distT="0" distB="0" distL="0" distR="0" wp14:anchorId="3E3319A1" wp14:editId="496B0968">
            <wp:extent cx="6208395" cy="3744595"/>
            <wp:effectExtent l="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6-15 at 11.28.22.png"/>
                    <pic:cNvPicPr/>
                  </pic:nvPicPr>
                  <pic:blipFill>
                    <a:blip r:embed="rId8">
                      <a:extLst>
                        <a:ext uri="{28A0092B-C50C-407E-A947-70E740481C1C}">
                          <a14:useLocalDpi xmlns:a14="http://schemas.microsoft.com/office/drawing/2010/main" val="0"/>
                        </a:ext>
                      </a:extLst>
                    </a:blip>
                    <a:stretch>
                      <a:fillRect/>
                    </a:stretch>
                  </pic:blipFill>
                  <pic:spPr>
                    <a:xfrm>
                      <a:off x="0" y="0"/>
                      <a:ext cx="6208395" cy="3744595"/>
                    </a:xfrm>
                    <a:prstGeom prst="rect">
                      <a:avLst/>
                    </a:prstGeom>
                  </pic:spPr>
                </pic:pic>
              </a:graphicData>
            </a:graphic>
          </wp:inline>
        </w:drawing>
      </w:r>
    </w:p>
    <w:p w14:paraId="1D2BE850" w14:textId="77777777" w:rsidR="001738C2" w:rsidRDefault="001738C2" w:rsidP="001738C2">
      <w:pPr>
        <w:keepNext/>
      </w:pPr>
    </w:p>
    <w:p w14:paraId="387C18D5" w14:textId="0DD2E07A" w:rsidR="003A5353" w:rsidRDefault="001738C2" w:rsidP="001738C2">
      <w:pPr>
        <w:pStyle w:val="Caption"/>
        <w:rPr>
          <w:b/>
          <w:i w:val="0"/>
          <w:color w:val="000000" w:themeColor="text1"/>
        </w:rPr>
      </w:pPr>
      <w:r w:rsidRPr="00145CE8">
        <w:rPr>
          <w:b/>
          <w:i w:val="0"/>
          <w:color w:val="000000" w:themeColor="text1"/>
        </w:rPr>
        <w:t xml:space="preserve">Supplementary Figure </w:t>
      </w:r>
      <w:r w:rsidRPr="00145CE8">
        <w:rPr>
          <w:b/>
          <w:i w:val="0"/>
          <w:color w:val="000000" w:themeColor="text1"/>
        </w:rPr>
        <w:fldChar w:fldCharType="begin"/>
      </w:r>
      <w:r w:rsidRPr="00145CE8">
        <w:rPr>
          <w:b/>
          <w:i w:val="0"/>
          <w:color w:val="000000" w:themeColor="text1"/>
        </w:rPr>
        <w:instrText xml:space="preserve"> SEQ Figure \* ARABIC </w:instrText>
      </w:r>
      <w:r w:rsidRPr="00145CE8">
        <w:rPr>
          <w:b/>
          <w:i w:val="0"/>
          <w:color w:val="000000" w:themeColor="text1"/>
        </w:rPr>
        <w:fldChar w:fldCharType="separate"/>
      </w:r>
      <w:r w:rsidRPr="00145CE8">
        <w:rPr>
          <w:b/>
          <w:i w:val="0"/>
          <w:noProof/>
          <w:color w:val="000000" w:themeColor="text1"/>
        </w:rPr>
        <w:t>1</w:t>
      </w:r>
      <w:r w:rsidRPr="00145CE8">
        <w:rPr>
          <w:b/>
          <w:i w:val="0"/>
          <w:color w:val="000000" w:themeColor="text1"/>
        </w:rPr>
        <w:fldChar w:fldCharType="end"/>
      </w:r>
      <w:r w:rsidRPr="00145CE8">
        <w:rPr>
          <w:b/>
          <w:i w:val="0"/>
          <w:color w:val="000000" w:themeColor="text1"/>
        </w:rPr>
        <w:t xml:space="preserve">: </w:t>
      </w:r>
      <w:r w:rsidR="00145CE8" w:rsidRPr="00145CE8">
        <w:rPr>
          <w:b/>
          <w:i w:val="0"/>
          <w:color w:val="000000" w:themeColor="text1"/>
        </w:rPr>
        <w:t xml:space="preserve">Meta-analysis results. </w:t>
      </w:r>
      <w:r w:rsidR="001E7C5E">
        <w:rPr>
          <w:b/>
          <w:i w:val="0"/>
          <w:color w:val="000000" w:themeColor="text1"/>
        </w:rPr>
        <w:t>The segments are e</w:t>
      </w:r>
      <w:r w:rsidR="00145CE8" w:rsidRPr="00145CE8">
        <w:rPr>
          <w:b/>
          <w:i w:val="0"/>
          <w:color w:val="000000" w:themeColor="text1"/>
        </w:rPr>
        <w:t xml:space="preserve">ncircled when significant (p-value &lt; </w:t>
      </w:r>
      <w:r w:rsidR="0092136A">
        <w:rPr>
          <w:b/>
          <w:i w:val="0"/>
          <w:color w:val="000000" w:themeColor="text1"/>
        </w:rPr>
        <w:t>8.04</w:t>
      </w:r>
      <w:r w:rsidR="00145CE8" w:rsidRPr="00145CE8">
        <w:rPr>
          <w:b/>
          <w:i w:val="0"/>
          <w:color w:val="000000" w:themeColor="text1"/>
        </w:rPr>
        <w:t>x10</w:t>
      </w:r>
      <w:r w:rsidR="00145CE8" w:rsidRPr="00145CE8">
        <w:rPr>
          <w:rStyle w:val="None"/>
          <w:b/>
          <w:i w:val="0"/>
          <w:color w:val="000000" w:themeColor="text1"/>
          <w:vertAlign w:val="superscript"/>
        </w:rPr>
        <w:t>-</w:t>
      </w:r>
      <w:r w:rsidR="00145CE8">
        <w:rPr>
          <w:rStyle w:val="None"/>
          <w:b/>
          <w:i w:val="0"/>
          <w:color w:val="000000" w:themeColor="text1"/>
          <w:vertAlign w:val="superscript"/>
        </w:rPr>
        <w:t>6</w:t>
      </w:r>
      <w:r w:rsidR="00145CE8" w:rsidRPr="00145CE8">
        <w:rPr>
          <w:b/>
          <w:i w:val="0"/>
          <w:color w:val="000000" w:themeColor="text1"/>
        </w:rPr>
        <w:t>) in the meta-analysis with the color-coded dataset as discovery dataset.</w:t>
      </w:r>
    </w:p>
    <w:p w14:paraId="5ECE7FC0" w14:textId="77777777" w:rsidR="001B07C1" w:rsidRPr="001B07C1" w:rsidRDefault="001B07C1" w:rsidP="001B07C1">
      <w:pPr>
        <w:rPr>
          <w:b/>
        </w:rPr>
      </w:pPr>
    </w:p>
    <w:p w14:paraId="40AB85F2" w14:textId="39EE33B7" w:rsidR="001B07C1" w:rsidRDefault="001B07C1" w:rsidP="001B07C1">
      <w:pPr>
        <w:pStyle w:val="ListParagraph"/>
        <w:numPr>
          <w:ilvl w:val="0"/>
          <w:numId w:val="3"/>
        </w:numPr>
        <w:rPr>
          <w:b/>
        </w:rPr>
      </w:pPr>
      <w:r w:rsidRPr="001B07C1">
        <w:rPr>
          <w:b/>
        </w:rPr>
        <w:t>Supplementary Text</w:t>
      </w:r>
    </w:p>
    <w:p w14:paraId="1FECA530" w14:textId="4A9A98BE" w:rsidR="001B07C1" w:rsidRDefault="001B07C1" w:rsidP="001B07C1">
      <w:pPr>
        <w:pStyle w:val="ListParagraph"/>
        <w:rPr>
          <w:b/>
        </w:rPr>
      </w:pPr>
    </w:p>
    <w:p w14:paraId="519FF149" w14:textId="0E7B41EE" w:rsidR="001B07C1" w:rsidRPr="008B1106" w:rsidRDefault="001B07C1" w:rsidP="001B07C1">
      <w:pPr>
        <w:pStyle w:val="Heading2"/>
        <w:numPr>
          <w:ilvl w:val="0"/>
          <w:numId w:val="0"/>
        </w:numPr>
        <w:spacing w:line="276" w:lineRule="auto"/>
        <w:rPr>
          <w:color w:val="000000" w:themeColor="text1"/>
        </w:rPr>
      </w:pPr>
      <w:r>
        <w:rPr>
          <w:color w:val="000000" w:themeColor="text1"/>
        </w:rPr>
        <w:t>Significant variants in literature</w:t>
      </w:r>
    </w:p>
    <w:p w14:paraId="7FF86644" w14:textId="77777777" w:rsidR="001B07C1" w:rsidRPr="008B1106" w:rsidRDefault="001B07C1" w:rsidP="001B07C1">
      <w:pPr>
        <w:spacing w:line="360" w:lineRule="auto"/>
        <w:jc w:val="both"/>
        <w:rPr>
          <w:color w:val="000000" w:themeColor="text1"/>
        </w:rPr>
      </w:pPr>
      <w:r>
        <w:rPr>
          <w:color w:val="000000" w:themeColor="text1"/>
        </w:rPr>
        <w:t>r</w:t>
      </w:r>
      <w:r w:rsidRPr="008B1106">
        <w:rPr>
          <w:color w:val="000000" w:themeColor="text1"/>
        </w:rPr>
        <w:t xml:space="preserve">s742071 in 1p36 is an intron variant of </w:t>
      </w:r>
      <w:r w:rsidRPr="008B1106">
        <w:rPr>
          <w:i/>
          <w:color w:val="000000" w:themeColor="text1"/>
        </w:rPr>
        <w:t>PAX7</w:t>
      </w:r>
      <w:r w:rsidRPr="008B1106">
        <w:rPr>
          <w:color w:val="000000" w:themeColor="text1"/>
        </w:rPr>
        <w:t xml:space="preserve">, which encodes a paired box domain transcription factor that plays a role in neural crest development </w:t>
      </w:r>
      <w:r w:rsidRPr="008B1106">
        <w:rPr>
          <w:color w:val="000000" w:themeColor="text1"/>
        </w:rPr>
        <w:fldChar w:fldCharType="begin"/>
      </w:r>
      <w:r w:rsidRPr="008B1106">
        <w:rPr>
          <w:color w:val="000000" w:themeColor="text1"/>
        </w:rPr>
        <w:instrText xml:space="preserve"> ADDIN ZOTERO_ITEM CSL_CITATION {"citationID":"hxhmZHfF","properties":{"formattedCitation":"(Basch, Bronner-Fraser, and Garc\\uc0\\u237{}a-Castro 2006)","plainCitation":"(Basch, Bronner-Fraser, and García-Castro 2006)","noteIndex":0},"citationItems":[{"id":98,"uris":["http://zotero.org/users/local/C43HkY6l/items/XV3X2BRX"],"uri":["http://zotero.org/users/local/C43HkY6l/items/XV3X2BRX"],"itemData":{"id":98,"type":"article-journal","title":"Specification of the neural crest occurs during gastrulation and requires Pax7","container-title":"Nature","page":"218-222","volume":"441","issue":"7090","source":"Crossref","DOI":"10.1038/nature04684","ISSN":"0028-0836, 1476-4679","language":"en","author":[{"family":"Basch","given":"Martín L."},{"family":"Bronner-Fraser","given":"Marianne"},{"family":"García-Castro","given":"Martín I."}],"issued":{"date-parts":[["2006",5,11]]}}}],"schema":"https://github.com/citation-style-language/schema/raw/master/csl-citation.json"} </w:instrText>
      </w:r>
      <w:r w:rsidRPr="008B1106">
        <w:rPr>
          <w:color w:val="000000" w:themeColor="text1"/>
        </w:rPr>
        <w:fldChar w:fldCharType="separate"/>
      </w:r>
      <w:r w:rsidRPr="008B1106">
        <w:rPr>
          <w:color w:val="000000" w:themeColor="text1"/>
        </w:rPr>
        <w:t>(Basch, Bronner-Fraser, and García-Castro 2006)</w:t>
      </w:r>
      <w:r w:rsidRPr="008B1106">
        <w:rPr>
          <w:color w:val="000000" w:themeColor="text1"/>
        </w:rPr>
        <w:fldChar w:fldCharType="end"/>
      </w:r>
      <w:r w:rsidRPr="008B1106">
        <w:rPr>
          <w:color w:val="000000" w:themeColor="text1"/>
        </w:rPr>
        <w:t xml:space="preserve">. Neural </w:t>
      </w:r>
      <w:r w:rsidRPr="008B1106">
        <w:rPr>
          <w:color w:val="000000" w:themeColor="text1"/>
        </w:rPr>
        <w:lastRenderedPageBreak/>
        <w:t xml:space="preserve">crest cells are an ectoderm-derived multipotent cell population that gives rise to various cell lineages, including craniofacial cartilage. Mutant mice with impaired Pax7 function display severe craniofacial defects, showing malformations in the facial structures involving the maxilla and nose </w:t>
      </w:r>
      <w:r w:rsidRPr="008B1106">
        <w:rPr>
          <w:color w:val="000000" w:themeColor="text1"/>
        </w:rPr>
        <w:fldChar w:fldCharType="begin"/>
      </w:r>
      <w:r w:rsidRPr="008B1106">
        <w:rPr>
          <w:color w:val="000000" w:themeColor="text1"/>
        </w:rPr>
        <w:instrText xml:space="preserve"> ADDIN ZOTERO_ITEM CSL_CITATION {"citationID":"o8dFCbVd","properties":{"formattedCitation":"(Mansouri et al. 1996; Zalc et al. 2015)","plainCitation":"(Mansouri et al. 1996; Zalc et al. 2015)","noteIndex":0},"citationItems":[{"id":102,"uris":["http://zotero.org/users/local/C43HkY6l/items/FNLFIZDE"],"uri":["http://zotero.org/users/local/C43HkY6l/items/FNLFIZDE"],"itemData":{"id":102,"type":"article-journal","title":"Dysgenesis of cephalic neural crest derivatives in Pax7−/− mutant mice","container-title":"Development","page":"831-838","volume":"122","issue":"3","source":"dev.biologists.org","abstract":"Skip to Next Section\nPax7 is a member of the paired box containing gene family. Its expression pattern suggests a function in cephalic neural crest derivatives, skeletal muscle and central nervous system development. To understand the role of Pax7 during mouse embryogenesis, we used the homologous recombination technique in embryonic stem cells and generated Pax7−/− mice. Homozygous animals are born but die shortly afer weaning. They exhibit malformations in facial structures involving the maxilla and nose. Our analysis suggests that the observed phenotype is due to a cephalic neural crest defect. No obvious phenotype could be detected in the central nervous system and skeletal muscle. Functional redundancy between Pax7 and Pax3 is discussed.","ISSN":"0950-1991, 1477-9129","note":"PMID: 8631261","language":"en","author":[{"family":"Mansouri","given":"A."},{"family":"Stoykova","given":"A."},{"family":"Torres","given":"M."},{"family":"Gruss","given":"P."}],"issued":{"date-parts":[["1996",3,1]]}}},{"id":100,"uris":["http://zotero.org/users/local/C43HkY6l/items/W5VYPU34"],"uri":["http://zotero.org/users/local/C43HkY6l/items/W5VYPU34"],"itemData":{"id":100,"type":"article-journal","title":"Pax3 and Pax7 Play Essential Safeguard Functions against Environmental Stress-Induced Birth Defects","container-title":"Developmental Cell","page":"56-66","volume":"33","issue":"1","source":"Crossref","abstract":"Exposure to environmental teratogenic pollutant leads to severe birth defects. However, the biological events underlying these developmental abnormalities remain undeﬁned. Here, we report a molecular link between an environmental stress response pathway and key developmental genes during craniofacial development. Strikingly, mutant mice with impaired Pax3/7 function display severe craniofacial defects. We show that these are associated with an upregulation of the signaling pathway mediated by the Aryl hydrocarbon receptor (AHR), the receptor to 2,3,7,8tetrachlorodibenzo-p-dioxin (TCDD), revealing a genetic interaction between Pax3 and AHR signaling. Activation of AHR signaling in Pax3-deﬁcient embryos drives facial mesenchymal cells out of the cell cycle through the upregulation of p21 expression. Accordingly, inhibiting AHR activity rescues the cycling status of these cells and the facial closure of Pax3/7 mutants. Together, our ﬁndings demonstrate that the regulation of AHR signaling by Pax3/7 is required to protect against TCDD/AHR-mediated teratogenesis during craniofacial development.","DOI":"10.1016/j.devcel.2015.02.006","ISSN":"15345807","language":"en","author":[{"family":"Zalc","given":"Antoine"},{"family":"Rattenbach","given":"Revital"},{"family":"Auradé","given":"Frédéric"},{"family":"Cadot","given":"Bruno"},{"family":"Relaix","given":"Frédéric"}],"issued":{"date-parts":[["2015",4]]}}}],"schema":"https://github.com/citation-style-language/schema/raw/master/csl-citation.json"} </w:instrText>
      </w:r>
      <w:r w:rsidRPr="008B1106">
        <w:rPr>
          <w:color w:val="000000" w:themeColor="text1"/>
        </w:rPr>
        <w:fldChar w:fldCharType="separate"/>
      </w:r>
      <w:r w:rsidRPr="008B1106">
        <w:rPr>
          <w:noProof/>
          <w:color w:val="000000" w:themeColor="text1"/>
        </w:rPr>
        <w:t>(Mansouri et al. 1996; Zalc et al. 2015)</w:t>
      </w:r>
      <w:r w:rsidRPr="008B1106">
        <w:rPr>
          <w:color w:val="000000" w:themeColor="text1"/>
        </w:rPr>
        <w:fldChar w:fldCharType="end"/>
      </w:r>
      <w:r w:rsidRPr="008B1106">
        <w:rPr>
          <w:color w:val="000000" w:themeColor="text1"/>
        </w:rPr>
        <w:t xml:space="preserve">. </w:t>
      </w:r>
    </w:p>
    <w:p w14:paraId="77783C5B" w14:textId="77777777" w:rsidR="001B07C1" w:rsidRPr="008B1106" w:rsidRDefault="001B07C1" w:rsidP="001B07C1">
      <w:pPr>
        <w:spacing w:line="360" w:lineRule="auto"/>
        <w:jc w:val="both"/>
        <w:rPr>
          <w:color w:val="000000" w:themeColor="text1"/>
        </w:rPr>
      </w:pPr>
      <w:r>
        <w:rPr>
          <w:color w:val="000000" w:themeColor="text1"/>
        </w:rPr>
        <w:t>r</w:t>
      </w:r>
      <w:r w:rsidRPr="008B1106">
        <w:rPr>
          <w:color w:val="000000" w:themeColor="text1"/>
        </w:rPr>
        <w:t xml:space="preserve">s7590268 is an intron variant of </w:t>
      </w:r>
      <w:r w:rsidRPr="008B1106">
        <w:rPr>
          <w:i/>
          <w:color w:val="000000" w:themeColor="text1"/>
        </w:rPr>
        <w:t>THADA</w:t>
      </w:r>
      <w:r w:rsidRPr="008B1106">
        <w:rPr>
          <w:color w:val="000000" w:themeColor="text1"/>
        </w:rPr>
        <w:t xml:space="preserve">, a gene associated with polycystic ovary syndrome and the target of 2p21 chromosomal aberrations in benign thyroid adenomas </w:t>
      </w:r>
      <w:r w:rsidRPr="008B1106">
        <w:rPr>
          <w:color w:val="000000" w:themeColor="text1"/>
        </w:rPr>
        <w:fldChar w:fldCharType="begin"/>
      </w:r>
      <w:r w:rsidRPr="008B1106">
        <w:rPr>
          <w:color w:val="000000" w:themeColor="text1"/>
        </w:rPr>
        <w:instrText xml:space="preserve"> ADDIN ZOTERO_ITEM CSL_CITATION {"citationID":"S0ebDikR","properties":{"formattedCitation":"(Goodarzi et al. 2012; Day et al. 2015; Rippe et al. 2003)","plainCitation":"(Goodarzi et al. 2012; Day et al. 2015; Rippe et al. 2003)","noteIndex":0},"citationItems":[{"id":116,"uris":["http://zotero.org/users/local/C43HkY6l/items/JCMDQFAL"],"uri":["http://zotero.org/users/local/C43HkY6l/items/JCMDQFAL"],"itemData":{"id":116,"type":"article-journal","title":"Replication of association of DENND1A and THADA variants with polycystic ovary syndrome in European cohorts","container-title":"Journal of Medical Genetics","page":"90-95","volume":"49","issue":"2","source":"PubMed","abstract":"BACKGROUND: Polycystic ovary syndrome (PCOS) is a complex endocrine disorder with a strong familial component. PCOS is characterised by hyperandrogenaemia and irregular menses. A recent genome-wide association study (GWAS) of PCOS in a Chinese cohort identified three reproducible PCOS susceptibility loci mapping to 2p16.3 (luteinising hormone/choriogonadotropin receptor; LHCGR), 2p21 (thyroid associated protein; THADA), and 9q33.3 (DENN/MADD domain containing 1A; DENNDIA). The impact of these loci in non-Chinese PCOS cohorts remains to be determined.\nMETHODS AND RESULTS: The study tested association with PCOS of seven single nucleotide polymorphisms mapping to the three Chinese PCOS loci in two European derived PCOS cohorts (cohort A = 939 cases and 957 controls; cohort B = 535 cases and 845 controls). Cases fulfilled the National Institute of Child Health &amp; Human Development criteria for PCOS. Variation in DENND1A was strongly associated with PCOS in the study cohort (p(combined cohorts)=10(-8)); multiple variants in THADA were also associated with PCOS, while there was no significant evidence for association of LHCGR variation with PCOS. The present study had &gt;80% power to detect an effect of similar size as was observed by Chen et al for DENND1A and THADA, but reduced power (at &lt;40%) for LHCGR at p=0.0001. The study had sufficient power (57-88%) for LHCGR at p=0.01.\nCONCLUSIONS: At least two of the PCOS susceptibility loci identified in the Chinese PCOS GWAS (DENND1A and THADA) are also associated with PCOS in European derived populations, and are therefore likely to be important in the aetiology of PCOS regardless of ethnicity. The analysis of the LHCGR gene was not sufficiently powered to detect modest effects.","DOI":"10.1136/jmedgenet-2011-100427","ISSN":"1468-6244","note":"PMID: 22180642\nPMCID: PMC3536488","journalAbbreviation":"J. Med. Genet.","language":"eng","author":[{"family":"Goodarzi","given":"Mark O."},{"family":"Jones","given":"Michelle R."},{"family":"Li","given":"Xiaohui"},{"family":"Chua","given":"Angela K."},{"family":"Garcia","given":"Obed A."},{"family":"Chen","given":"Yii-Der I."},{"family":"Krauss","given":"Ronald M."},{"family":"Rotter","given":"Jerome I."},{"family":"Ankener","given":"Wendy"},{"family":"Legro","given":"Richard S."},{"family":"Azziz","given":"Ricardo"},{"family":"Strauss","given":"Jerome F."},{"family":"Dunaif","given":"Andrea"},{"family":"Urbanek","given":"Margrit"}],"issued":{"date-parts":[["2012",2]]}}},{"id":115,"uris":["http://zotero.org/users/local/C43HkY6l/items/S8QS2IF5"],"uri":["http://zotero.org/users/local/C43HkY6l/items/S8QS2IF5"],"itemData":{"id":115,"type":"article-journal","title":"Causal mechanisms and balancing selection inferred from genetic associations with polycystic ovary syndrome","container-title":"Nature Communications","page":"8464","volume":"6","source":"www.nature.com","abstract":"Polycystic ovary syndrome (PCOS) is the most common reproductive disorder in women, yet there is little consensus regarding its aetiology. Here we perform a genome-wide association study of PCOS in up to 5,184 self-reported cases of White European ancestry and 82,759 controls, with follow-up in a further </w:instrText>
      </w:r>
      <w:r w:rsidRPr="008B1106">
        <w:rPr>
          <w:rFonts w:ascii="Cambria Math" w:hAnsi="Cambria Math" w:cs="Cambria Math"/>
          <w:color w:val="000000" w:themeColor="text1"/>
        </w:rPr>
        <w:instrText>∼</w:instrText>
      </w:r>
      <w:r w:rsidRPr="008B1106">
        <w:rPr>
          <w:color w:val="000000" w:themeColor="text1"/>
        </w:rPr>
        <w:instrText xml:space="preserve">2,000 clinically validated cases and </w:instrText>
      </w:r>
      <w:r w:rsidRPr="008B1106">
        <w:rPr>
          <w:rFonts w:ascii="Cambria Math" w:hAnsi="Cambria Math" w:cs="Cambria Math"/>
          <w:color w:val="000000" w:themeColor="text1"/>
        </w:rPr>
        <w:instrText>∼</w:instrText>
      </w:r>
      <w:r w:rsidRPr="008B1106">
        <w:rPr>
          <w:color w:val="000000" w:themeColor="text1"/>
        </w:rPr>
        <w:instrText xml:space="preserve">100,000 controls. We identify six signals for PCOS at genome-wide statistical significance (P&lt;5 × 10−8), in/near genes ERBB4/HER4, YAP1, THADA, FSHB, RAD50 and KRR1. Variants in/near three of the four epidermal growth factor receptor genes (ERBB2/HER2, ERBB3/HER3 and ERBB4/HER4) are associated with PCOS at or near genome-wide significance. Mendelian randomization analyses indicate causal roles in PCOS aetiology for higher BMI (P=2.5 × 10−9), higher insulin resistance (P=6 × 10−4) and lower serum sex hormone binding globulin concentrations (P=5 × 10−4). Furthermore, genetic susceptibility to later menopause is associated with higher PCOS risk (P=1.6 × 10−8) and PCOS-susceptibility alleles are associated with higher serum anti-Müllerian hormone concentrations in girls (P=8.9 × 10−5). This large-scale study implicates an aetiological role of the epidermal growth factor receptors, infers causal mechanisms relevant to clinical management and prevention, and suggests balancing selection mechanisms involved in PCOS risk.","DOI":"10.1038/ncomms9464","ISSN":"2041-1723","language":"en","author":[{"family":"Day","given":"Felix R."},{"family":"Hinds","given":"David A."},{"family":"Tung","given":"Joyce Y."},{"family":"Stolk","given":"Lisette"},{"family":"Styrkarsdottir","given":"Unnur"},{"family":"Saxena","given":"Richa"},{"family":"Bjonnes","given":"Andrew"},{"family":"Broer","given":"Linda"},{"family":"Dunger","given":"David B."},{"family":"Halldorsson","given":"Bjarni V."},{"family":"Lawlor","given":"Debbie A."},{"family":"Laval","given":"Guillaume"},{"family":"Mathieson","given":"Iain"},{"family":"McCardle","given":"Wendy L."},{"family":"Louwers","given":"Yvonne"},{"family":"Meun","given":"Cindy"},{"family":"Ring","given":"Susan"},{"family":"Scott","given":"Robert A."},{"family":"Sulem","given":"Patrick"},{"family":"Uitterlinden","given":"André G."},{"family":"Wareham","given":"Nicholas J."},{"family":"Thorsteinsdottir","given":"Unnur"},{"family":"Welt","given":"Corrine"},{"family":"Stefansson","given":"Kari"},{"family":"Laven","given":"Joop S. E."},{"family":"Ong","given":"Ken K."},{"family":"Perry","given":"John R. B."}],"issued":{"date-parts":[["2015",9,29]]}}},{"id":118,"uris":["http://zotero.org/users/local/C43HkY6l/items/8MS36DJY"],"uri":["http://zotero.org/users/local/C43HkY6l/items/8MS36DJY"],"itemData":{"id":118,"type":"article-journal","title":"Identification of a gene rearranged by 2p21 aberrations in thyroid adenomas","container-title":"Oncogene","page":"6111-6114","volume":"22","issue":"38","source":"PubMed","abstract":"Thyroid adenomas belong to the cytogenetically best investigated human epithelial tumors. Cytogenetic studies of about 450 benign lesions allow one to distinguish between different cytogenetic subgroups. Two chromosomal regions, that is, 19q13 and 2p21, are frequently rearranged in these tumors. Although 2p21 aberrations only account for about 10% of the benign thyroid tumors with clonal cytogenetic deviations, 2p21 rearrangements belong to the most common cytogenetic rearrangements in epithelial tumors due to the high frequency of these benign lesions. The 2p21 breakpoint region recently has been delineated to a region of 450 kbp, but the gene affected by the cytogenetic rearrangements still has escaped detection. Positional cloning and 3' RACE-PCR allowed us to clone that gene which we will refer to as thyroid adenoma associated (THADA) gene. In cells from two thyroid adenomas characterized by translocations t(2;20;3) (p21;q11.2;p25) and t(2;7)(p21;p15), respectively, we performed 3'-RACE-PCRs and found two fusions of THADA with a sequence derived from chromosome band 3p25 or with a sequence derived from chromosome band 7p15. The THADA gene spans roughly 365 kbp and, based on preliminary results, encodes a death receptor-interacting protein.","DOI":"10.1038/sj.onc.1206867","ISSN":"0950-9232","note":"PMID: 12955091","journalAbbreviation":"Oncogene","language":"eng","author":[{"family":"Rippe","given":"Volkhard"},{"family":"Drieschner","given":"Norbert"},{"family":"Meiboom","given":"Maren"},{"family":"Murua Escobar","given":"Hugo"},{"family":"Bonk","given":"Ulrich"},{"family":"Belge","given":"Gazanfer"},{"family":"Bullerdiek","given":"Jörn"}],"issued":{"date-parts":[["2003",9,4]]}}}],"schema":"https://github.com/citation-style-language/schema/raw/master/csl-citation.json"} </w:instrText>
      </w:r>
      <w:r w:rsidRPr="008B1106">
        <w:rPr>
          <w:color w:val="000000" w:themeColor="text1"/>
        </w:rPr>
        <w:fldChar w:fldCharType="separate"/>
      </w:r>
      <w:r w:rsidRPr="008B1106">
        <w:rPr>
          <w:noProof/>
          <w:color w:val="000000" w:themeColor="text1"/>
        </w:rPr>
        <w:t>(Goodarzi et al. 2012; Day et al. 2015; Rippe et al. 2003)</w:t>
      </w:r>
      <w:r w:rsidRPr="008B1106">
        <w:rPr>
          <w:color w:val="000000" w:themeColor="text1"/>
        </w:rPr>
        <w:fldChar w:fldCharType="end"/>
      </w:r>
      <w:r w:rsidRPr="008B1106">
        <w:rPr>
          <w:color w:val="000000" w:themeColor="text1"/>
        </w:rPr>
        <w:t>. In contrast to all other loci mentioned above, this SNP has no previous findings in craniofacial development, except for the association with NSCL/P (Ludwig et al. 2012).</w:t>
      </w:r>
    </w:p>
    <w:p w14:paraId="5AB0606C" w14:textId="77777777" w:rsidR="001B07C1" w:rsidRPr="008B1106" w:rsidRDefault="001B07C1" w:rsidP="001B07C1">
      <w:pPr>
        <w:spacing w:line="360" w:lineRule="auto"/>
        <w:jc w:val="both"/>
        <w:rPr>
          <w:color w:val="000000" w:themeColor="text1"/>
        </w:rPr>
      </w:pPr>
      <w:r w:rsidRPr="008B1106">
        <w:rPr>
          <w:color w:val="000000" w:themeColor="text1"/>
        </w:rPr>
        <w:t>T</w:t>
      </w:r>
      <w:r>
        <w:rPr>
          <w:color w:val="000000" w:themeColor="text1"/>
        </w:rPr>
        <w:t>he strongest effect was found for rs6740960 o</w:t>
      </w:r>
      <w:r w:rsidRPr="008B1106">
        <w:rPr>
          <w:color w:val="000000" w:themeColor="text1"/>
        </w:rPr>
        <w:t>n 2p21, which lies in a non-coding regio</w:t>
      </w:r>
      <w:r>
        <w:rPr>
          <w:color w:val="000000" w:themeColor="text1"/>
        </w:rPr>
        <w:t>n. This effect was also found by</w:t>
      </w:r>
      <w:r w:rsidRPr="008B1106">
        <w:rPr>
          <w:color w:val="000000" w:themeColor="text1"/>
        </w:rPr>
        <w:t xml:space="preserve"> </w:t>
      </w:r>
      <w:proofErr w:type="spellStart"/>
      <w:r w:rsidRPr="008B1106">
        <w:rPr>
          <w:color w:val="000000" w:themeColor="text1"/>
        </w:rPr>
        <w:t>Claes</w:t>
      </w:r>
      <w:proofErr w:type="spellEnd"/>
      <w:r w:rsidRPr="008B1106">
        <w:rPr>
          <w:color w:val="000000" w:themeColor="text1"/>
        </w:rPr>
        <w:t xml:space="preserve"> </w:t>
      </w:r>
      <w:r w:rsidRPr="002013F2">
        <w:rPr>
          <w:i/>
          <w:color w:val="000000" w:themeColor="text1"/>
        </w:rPr>
        <w:t xml:space="preserve">et al. </w:t>
      </w:r>
      <w:r w:rsidRPr="008B1106">
        <w:rPr>
          <w:color w:val="000000" w:themeColor="text1"/>
        </w:rPr>
        <w:t xml:space="preserve">(2018), where the SNP was found to be located within an active craniofacial neural crest cell enhancer. The SNP maps 100 kb upstream of </w:t>
      </w:r>
      <w:r w:rsidRPr="008B1106">
        <w:rPr>
          <w:i/>
          <w:color w:val="000000" w:themeColor="text1"/>
        </w:rPr>
        <w:t>PKDCC</w:t>
      </w:r>
      <w:r w:rsidRPr="008B1106">
        <w:rPr>
          <w:color w:val="000000" w:themeColor="text1"/>
        </w:rPr>
        <w:t xml:space="preserve">, a possible candidate gene that encodes the cytoplasmic protein kinase domain containing protein. In zebrafish </w:t>
      </w:r>
      <w:r w:rsidRPr="008B1106">
        <w:rPr>
          <w:i/>
          <w:color w:val="000000" w:themeColor="text1"/>
        </w:rPr>
        <w:t>PKDCC</w:t>
      </w:r>
      <w:r w:rsidRPr="008B1106">
        <w:rPr>
          <w:color w:val="000000" w:themeColor="text1"/>
        </w:rPr>
        <w:t xml:space="preserve">-orthologs have been shown to be involved in craniofacial development </w:t>
      </w:r>
      <w:r w:rsidRPr="008B1106">
        <w:rPr>
          <w:color w:val="000000" w:themeColor="text1"/>
        </w:rPr>
        <w:fldChar w:fldCharType="begin"/>
      </w:r>
      <w:r w:rsidRPr="008B1106">
        <w:rPr>
          <w:color w:val="000000" w:themeColor="text1"/>
        </w:rPr>
        <w:instrText xml:space="preserve"> ADDIN ZOTERO_ITEM CSL_CITATION {"citationID":"yrb875xq","properties":{"formattedCitation":"(Melvin et al. 2013)","plainCitation":"(Melvin et al. 2013)","noteIndex":0},"citationItems":[{"id":106,"uris":["http://zotero.org/users/local/C43HkY6l/items/LCGNW7CD"],"uri":["http://zotero.org/users/local/C43HkY6l/items/LCGNW7CD"],"itemData":{"id":106,"type":"article-journal","title":"A Morpholino-based screen to identify novel genes involved in craniofacial morphogenesis","container-title":"Developmental dynamics : an official publication of the American Association of Anatomists","page":"817-831","volume":"242","issue":"7","source":"PubMed Central","abstract":"BACKGROUND\nThe regulatory mechanisms underpinning facial development are conserved between diverse species. Therefore, results from model systems provide insight into the genetic causes of human craniofacial defects. Previously, we generated a comprehensive dataset examining gene expression during development and fusion of the mouse facial prominences. Here, we used this resource to identify genes that have dynamic expression patterns in the facial prominences, but for which only limited information exists concerning developmental function.\n\nRESULTS\nThis set of ~80 genes was used for a high throughput functional analysis in the zebrafish system using Morpholino gene knockdown technology. This screen revealed three classes of cranial cartilage phenotypes depending upon whether knockdown of the gene affected the neurocranium, viscerocranium, or both. The targeted genes that produced consistent phenotypes encoded proteins linked to transcription (meis1, meis2a, tshz2, vgll4l), signaling (pkdcc, vlk, macc1, wu:fb16h09), and extracellular matrix function (smoc2). The majority of these phenotypes were not altered by reduction of p53 levels, demonstrating that both p53 dependent and independent mechanisms were involved in the craniofacial abnormalities.\n\nCONCLUSIONS\nThis Morpholino-based screen highlights new genes involved in development of the zebrafish craniofacial skeleton with wider relevance to formation of the face in other species, particularly mouse and human.","DOI":"10.1002/dvdy.23969","ISSN":"1058-8388","note":"PMID: 23559552\nPMCID: PMC4027977","journalAbbreviation":"Dev Dyn","author":[{"family":"Melvin","given":"Vida Senkus"},{"family":"Feng","given":"Weiguo"},{"family":"Hernandez-Lagunas","given":"Laura"},{"family":"Artinger","given":"Kristin Bruk"},{"family":"Williams","given":"Trevor"}],"issued":{"date-parts":[["2013",7]]}}}],"schema":"https://github.com/citation-style-language/schema/raw/master/csl-citation.json"} </w:instrText>
      </w:r>
      <w:r w:rsidRPr="008B1106">
        <w:rPr>
          <w:color w:val="000000" w:themeColor="text1"/>
        </w:rPr>
        <w:fldChar w:fldCharType="separate"/>
      </w:r>
      <w:r w:rsidRPr="008B1106">
        <w:rPr>
          <w:noProof/>
          <w:color w:val="000000" w:themeColor="text1"/>
        </w:rPr>
        <w:t>(Melvin et al. 2013)</w:t>
      </w:r>
      <w:r w:rsidRPr="008B1106">
        <w:rPr>
          <w:color w:val="000000" w:themeColor="text1"/>
        </w:rPr>
        <w:fldChar w:fldCharType="end"/>
      </w:r>
      <w:r w:rsidRPr="008B1106">
        <w:rPr>
          <w:color w:val="000000" w:themeColor="text1"/>
        </w:rPr>
        <w:t xml:space="preserve">. Although both rs7590268 and rs6740960 are localized in 2p21, the effects found in this study were independent. When identifying these SNPs in a NSCL/P case-control GWAS, Ludwig </w:t>
      </w:r>
      <w:r w:rsidRPr="002013F2">
        <w:rPr>
          <w:i/>
          <w:color w:val="000000" w:themeColor="text1"/>
        </w:rPr>
        <w:t>et al.</w:t>
      </w:r>
      <w:r w:rsidRPr="008B1106">
        <w:rPr>
          <w:color w:val="000000" w:themeColor="text1"/>
        </w:rPr>
        <w:t xml:space="preserve"> (2017) used conditional analysis to show the effects were independent from rs6740960. Additionally, the effects of the two SNPs were located in two different facial areas.</w:t>
      </w:r>
    </w:p>
    <w:p w14:paraId="3B7008B2" w14:textId="77777777" w:rsidR="001B07C1" w:rsidRPr="008B1106" w:rsidRDefault="001B07C1" w:rsidP="001B07C1">
      <w:pPr>
        <w:spacing w:line="360" w:lineRule="auto"/>
        <w:jc w:val="both"/>
        <w:rPr>
          <w:color w:val="000000" w:themeColor="text1"/>
        </w:rPr>
      </w:pPr>
      <w:r>
        <w:rPr>
          <w:color w:val="000000" w:themeColor="text1"/>
        </w:rPr>
        <w:t>r</w:t>
      </w:r>
      <w:r w:rsidRPr="008B1106">
        <w:rPr>
          <w:color w:val="000000" w:themeColor="text1"/>
        </w:rPr>
        <w:t xml:space="preserve">s34246903 is located 50 kb upstream of </w:t>
      </w:r>
      <w:r w:rsidRPr="008B1106">
        <w:rPr>
          <w:i/>
          <w:color w:val="000000" w:themeColor="text1"/>
        </w:rPr>
        <w:t>MSX1</w:t>
      </w:r>
      <w:r w:rsidRPr="008B1106">
        <w:rPr>
          <w:color w:val="000000" w:themeColor="text1"/>
        </w:rPr>
        <w:t xml:space="preserve">, which encodes a transcription factor upregulated during embryogenesis and postnatal development in bone tissue. </w:t>
      </w:r>
      <w:r w:rsidRPr="008B1106">
        <w:rPr>
          <w:i/>
          <w:color w:val="000000" w:themeColor="text1"/>
        </w:rPr>
        <w:t>BMP</w:t>
      </w:r>
      <w:r w:rsidRPr="008B1106">
        <w:rPr>
          <w:color w:val="000000" w:themeColor="text1"/>
        </w:rPr>
        <w:t xml:space="preserve"> expression in palatal mesenchyme is regulated by the </w:t>
      </w:r>
      <w:r w:rsidRPr="008B1106">
        <w:rPr>
          <w:i/>
          <w:color w:val="000000" w:themeColor="text1"/>
        </w:rPr>
        <w:t>MSX1</w:t>
      </w:r>
      <w:r w:rsidRPr="008B1106">
        <w:rPr>
          <w:color w:val="000000" w:themeColor="text1"/>
        </w:rPr>
        <w:t xml:space="preserve"> homeobox gene and plays an import role in epithelial-mesenchymal interaction throughout embryogenesis </w:t>
      </w:r>
      <w:r w:rsidRPr="008B1106">
        <w:rPr>
          <w:color w:val="000000" w:themeColor="text1"/>
        </w:rPr>
        <w:fldChar w:fldCharType="begin"/>
      </w:r>
      <w:r w:rsidRPr="008B1106">
        <w:rPr>
          <w:color w:val="000000" w:themeColor="text1"/>
        </w:rPr>
        <w:instrText xml:space="preserve"> ADDIN ZOTERO_ITEM CSL_CITATION {"citationID":"O6efci27","properties":{"formattedCitation":"(Satokata and Maas 1994)","plainCitation":"(Satokata and Maas 1994)","noteIndex":0},"citationItems":[{"id":130,"uris":["http://zotero.org/users/local/C43HkY6l/items/RET6PE6B"],"uri":["http://zotero.org/users/local/C43HkY6l/items/RET6PE6B"],"itemData":{"id":130,"type":"article-journal","title":"Msx1 deficient mice exhibit cleft palate and abnormalities of craniofacial and tooth development","container-title":"Nature Genetics","page":"348-356","volume":"6","issue":"4","source":"PubMed","abstract":"The Msx1 homeobox gene is expressed at diverse sites of epithelial-mesenchymal interaction during vertebrate embryogenesis, and has been implicated in signalling processes between tissue layers. To determine the phenotypic consequences of its deficiency, we prepared mice lacking Msx1 function. All Msx1- homozygotes manifest a cleft secondary palate, a deficiency of alveolar mandible and maxilla and a failure of tooth development. These mice also exhibit abnormalities of the nasal, frontal and parietal bones, and of the malleus in the middle ear. Msx1 thus has a critical role in mediating epithelial-mesenchymal interactions during craniofacial bone and tooth development. The Msx1-/Msx1- phenotype is similar to human cleft palate, and provides a genetic model for cleft palate and oligodontia in which the defective gene is known.","DOI":"10.1038/ng0494-348","ISSN":"1061-4036","note":"PMID: 7914451","journalAbbreviation":"Nat. Genet.","language":"eng","author":[{"family":"Satokata","given":"I."},{"family":"Maas","given":"R."}],"issued":{"date-parts":[["1994",4]]}}}],"schema":"https://github.com/citation-style-language/schema/raw/master/csl-citation.json"} </w:instrText>
      </w:r>
      <w:r w:rsidRPr="008B1106">
        <w:rPr>
          <w:color w:val="000000" w:themeColor="text1"/>
        </w:rPr>
        <w:fldChar w:fldCharType="separate"/>
      </w:r>
      <w:r w:rsidRPr="008B1106">
        <w:rPr>
          <w:noProof/>
          <w:color w:val="000000" w:themeColor="text1"/>
        </w:rPr>
        <w:t>(Satokata and Maas 1994)</w:t>
      </w:r>
      <w:r w:rsidRPr="008B1106">
        <w:rPr>
          <w:color w:val="000000" w:themeColor="text1"/>
        </w:rPr>
        <w:fldChar w:fldCharType="end"/>
      </w:r>
      <w:r w:rsidRPr="008B1106">
        <w:rPr>
          <w:color w:val="000000" w:themeColor="text1"/>
        </w:rPr>
        <w:t xml:space="preserve">. </w:t>
      </w:r>
    </w:p>
    <w:p w14:paraId="540A58FF" w14:textId="77777777" w:rsidR="001B07C1" w:rsidRPr="008B1106" w:rsidRDefault="001B07C1" w:rsidP="001B07C1">
      <w:pPr>
        <w:spacing w:line="360" w:lineRule="auto"/>
        <w:jc w:val="both"/>
        <w:rPr>
          <w:color w:val="000000" w:themeColor="text1"/>
        </w:rPr>
      </w:pPr>
      <w:r>
        <w:rPr>
          <w:color w:val="000000" w:themeColor="text1"/>
        </w:rPr>
        <w:t>r</w:t>
      </w:r>
      <w:r w:rsidRPr="008B1106">
        <w:rPr>
          <w:color w:val="000000" w:themeColor="text1"/>
        </w:rPr>
        <w:t xml:space="preserve">s10512248 is an intron variant of </w:t>
      </w:r>
      <w:r w:rsidRPr="008B1106">
        <w:rPr>
          <w:i/>
          <w:color w:val="000000" w:themeColor="text1"/>
        </w:rPr>
        <w:t>Patched1</w:t>
      </w:r>
      <w:r w:rsidRPr="008B1106">
        <w:rPr>
          <w:color w:val="000000" w:themeColor="text1"/>
        </w:rPr>
        <w:t xml:space="preserve"> or </w:t>
      </w:r>
      <w:r w:rsidRPr="008B1106">
        <w:rPr>
          <w:i/>
          <w:color w:val="000000" w:themeColor="text1"/>
        </w:rPr>
        <w:t>PTCH1</w:t>
      </w:r>
      <w:r w:rsidRPr="008B1106">
        <w:rPr>
          <w:color w:val="000000" w:themeColor="text1"/>
        </w:rPr>
        <w:t xml:space="preserve">. This gene encodes a receptor in the Hedgehog signaling pathway and plays a major role in craniofacial development </w:t>
      </w:r>
      <w:r w:rsidRPr="008B1106">
        <w:rPr>
          <w:color w:val="000000" w:themeColor="text1"/>
        </w:rPr>
        <w:fldChar w:fldCharType="begin"/>
      </w:r>
      <w:r w:rsidRPr="008B1106">
        <w:rPr>
          <w:color w:val="000000" w:themeColor="text1"/>
        </w:rPr>
        <w:instrText xml:space="preserve"> ADDIN ZOTERO_ITEM CSL_CITATION {"citationID":"3B6gBywa","properties":{"formattedCitation":"(Aoto and Trainor 2015)","plainCitation":"(Aoto and Trainor 2015)","noteIndex":0},"citationItems":[{"id":120,"uris":["http://zotero.org/users/local/C43HkY6l/items/A2ST3VE6"],"uri":["http://zotero.org/users/local/C43HkY6l/items/A2ST3VE6"],"itemData":{"id":120,"type":"article-journal","title":"Co-ordinated brain and craniofacial development depend upon Patched1/XIAP regulation of cell survival","container-title":"Human Molecular Genetics","page":"698-713","volume":"24","issue":"3","source":"academic.oup.com","abstract":"Congenital brain and craniofacial defects often occur together as a consequence of their developmental dependency on common progenitor tissue interactions and s","DOI":"10.1093/hmg/ddu489","ISSN":"0964-6906","journalAbbreviation":"Hum Mol Genet","language":"en","author":[{"family":"Aoto","given":"Kazushi"},{"family":"Trainor","given":"Paul A."}],"issued":{"date-parts":[["2015",2,1]]}}}],"schema":"https://github.com/citation-style-language/schema/raw/master/csl-citation.json"} </w:instrText>
      </w:r>
      <w:r w:rsidRPr="008B1106">
        <w:rPr>
          <w:color w:val="000000" w:themeColor="text1"/>
        </w:rPr>
        <w:fldChar w:fldCharType="separate"/>
      </w:r>
      <w:r w:rsidRPr="008B1106">
        <w:rPr>
          <w:noProof/>
          <w:color w:val="000000" w:themeColor="text1"/>
        </w:rPr>
        <w:t>(Aoto and Trainor 2015)</w:t>
      </w:r>
      <w:r w:rsidRPr="008B1106">
        <w:rPr>
          <w:color w:val="000000" w:themeColor="text1"/>
        </w:rPr>
        <w:fldChar w:fldCharType="end"/>
      </w:r>
      <w:r w:rsidRPr="008B1106">
        <w:rPr>
          <w:color w:val="000000" w:themeColor="text1"/>
        </w:rPr>
        <w:t>.</w:t>
      </w:r>
    </w:p>
    <w:p w14:paraId="2C0521A7" w14:textId="77777777" w:rsidR="001B07C1" w:rsidRPr="008B1106" w:rsidRDefault="001B07C1" w:rsidP="001B07C1">
      <w:pPr>
        <w:spacing w:line="360" w:lineRule="auto"/>
        <w:jc w:val="both"/>
        <w:rPr>
          <w:color w:val="000000" w:themeColor="text1"/>
        </w:rPr>
      </w:pPr>
      <w:r w:rsidRPr="008B1106">
        <w:rPr>
          <w:color w:val="000000" w:themeColor="text1"/>
        </w:rPr>
        <w:t xml:space="preserve">In 17q22, rs227731 </w:t>
      </w:r>
      <w:r w:rsidRPr="008B1106">
        <w:rPr>
          <w:i/>
          <w:color w:val="000000" w:themeColor="text1"/>
        </w:rPr>
        <w:t>NOG</w:t>
      </w:r>
      <w:r w:rsidRPr="008B1106">
        <w:rPr>
          <w:color w:val="000000" w:themeColor="text1"/>
        </w:rPr>
        <w:t xml:space="preserve">, which encodes a BMP antagonist. NOG has been found to play a role in neural crest formation by regulating BMP signaling </w:t>
      </w:r>
      <w:r w:rsidRPr="008B1106">
        <w:rPr>
          <w:color w:val="000000" w:themeColor="text1"/>
        </w:rPr>
        <w:fldChar w:fldCharType="begin"/>
      </w:r>
      <w:r w:rsidRPr="008B1106">
        <w:rPr>
          <w:color w:val="000000" w:themeColor="text1"/>
        </w:rPr>
        <w:instrText xml:space="preserve"> ADDIN ZOTERO_ITEM CSL_CITATION {"citationID":"MR4N6rzQ","properties":{"formattedCitation":"(Anderson et al. 2006)","plainCitation":"(Anderson et al. 2006)","noteIndex":0},"citationItems":[{"id":94,"uris":["http://zotero.org/users/local/C43HkY6l/items/L9ESYPTZ"],"uri":["http://zotero.org/users/local/C43HkY6l/items/L9ESYPTZ"],"itemData":{"id":94,"type":"article-journal","title":"Endogenous bone morphogenetic protein antagonists regulate mammalian neural crest generation and survival","container-title":"Developmental Dynamics","page":"2507-2520","volume":"235","issue":"9","source":"Wiley Online Library","abstract":"We demonstrate here that Chordin and Noggin function as bone morphogenetic protein (BMP) antagonists in vivo to promote mammalian neural crest development. Using Chrd and Nog single and compound mutants, we find that Noggin has a major role in promoting neural crest formation, in which Chordin is partially redundant. BMP signaling is increased in dorsal tissues lacking Noggin and is further increased when Chordin is also absent. The early neural crest domain is expanded with decreased BMP antagonism in vivo. Noggin and Chordin also regulate subsequent neural crest cell emigration from the neural tube. However, reduced levels of these BMP antagonists ultimately result in perturbation of neural crest cell derived peripheral nervous system and craniofacial skeletal elements. Such defects reflect, at least in part, a function to limit apoptosis in neural crest cells. Noggin and Chordin, therefore, function together to regulate both the generation and survival of neural crest cells in mammalian development. Developmental Dynamics 235:2507–2520, 2006. © 2006 Wiley-Liss, Inc.","DOI":"10.1002/dvdy.20891","ISSN":"1097-0177","language":"en","author":[{"family":"Anderson","given":"Ryan M."},{"family":"Stottmann","given":"Rolf W."},{"family":"Choi","given":"Murim"},{"family":"Klingensmith","given":"John"}],"issued":{"date-parts":[["2006",9,1]]}}}],"schema":"https://github.com/citation-style-language/schema/raw/master/csl-citation.json"} </w:instrText>
      </w:r>
      <w:r w:rsidRPr="008B1106">
        <w:rPr>
          <w:color w:val="000000" w:themeColor="text1"/>
        </w:rPr>
        <w:fldChar w:fldCharType="separate"/>
      </w:r>
      <w:r w:rsidRPr="008B1106">
        <w:rPr>
          <w:noProof/>
          <w:color w:val="000000" w:themeColor="text1"/>
        </w:rPr>
        <w:t>(Anderson et al. 2006)</w:t>
      </w:r>
      <w:r w:rsidRPr="008B1106">
        <w:rPr>
          <w:color w:val="000000" w:themeColor="text1"/>
        </w:rPr>
        <w:fldChar w:fldCharType="end"/>
      </w:r>
      <w:r w:rsidRPr="008B1106">
        <w:rPr>
          <w:color w:val="000000" w:themeColor="text1"/>
        </w:rPr>
        <w:t xml:space="preserve">. Matsui &amp; Klingensmith </w:t>
      </w:r>
      <w:r w:rsidRPr="008B1106">
        <w:rPr>
          <w:color w:val="000000" w:themeColor="text1"/>
        </w:rPr>
        <w:fldChar w:fldCharType="begin"/>
      </w:r>
      <w:r w:rsidRPr="008B1106">
        <w:rPr>
          <w:color w:val="000000" w:themeColor="text1"/>
        </w:rPr>
        <w:instrText xml:space="preserve"> ADDIN ZOTERO_ITEM CSL_CITATION {"citationID":"KhfJkAOH","properties":{"formattedCitation":"(Matsui and Klingensmith 2014)","plainCitation":"(Matsui and Klingensmith 2014)","dontUpdate":true,"noteIndex":0},"citationItems":[{"id":91,"uris":["http://zotero.org/users/local/C43HkY6l/items/4YFCSWJK"],"uri":["http://zotero.org/users/local/C43HkY6l/items/4YFCSWJK"],"itemData":{"id":91,"type":"article-journal","title":"Multiple tissue-specific requirements for the BMP antagonist Noggin in development of the mammalian craniofacial skeleton","container-title":"Developmental Biology","page":"168-181","volume":"392","issue":"2","source":"Crossref","abstract":"Proper morphogenesis is essential for both form and function of the mammalian craniofacial skeleton, which consists of more than twenty small cartilages and bones. Skeletal elements that support the oral cavity are derived from cranial neural crest cells (NCCs) that develop in the maxillary and mandibular buds of pharyngeal arch 1 (PA1). Bone Morphogenetic Protein (BMP) signaling has been implicated in most aspects of craniofacial skeletogenesis, including PA1 development. However, the roles of the BMP antagonist Noggin in formation of the craniofacial skeleton remain unclear, in part because of its multiple domains of expression during formative stages. Here we used a tissue-speciﬁc gene ablation approach to assess roles of Noggin (Nog) in two different tissue domains potentially relevant to mandibular and maxillary development. We found that the axial midline domain of Nog expression is critical to promote PA1 development in early stages, necessary for adequate outgrowth of the mandibular bud. Subsequently, Nog expression in NCCs regulates craniofacial cartilage and bone formation. Mice lacking Nog in NCCs have an enlarged mandible that results from increased cell proliferation in and around Meckel's cartilage. These mutants also show complete secondary cleft palate, most likely due to inhibition of posterior palatal shelf elevation by disrupted morphology of the developing skull base. Our ﬁndings demonstrate multiple roles of Noggin in different domains for craniofacial skeletogenesis, and suggest an indirect mechanism for secondary cleft palate in Nog mutants that may be relevant to human cleft palate as well.","DOI":"10.1016/j.ydbio.2014.06.006","ISSN":"00121606","language":"en","author":[{"family":"Matsui","given":"Maiko"},{"family":"Klingensmith","given":"John"}],"issued":{"date-parts":[["2014",8]]}}}],"schema":"https://github.com/citation-style-language/schema/raw/master/csl-citation.json"} </w:instrText>
      </w:r>
      <w:r w:rsidRPr="008B1106">
        <w:rPr>
          <w:color w:val="000000" w:themeColor="text1"/>
        </w:rPr>
        <w:fldChar w:fldCharType="separate"/>
      </w:r>
      <w:r w:rsidRPr="008B1106">
        <w:rPr>
          <w:noProof/>
          <w:color w:val="000000" w:themeColor="text1"/>
        </w:rPr>
        <w:t>(2014)</w:t>
      </w:r>
      <w:r w:rsidRPr="008B1106">
        <w:rPr>
          <w:color w:val="000000" w:themeColor="text1"/>
        </w:rPr>
        <w:fldChar w:fldCharType="end"/>
      </w:r>
      <w:r w:rsidRPr="008B1106">
        <w:rPr>
          <w:color w:val="000000" w:themeColor="text1"/>
        </w:rPr>
        <w:t xml:space="preserve"> found evidence in mouse studies that NOG</w:t>
      </w:r>
      <w:r w:rsidRPr="008B1106">
        <w:rPr>
          <w:i/>
          <w:color w:val="000000" w:themeColor="text1"/>
        </w:rPr>
        <w:t xml:space="preserve"> </w:t>
      </w:r>
      <w:r w:rsidRPr="008B1106">
        <w:rPr>
          <w:color w:val="000000" w:themeColor="text1"/>
        </w:rPr>
        <w:t xml:space="preserve">is required in neural crest cells for palatal development, and that </w:t>
      </w:r>
      <w:r w:rsidRPr="008B1106">
        <w:rPr>
          <w:i/>
          <w:color w:val="000000" w:themeColor="text1"/>
        </w:rPr>
        <w:t>NOG</w:t>
      </w:r>
      <w:r w:rsidRPr="008B1106">
        <w:rPr>
          <w:color w:val="000000" w:themeColor="text1"/>
        </w:rPr>
        <w:t xml:space="preserve"> is expressed during early craniofacial development and acts in neural crest cells to regulate mandible shape and size. </w:t>
      </w:r>
    </w:p>
    <w:p w14:paraId="15AAB9A0" w14:textId="77777777" w:rsidR="001B07C1" w:rsidRPr="001B07C1" w:rsidRDefault="001B07C1" w:rsidP="001B07C1">
      <w:pPr>
        <w:pStyle w:val="ListParagraph"/>
        <w:rPr>
          <w:b/>
        </w:rPr>
      </w:pPr>
    </w:p>
    <w:p w14:paraId="3307DC71" w14:textId="77777777" w:rsidR="001B07C1" w:rsidRPr="001B07C1" w:rsidRDefault="001B07C1" w:rsidP="001B07C1"/>
    <w:p w14:paraId="0BD18012" w14:textId="77777777" w:rsidR="001738C2" w:rsidRDefault="001738C2" w:rsidP="001738C2">
      <w:pPr>
        <w:keepNext/>
      </w:pPr>
    </w:p>
    <w:p w14:paraId="7F2ADA19" w14:textId="77777777" w:rsidR="001738C2" w:rsidRDefault="001738C2" w:rsidP="00364CCF">
      <w:pPr>
        <w:keepNext/>
      </w:pPr>
    </w:p>
    <w:p w14:paraId="29FDEDB1" w14:textId="56E87EAD" w:rsidR="003A5353" w:rsidRDefault="003A5353" w:rsidP="001B07C1">
      <w:pPr>
        <w:pStyle w:val="Heading2"/>
        <w:numPr>
          <w:ilvl w:val="0"/>
          <w:numId w:val="3"/>
        </w:numPr>
      </w:pPr>
      <w:r w:rsidRPr="0001436A">
        <w:t>Supplementary</w:t>
      </w:r>
      <w:r>
        <w:t xml:space="preserve"> Tables</w:t>
      </w:r>
    </w:p>
    <w:p w14:paraId="7F7E98C8" w14:textId="0E820842" w:rsidR="001E7C5E" w:rsidRPr="001B07C1" w:rsidRDefault="00BB077A" w:rsidP="001B07C1">
      <w:pPr>
        <w:pStyle w:val="Caption"/>
        <w:keepNext/>
        <w:rPr>
          <w:b/>
          <w:i w:val="0"/>
          <w:color w:val="000000" w:themeColor="text1"/>
        </w:rPr>
      </w:pPr>
      <w:r>
        <w:rPr>
          <w:b/>
          <w:i w:val="0"/>
          <w:color w:val="000000" w:themeColor="text1"/>
        </w:rPr>
        <w:t xml:space="preserve">Supplementary </w:t>
      </w:r>
      <w:r w:rsidR="00B42C41" w:rsidRPr="00BB077A">
        <w:rPr>
          <w:b/>
          <w:i w:val="0"/>
          <w:color w:val="000000" w:themeColor="text1"/>
        </w:rPr>
        <w:t xml:space="preserve">Table </w:t>
      </w:r>
      <w:r w:rsidR="00B42C41" w:rsidRPr="00BB077A">
        <w:rPr>
          <w:b/>
          <w:i w:val="0"/>
          <w:color w:val="000000" w:themeColor="text1"/>
        </w:rPr>
        <w:fldChar w:fldCharType="begin"/>
      </w:r>
      <w:r w:rsidR="00B42C41" w:rsidRPr="00BB077A">
        <w:rPr>
          <w:b/>
          <w:i w:val="0"/>
          <w:color w:val="000000" w:themeColor="text1"/>
        </w:rPr>
        <w:instrText xml:space="preserve"> SEQ Table \* ARABIC </w:instrText>
      </w:r>
      <w:r w:rsidR="00B42C41" w:rsidRPr="00BB077A">
        <w:rPr>
          <w:b/>
          <w:i w:val="0"/>
          <w:color w:val="000000" w:themeColor="text1"/>
        </w:rPr>
        <w:fldChar w:fldCharType="separate"/>
      </w:r>
      <w:r w:rsidR="00B42C41" w:rsidRPr="00BB077A">
        <w:rPr>
          <w:b/>
          <w:i w:val="0"/>
          <w:noProof/>
          <w:color w:val="000000" w:themeColor="text1"/>
        </w:rPr>
        <w:t>1</w:t>
      </w:r>
      <w:r w:rsidR="00B42C41" w:rsidRPr="00BB077A">
        <w:rPr>
          <w:b/>
          <w:i w:val="0"/>
          <w:color w:val="000000" w:themeColor="text1"/>
        </w:rPr>
        <w:fldChar w:fldCharType="end"/>
      </w:r>
      <w:r w:rsidR="00B42C41" w:rsidRPr="00BB077A">
        <w:rPr>
          <w:b/>
          <w:i w:val="0"/>
          <w:color w:val="000000" w:themeColor="text1"/>
        </w:rPr>
        <w:t xml:space="preserve">: </w:t>
      </w:r>
      <w:r w:rsidR="00F672BB" w:rsidRPr="008B1106">
        <w:rPr>
          <w:b/>
          <w:i w:val="0"/>
          <w:color w:val="000000" w:themeColor="text1"/>
        </w:rPr>
        <w:t>Discovery and meta</w:t>
      </w:r>
      <w:r w:rsidR="00F672BB">
        <w:rPr>
          <w:b/>
          <w:i w:val="0"/>
          <w:color w:val="000000" w:themeColor="text1"/>
        </w:rPr>
        <w:t>-analysis results of all</w:t>
      </w:r>
      <w:r w:rsidR="0092136A">
        <w:rPr>
          <w:b/>
          <w:i w:val="0"/>
          <w:color w:val="000000" w:themeColor="text1"/>
        </w:rPr>
        <w:t xml:space="preserve"> SNPs in</w:t>
      </w:r>
      <w:r w:rsidR="00F672BB" w:rsidRPr="008B1106">
        <w:rPr>
          <w:b/>
          <w:i w:val="0"/>
          <w:color w:val="000000" w:themeColor="text1"/>
        </w:rPr>
        <w:t xml:space="preserve"> </w:t>
      </w:r>
      <w:r w:rsidR="000A4872">
        <w:rPr>
          <w:b/>
          <w:i w:val="0"/>
          <w:color w:val="000000" w:themeColor="text1"/>
        </w:rPr>
        <w:t>all segments</w:t>
      </w:r>
      <w:r w:rsidR="00F672BB" w:rsidRPr="008B1106">
        <w:rPr>
          <w:b/>
          <w:i w:val="0"/>
          <w:color w:val="000000" w:themeColor="text1"/>
        </w:rPr>
        <w:t>. Minor allele &lt; major allele.</w:t>
      </w:r>
      <w:r w:rsidR="00F672BB">
        <w:rPr>
          <w:b/>
          <w:i w:val="0"/>
          <w:color w:val="000000" w:themeColor="text1"/>
        </w:rPr>
        <w:t xml:space="preserve"> CC, canonical correlation.</w:t>
      </w:r>
      <w:r w:rsidR="00F672BB" w:rsidRPr="008B1106">
        <w:rPr>
          <w:b/>
          <w:i w:val="0"/>
          <w:color w:val="000000" w:themeColor="text1"/>
        </w:rPr>
        <w:t xml:space="preserve"> The CCA-correlations are listed in the order of Pittsburgh, Penn State and ALSPAC, the same order is given for the discovery p-values and the meta-analysis p-values.</w:t>
      </w:r>
      <w:r w:rsidR="000A4872">
        <w:rPr>
          <w:b/>
          <w:i w:val="0"/>
          <w:color w:val="000000" w:themeColor="text1"/>
        </w:rPr>
        <w:t xml:space="preserve"> Supplementary Table in separate Excel File </w:t>
      </w:r>
    </w:p>
    <w:p w14:paraId="36B83D73" w14:textId="77777777" w:rsidR="00B42C41" w:rsidRPr="00B42C41" w:rsidRDefault="00B42C41" w:rsidP="00B42C41"/>
    <w:p w14:paraId="551A23F1" w14:textId="77777777" w:rsidR="00B42C41" w:rsidRPr="00B42C41" w:rsidRDefault="00B42C41" w:rsidP="00B42C41"/>
    <w:p w14:paraId="66E1B31C" w14:textId="77777777" w:rsidR="00B42C41" w:rsidRPr="00B42C41" w:rsidRDefault="00B42C41" w:rsidP="00B42C41">
      <w:pPr>
        <w:pStyle w:val="Caption"/>
        <w:keepNext/>
        <w:rPr>
          <w:b/>
          <w:i w:val="0"/>
          <w:color w:val="000000" w:themeColor="text1"/>
        </w:rPr>
      </w:pPr>
      <w:r w:rsidRPr="00B42C41">
        <w:rPr>
          <w:b/>
          <w:i w:val="0"/>
          <w:color w:val="000000" w:themeColor="text1"/>
        </w:rPr>
        <w:t xml:space="preserve">Supplementary Table </w:t>
      </w:r>
      <w:r w:rsidRPr="00B42C41">
        <w:rPr>
          <w:b/>
          <w:i w:val="0"/>
          <w:color w:val="000000" w:themeColor="text1"/>
        </w:rPr>
        <w:fldChar w:fldCharType="begin"/>
      </w:r>
      <w:r w:rsidRPr="00B42C41">
        <w:rPr>
          <w:b/>
          <w:i w:val="0"/>
          <w:color w:val="000000" w:themeColor="text1"/>
        </w:rPr>
        <w:instrText xml:space="preserve"> SEQ Table \* ARABIC </w:instrText>
      </w:r>
      <w:r w:rsidRPr="00B42C41">
        <w:rPr>
          <w:b/>
          <w:i w:val="0"/>
          <w:color w:val="000000" w:themeColor="text1"/>
        </w:rPr>
        <w:fldChar w:fldCharType="separate"/>
      </w:r>
      <w:r>
        <w:rPr>
          <w:b/>
          <w:i w:val="0"/>
          <w:noProof/>
          <w:color w:val="000000" w:themeColor="text1"/>
        </w:rPr>
        <w:t>2</w:t>
      </w:r>
      <w:r w:rsidRPr="00B42C41">
        <w:rPr>
          <w:b/>
          <w:i w:val="0"/>
          <w:color w:val="000000" w:themeColor="text1"/>
        </w:rPr>
        <w:fldChar w:fldCharType="end"/>
      </w:r>
      <w:r w:rsidRPr="00B42C41">
        <w:rPr>
          <w:b/>
          <w:i w:val="0"/>
          <w:color w:val="000000" w:themeColor="text1"/>
        </w:rPr>
        <w:t>: Linkage Disequilibrium in 1p36</w:t>
      </w:r>
      <w:r w:rsidR="00C6130F">
        <w:rPr>
          <w:b/>
          <w:i w:val="0"/>
          <w:color w:val="000000" w:themeColor="text1"/>
        </w:rPr>
        <w:t xml:space="preserve"> c</w:t>
      </w:r>
      <w:r w:rsidR="00C6130F" w:rsidRPr="00C6130F">
        <w:rPr>
          <w:b/>
          <w:i w:val="0"/>
          <w:color w:val="000000" w:themeColor="text1"/>
        </w:rPr>
        <w:t xml:space="preserve">alculated with the NCI NIH analysis tool </w:t>
      </w:r>
      <w:proofErr w:type="spellStart"/>
      <w:r w:rsidR="00C6130F" w:rsidRPr="00C6130F">
        <w:rPr>
          <w:b/>
          <w:i w:val="0"/>
          <w:color w:val="000000" w:themeColor="text1"/>
        </w:rPr>
        <w:t>LDmatrix</w:t>
      </w:r>
      <w:proofErr w:type="spellEnd"/>
      <w:r w:rsidR="00C6130F" w:rsidRPr="00C6130F">
        <w:rPr>
          <w:b/>
          <w:i w:val="0"/>
          <w:color w:val="000000" w:themeColor="text1"/>
        </w:rPr>
        <w:t xml:space="preserve"> in </w:t>
      </w:r>
      <w:proofErr w:type="spellStart"/>
      <w:r w:rsidR="00C6130F" w:rsidRPr="00C6130F">
        <w:rPr>
          <w:b/>
          <w:i w:val="0"/>
          <w:color w:val="000000" w:themeColor="text1"/>
        </w:rPr>
        <w:t>LDlink</w:t>
      </w:r>
      <w:proofErr w:type="spellEnd"/>
      <w:r w:rsidR="00C6130F" w:rsidRPr="00C6130F">
        <w:rPr>
          <w:b/>
          <w:i w:val="0"/>
          <w:color w:val="000000" w:themeColor="text1"/>
        </w:rPr>
        <w:t xml:space="preserve"> </w:t>
      </w:r>
      <w:r w:rsidR="00C6130F" w:rsidRPr="00C6130F">
        <w:rPr>
          <w:b/>
          <w:i w:val="0"/>
          <w:color w:val="000000" w:themeColor="text1"/>
        </w:rPr>
        <w:fldChar w:fldCharType="begin"/>
      </w:r>
      <w:r w:rsidR="00C6130F" w:rsidRPr="00C6130F">
        <w:rPr>
          <w:b/>
          <w:i w:val="0"/>
          <w:color w:val="000000" w:themeColor="text1"/>
        </w:rPr>
        <w:instrText xml:space="preserve"> ADDIN ZOTERO_ITEM CSL_CITATION {"citationID":"TEUscvB3","properties":{"formattedCitation":"(Machiela and Chanock 2015)","plainCitation":"(Machiela and Chanock 2015)","noteIndex":0},"citationItems":[{"id":6,"uris":["http://zotero.org/users/local/C43HkY6l/items/SSIMFRXA"],"uri":["http://zotero.org/users/local/C43HkY6l/items/SSIMFRXA"],"itemData":{"id":6,"type":"article-journal","title":"LDlink: a web-based application for exploring population-specific haplotype structure and linking correlated alleles of possible functional variants","container-title":"Bioinformatics","page":"3555-3557","volume":"31","issue":"21","source":"PubMed Central","abstract":"Summary: Assessing linkage disequilibrium (LD) across ancestral populations is a powerful approach for investigating population-specific genetic structure as well as functionally mapping regions of disease susceptibility. Here, we present LDlink, a web-based collection of bioinformatic modules that query single nucleotide polymorphisms (SNPs) in population groups of interest to generate haplotype tables and interactive plots. Modules are designed with an emphasis on ease of use, query flexibility, and interactive visualization of results. Phase 3 haplotype data from the 1000 Genomes Project are referenced for calculating pairwise metrics of LD, searching for proxies in high LD, and enumerating all observed haplotypes. LDlink is tailored for investigators interested in mapping common and uncommon disease susceptibility loci by focusing on output linking correlated alleles and highlighting putative functional variants., Availability and implementation: LDlink is a free and publically available web tool which can be accessed at http://analysistools.nci.nih.gov/LDlink/., Contact: mitchell.machiela@nih.gov","DOI":"10.1093/bioinformatics/btv402","ISSN":"1367-4803","note":"PMID: 26139635\nPMCID: PMC4626747","shortTitle":"LDlink","journalAbbreviation":"Bioinformatics","author":[{"family":"Machiela","given":"Mitchell J."},{"family":"Chanock","given":"Stephen J."}],"issued":{"date-parts":[["2015",11,1]]}}}],"schema":"https://github.com/citation-style-language/schema/raw/master/csl-citation.json"} </w:instrText>
      </w:r>
      <w:r w:rsidR="00C6130F" w:rsidRPr="00C6130F">
        <w:rPr>
          <w:b/>
          <w:i w:val="0"/>
          <w:color w:val="000000" w:themeColor="text1"/>
        </w:rPr>
        <w:fldChar w:fldCharType="separate"/>
      </w:r>
      <w:r w:rsidR="00C6130F" w:rsidRPr="00C6130F">
        <w:rPr>
          <w:b/>
          <w:i w:val="0"/>
          <w:noProof/>
          <w:color w:val="000000" w:themeColor="text1"/>
        </w:rPr>
        <w:t>(Machiela and Chanock 2015)</w:t>
      </w:r>
      <w:r w:rsidR="00C6130F" w:rsidRPr="00C6130F">
        <w:rPr>
          <w:b/>
          <w:i w:val="0"/>
          <w:color w:val="000000" w:themeColor="text1"/>
        </w:rPr>
        <w:fldChar w:fldCharType="end"/>
      </w:r>
      <w:r w:rsidR="00C6130F">
        <w:rPr>
          <w:b/>
          <w:i w:val="0"/>
          <w:color w:val="000000" w:themeColor="text1"/>
        </w:rPr>
        <w:t>.</w:t>
      </w:r>
    </w:p>
    <w:tbl>
      <w:tblPr>
        <w:tblW w:w="7323" w:type="dxa"/>
        <w:tblLook w:val="04A0" w:firstRow="1" w:lastRow="0" w:firstColumn="1" w:lastColumn="0" w:noHBand="0" w:noVBand="1"/>
      </w:tblPr>
      <w:tblGrid>
        <w:gridCol w:w="1230"/>
        <w:gridCol w:w="756"/>
        <w:gridCol w:w="991"/>
        <w:gridCol w:w="1230"/>
        <w:gridCol w:w="1126"/>
        <w:gridCol w:w="1110"/>
        <w:gridCol w:w="880"/>
      </w:tblGrid>
      <w:tr w:rsidR="003A5353" w:rsidRPr="00BB077A" w14:paraId="15812E90" w14:textId="77777777" w:rsidTr="00B42C41">
        <w:trPr>
          <w:trHeight w:val="264"/>
        </w:trPr>
        <w:tc>
          <w:tcPr>
            <w:tcW w:w="1230" w:type="dxa"/>
            <w:tcBorders>
              <w:top w:val="nil"/>
              <w:left w:val="nil"/>
              <w:bottom w:val="nil"/>
              <w:right w:val="nil"/>
            </w:tcBorders>
            <w:shd w:val="clear" w:color="auto" w:fill="auto"/>
            <w:noWrap/>
            <w:vAlign w:val="bottom"/>
            <w:hideMark/>
          </w:tcPr>
          <w:p w14:paraId="7BA11BD9" w14:textId="77777777" w:rsidR="003A5353" w:rsidRPr="00BB077A" w:rsidRDefault="003A5353" w:rsidP="003A5353">
            <w:pPr>
              <w:rPr>
                <w:sz w:val="20"/>
                <w:szCs w:val="20"/>
              </w:rPr>
            </w:pPr>
          </w:p>
        </w:tc>
        <w:tc>
          <w:tcPr>
            <w:tcW w:w="1747" w:type="dxa"/>
            <w:gridSpan w:val="2"/>
            <w:tcBorders>
              <w:top w:val="nil"/>
              <w:left w:val="single" w:sz="4" w:space="0" w:color="auto"/>
              <w:bottom w:val="single" w:sz="4" w:space="0" w:color="auto"/>
              <w:right w:val="single" w:sz="4" w:space="0" w:color="auto"/>
            </w:tcBorders>
            <w:shd w:val="clear" w:color="auto" w:fill="auto"/>
            <w:noWrap/>
            <w:vAlign w:val="bottom"/>
            <w:hideMark/>
          </w:tcPr>
          <w:p w14:paraId="6EB65C80" w14:textId="77777777" w:rsidR="003A5353" w:rsidRPr="00BB077A" w:rsidRDefault="003A5353" w:rsidP="00B42C41">
            <w:pPr>
              <w:jc w:val="center"/>
              <w:rPr>
                <w:color w:val="000000"/>
                <w:sz w:val="20"/>
                <w:szCs w:val="20"/>
              </w:rPr>
            </w:pPr>
            <w:r w:rsidRPr="00BB077A">
              <w:rPr>
                <w:color w:val="000000"/>
                <w:sz w:val="20"/>
                <w:szCs w:val="20"/>
              </w:rPr>
              <w:t>rs9439713</w:t>
            </w:r>
          </w:p>
        </w:tc>
        <w:tc>
          <w:tcPr>
            <w:tcW w:w="2356" w:type="dxa"/>
            <w:gridSpan w:val="2"/>
            <w:tcBorders>
              <w:top w:val="nil"/>
              <w:left w:val="nil"/>
              <w:bottom w:val="single" w:sz="4" w:space="0" w:color="auto"/>
              <w:right w:val="single" w:sz="4" w:space="0" w:color="auto"/>
            </w:tcBorders>
            <w:shd w:val="clear" w:color="auto" w:fill="auto"/>
            <w:noWrap/>
            <w:vAlign w:val="bottom"/>
            <w:hideMark/>
          </w:tcPr>
          <w:p w14:paraId="65078053" w14:textId="77777777" w:rsidR="003A5353" w:rsidRPr="00BB077A" w:rsidRDefault="003A5353" w:rsidP="00B42C41">
            <w:pPr>
              <w:jc w:val="center"/>
              <w:rPr>
                <w:color w:val="000000"/>
                <w:sz w:val="20"/>
                <w:szCs w:val="20"/>
              </w:rPr>
            </w:pPr>
            <w:r w:rsidRPr="00BB077A">
              <w:rPr>
                <w:color w:val="000000"/>
                <w:sz w:val="20"/>
                <w:szCs w:val="20"/>
              </w:rPr>
              <w:t>rs4920524</w:t>
            </w:r>
          </w:p>
        </w:tc>
        <w:tc>
          <w:tcPr>
            <w:tcW w:w="1990" w:type="dxa"/>
            <w:gridSpan w:val="2"/>
            <w:tcBorders>
              <w:top w:val="nil"/>
              <w:left w:val="nil"/>
              <w:bottom w:val="single" w:sz="4" w:space="0" w:color="auto"/>
            </w:tcBorders>
            <w:shd w:val="clear" w:color="auto" w:fill="auto"/>
            <w:noWrap/>
            <w:vAlign w:val="bottom"/>
            <w:hideMark/>
          </w:tcPr>
          <w:p w14:paraId="6BD2EAA8" w14:textId="77777777" w:rsidR="003A5353" w:rsidRPr="00BB077A" w:rsidRDefault="003A5353" w:rsidP="00B42C41">
            <w:pPr>
              <w:jc w:val="center"/>
              <w:rPr>
                <w:color w:val="000000"/>
                <w:sz w:val="20"/>
                <w:szCs w:val="20"/>
              </w:rPr>
            </w:pPr>
            <w:r w:rsidRPr="00BB077A">
              <w:rPr>
                <w:color w:val="000000"/>
                <w:sz w:val="20"/>
                <w:szCs w:val="20"/>
              </w:rPr>
              <w:t>rs742071</w:t>
            </w:r>
          </w:p>
        </w:tc>
      </w:tr>
      <w:tr w:rsidR="003A5353" w:rsidRPr="00BB077A" w14:paraId="5EE11E90" w14:textId="77777777" w:rsidTr="00B42C41">
        <w:trPr>
          <w:trHeight w:val="264"/>
        </w:trPr>
        <w:tc>
          <w:tcPr>
            <w:tcW w:w="1230" w:type="dxa"/>
            <w:tcBorders>
              <w:top w:val="nil"/>
              <w:left w:val="nil"/>
              <w:bottom w:val="nil"/>
              <w:right w:val="nil"/>
            </w:tcBorders>
            <w:shd w:val="clear" w:color="auto" w:fill="auto"/>
            <w:noWrap/>
            <w:vAlign w:val="bottom"/>
            <w:hideMark/>
          </w:tcPr>
          <w:p w14:paraId="17E403C9" w14:textId="77777777" w:rsidR="003A5353" w:rsidRPr="00BB077A" w:rsidRDefault="003A5353" w:rsidP="003A5353">
            <w:pPr>
              <w:rPr>
                <w:sz w:val="20"/>
                <w:szCs w:val="20"/>
              </w:rPr>
            </w:pPr>
          </w:p>
        </w:tc>
        <w:tc>
          <w:tcPr>
            <w:tcW w:w="756" w:type="dxa"/>
            <w:tcBorders>
              <w:top w:val="single" w:sz="4" w:space="0" w:color="auto"/>
              <w:left w:val="single" w:sz="4" w:space="0" w:color="auto"/>
              <w:bottom w:val="single" w:sz="4" w:space="0" w:color="auto"/>
              <w:right w:val="nil"/>
            </w:tcBorders>
            <w:shd w:val="clear" w:color="auto" w:fill="auto"/>
            <w:noWrap/>
            <w:vAlign w:val="bottom"/>
            <w:hideMark/>
          </w:tcPr>
          <w:p w14:paraId="2171F5B6" w14:textId="77777777" w:rsidR="003A5353" w:rsidRPr="00BB077A" w:rsidRDefault="003A5353" w:rsidP="00B42C41">
            <w:pPr>
              <w:jc w:val="center"/>
              <w:rPr>
                <w:color w:val="000000"/>
                <w:sz w:val="20"/>
                <w:szCs w:val="20"/>
              </w:rPr>
            </w:pPr>
            <w:r w:rsidRPr="00BB077A">
              <w:rPr>
                <w:color w:val="000000"/>
                <w:sz w:val="20"/>
                <w:szCs w:val="20"/>
              </w:rPr>
              <w:t>D'</w:t>
            </w:r>
          </w:p>
        </w:tc>
        <w:tc>
          <w:tcPr>
            <w:tcW w:w="991" w:type="dxa"/>
            <w:tcBorders>
              <w:top w:val="single" w:sz="4" w:space="0" w:color="auto"/>
              <w:left w:val="nil"/>
              <w:bottom w:val="single" w:sz="4" w:space="0" w:color="auto"/>
              <w:right w:val="single" w:sz="4" w:space="0" w:color="auto"/>
            </w:tcBorders>
            <w:shd w:val="clear" w:color="auto" w:fill="auto"/>
            <w:noWrap/>
            <w:vAlign w:val="bottom"/>
            <w:hideMark/>
          </w:tcPr>
          <w:p w14:paraId="2BEC09BB" w14:textId="77777777" w:rsidR="003A5353" w:rsidRPr="00BB077A" w:rsidRDefault="003A5353" w:rsidP="00B42C41">
            <w:pPr>
              <w:jc w:val="center"/>
              <w:rPr>
                <w:color w:val="000000"/>
                <w:sz w:val="20"/>
                <w:szCs w:val="20"/>
              </w:rPr>
            </w:pPr>
            <w:r w:rsidRPr="00BB077A">
              <w:rPr>
                <w:color w:val="000000"/>
                <w:sz w:val="20"/>
                <w:szCs w:val="20"/>
              </w:rPr>
              <w:t>R</w:t>
            </w:r>
            <w:r w:rsidRPr="00BB077A">
              <w:rPr>
                <w:color w:val="000000"/>
                <w:sz w:val="20"/>
                <w:szCs w:val="20"/>
                <w:vertAlign w:val="superscript"/>
              </w:rPr>
              <w:t>2</w:t>
            </w:r>
          </w:p>
        </w:tc>
        <w:tc>
          <w:tcPr>
            <w:tcW w:w="1230" w:type="dxa"/>
            <w:tcBorders>
              <w:top w:val="single" w:sz="4" w:space="0" w:color="auto"/>
              <w:left w:val="nil"/>
              <w:bottom w:val="single" w:sz="4" w:space="0" w:color="auto"/>
              <w:right w:val="nil"/>
            </w:tcBorders>
            <w:shd w:val="clear" w:color="auto" w:fill="auto"/>
            <w:noWrap/>
            <w:vAlign w:val="bottom"/>
            <w:hideMark/>
          </w:tcPr>
          <w:p w14:paraId="193E10C5" w14:textId="77777777" w:rsidR="003A5353" w:rsidRPr="00BB077A" w:rsidRDefault="003A5353" w:rsidP="00B42C41">
            <w:pPr>
              <w:jc w:val="center"/>
              <w:rPr>
                <w:color w:val="000000"/>
                <w:sz w:val="20"/>
                <w:szCs w:val="20"/>
              </w:rPr>
            </w:pPr>
            <w:r w:rsidRPr="00BB077A">
              <w:rPr>
                <w:color w:val="000000"/>
                <w:sz w:val="20"/>
                <w:szCs w:val="20"/>
              </w:rPr>
              <w:t>D'</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7D161421" w14:textId="77777777" w:rsidR="003A5353" w:rsidRPr="00BB077A" w:rsidRDefault="003A5353" w:rsidP="00B42C41">
            <w:pPr>
              <w:jc w:val="center"/>
              <w:rPr>
                <w:color w:val="000000"/>
                <w:sz w:val="20"/>
                <w:szCs w:val="20"/>
              </w:rPr>
            </w:pPr>
            <w:r w:rsidRPr="00BB077A">
              <w:rPr>
                <w:color w:val="000000"/>
                <w:sz w:val="20"/>
                <w:szCs w:val="20"/>
              </w:rPr>
              <w:t>R</w:t>
            </w:r>
            <w:r w:rsidRPr="00BB077A">
              <w:rPr>
                <w:color w:val="000000"/>
                <w:sz w:val="20"/>
                <w:szCs w:val="20"/>
                <w:vertAlign w:val="superscript"/>
              </w:rPr>
              <w:t>2</w:t>
            </w:r>
          </w:p>
        </w:tc>
        <w:tc>
          <w:tcPr>
            <w:tcW w:w="1110" w:type="dxa"/>
            <w:tcBorders>
              <w:top w:val="single" w:sz="4" w:space="0" w:color="auto"/>
              <w:left w:val="nil"/>
              <w:bottom w:val="single" w:sz="4" w:space="0" w:color="auto"/>
              <w:right w:val="nil"/>
            </w:tcBorders>
            <w:shd w:val="clear" w:color="auto" w:fill="auto"/>
            <w:noWrap/>
            <w:vAlign w:val="bottom"/>
            <w:hideMark/>
          </w:tcPr>
          <w:p w14:paraId="530F2987" w14:textId="77777777" w:rsidR="003A5353" w:rsidRPr="00BB077A" w:rsidRDefault="003A5353" w:rsidP="00B42C41">
            <w:pPr>
              <w:jc w:val="center"/>
              <w:rPr>
                <w:color w:val="000000"/>
                <w:sz w:val="20"/>
                <w:szCs w:val="20"/>
              </w:rPr>
            </w:pPr>
            <w:r w:rsidRPr="00BB077A">
              <w:rPr>
                <w:color w:val="000000"/>
                <w:sz w:val="20"/>
                <w:szCs w:val="20"/>
              </w:rPr>
              <w:t>D'</w:t>
            </w:r>
          </w:p>
        </w:tc>
        <w:tc>
          <w:tcPr>
            <w:tcW w:w="880" w:type="dxa"/>
            <w:tcBorders>
              <w:top w:val="single" w:sz="4" w:space="0" w:color="auto"/>
              <w:left w:val="nil"/>
              <w:bottom w:val="single" w:sz="4" w:space="0" w:color="auto"/>
            </w:tcBorders>
            <w:shd w:val="clear" w:color="auto" w:fill="auto"/>
            <w:noWrap/>
            <w:vAlign w:val="bottom"/>
            <w:hideMark/>
          </w:tcPr>
          <w:p w14:paraId="07B8FD7B" w14:textId="77777777" w:rsidR="003A5353" w:rsidRPr="00BB077A" w:rsidRDefault="003A5353" w:rsidP="00B42C41">
            <w:pPr>
              <w:jc w:val="center"/>
              <w:rPr>
                <w:color w:val="000000"/>
                <w:sz w:val="20"/>
                <w:szCs w:val="20"/>
              </w:rPr>
            </w:pPr>
            <w:r w:rsidRPr="00BB077A">
              <w:rPr>
                <w:color w:val="000000"/>
                <w:sz w:val="20"/>
                <w:szCs w:val="20"/>
              </w:rPr>
              <w:t>R</w:t>
            </w:r>
            <w:r w:rsidRPr="00BB077A">
              <w:rPr>
                <w:color w:val="000000"/>
                <w:sz w:val="20"/>
                <w:szCs w:val="20"/>
                <w:vertAlign w:val="superscript"/>
              </w:rPr>
              <w:t>2</w:t>
            </w:r>
          </w:p>
        </w:tc>
      </w:tr>
      <w:tr w:rsidR="003A5353" w:rsidRPr="00BB077A" w14:paraId="7FD37F40" w14:textId="77777777" w:rsidTr="003A5353">
        <w:trPr>
          <w:trHeight w:val="264"/>
        </w:trPr>
        <w:tc>
          <w:tcPr>
            <w:tcW w:w="1230" w:type="dxa"/>
            <w:tcBorders>
              <w:top w:val="single" w:sz="4" w:space="0" w:color="auto"/>
              <w:left w:val="nil"/>
              <w:bottom w:val="nil"/>
              <w:right w:val="single" w:sz="4" w:space="0" w:color="auto"/>
            </w:tcBorders>
            <w:shd w:val="clear" w:color="auto" w:fill="auto"/>
            <w:noWrap/>
            <w:vAlign w:val="bottom"/>
            <w:hideMark/>
          </w:tcPr>
          <w:p w14:paraId="7D5E7411" w14:textId="77777777" w:rsidR="003A5353" w:rsidRPr="00BB077A" w:rsidRDefault="003A5353" w:rsidP="003A5353">
            <w:pPr>
              <w:rPr>
                <w:color w:val="000000"/>
                <w:sz w:val="20"/>
                <w:szCs w:val="20"/>
              </w:rPr>
            </w:pPr>
            <w:r w:rsidRPr="00BB077A">
              <w:rPr>
                <w:color w:val="000000"/>
                <w:sz w:val="20"/>
                <w:szCs w:val="20"/>
              </w:rPr>
              <w:t>rs9439713</w:t>
            </w:r>
          </w:p>
        </w:tc>
        <w:tc>
          <w:tcPr>
            <w:tcW w:w="756" w:type="dxa"/>
            <w:tcBorders>
              <w:top w:val="single" w:sz="4" w:space="0" w:color="auto"/>
              <w:left w:val="nil"/>
              <w:bottom w:val="nil"/>
              <w:right w:val="nil"/>
            </w:tcBorders>
            <w:shd w:val="clear" w:color="auto" w:fill="auto"/>
            <w:noWrap/>
            <w:vAlign w:val="bottom"/>
            <w:hideMark/>
          </w:tcPr>
          <w:p w14:paraId="2B97B6C0" w14:textId="77777777" w:rsidR="003A5353" w:rsidRPr="00BB077A" w:rsidRDefault="003A5353" w:rsidP="00B42C41">
            <w:pPr>
              <w:jc w:val="center"/>
              <w:rPr>
                <w:color w:val="000000"/>
                <w:sz w:val="20"/>
                <w:szCs w:val="20"/>
              </w:rPr>
            </w:pPr>
            <w:r w:rsidRPr="00BB077A">
              <w:rPr>
                <w:color w:val="000000"/>
                <w:sz w:val="20"/>
                <w:szCs w:val="20"/>
              </w:rPr>
              <w:t>1.0</w:t>
            </w:r>
          </w:p>
        </w:tc>
        <w:tc>
          <w:tcPr>
            <w:tcW w:w="991" w:type="dxa"/>
            <w:tcBorders>
              <w:top w:val="single" w:sz="4" w:space="0" w:color="auto"/>
              <w:left w:val="nil"/>
              <w:bottom w:val="nil"/>
              <w:right w:val="single" w:sz="4" w:space="0" w:color="auto"/>
            </w:tcBorders>
            <w:shd w:val="clear" w:color="auto" w:fill="auto"/>
            <w:noWrap/>
            <w:vAlign w:val="bottom"/>
            <w:hideMark/>
          </w:tcPr>
          <w:p w14:paraId="764A9FEA" w14:textId="77777777" w:rsidR="003A5353" w:rsidRPr="00BB077A" w:rsidRDefault="003A5353" w:rsidP="00B42C41">
            <w:pPr>
              <w:jc w:val="center"/>
              <w:rPr>
                <w:color w:val="000000"/>
                <w:sz w:val="20"/>
                <w:szCs w:val="20"/>
              </w:rPr>
            </w:pPr>
            <w:r w:rsidRPr="00BB077A">
              <w:rPr>
                <w:color w:val="000000"/>
                <w:sz w:val="20"/>
                <w:szCs w:val="20"/>
              </w:rPr>
              <w:t>1.0</w:t>
            </w:r>
          </w:p>
        </w:tc>
        <w:tc>
          <w:tcPr>
            <w:tcW w:w="1230" w:type="dxa"/>
            <w:tcBorders>
              <w:top w:val="single" w:sz="4" w:space="0" w:color="auto"/>
              <w:left w:val="nil"/>
              <w:bottom w:val="nil"/>
              <w:right w:val="nil"/>
            </w:tcBorders>
            <w:shd w:val="clear" w:color="auto" w:fill="auto"/>
            <w:noWrap/>
            <w:vAlign w:val="bottom"/>
            <w:hideMark/>
          </w:tcPr>
          <w:p w14:paraId="27E5CEBE" w14:textId="77777777" w:rsidR="003A5353" w:rsidRPr="00BB077A" w:rsidRDefault="003A5353" w:rsidP="00B42C41">
            <w:pPr>
              <w:jc w:val="center"/>
              <w:rPr>
                <w:color w:val="000000"/>
                <w:sz w:val="20"/>
                <w:szCs w:val="20"/>
              </w:rPr>
            </w:pPr>
            <w:r w:rsidRPr="00BB077A">
              <w:rPr>
                <w:color w:val="000000"/>
                <w:sz w:val="20"/>
                <w:szCs w:val="20"/>
              </w:rPr>
              <w:t>0.992</w:t>
            </w:r>
          </w:p>
        </w:tc>
        <w:tc>
          <w:tcPr>
            <w:tcW w:w="1126" w:type="dxa"/>
            <w:tcBorders>
              <w:top w:val="single" w:sz="4" w:space="0" w:color="auto"/>
              <w:left w:val="nil"/>
              <w:bottom w:val="nil"/>
              <w:right w:val="single" w:sz="4" w:space="0" w:color="auto"/>
            </w:tcBorders>
            <w:shd w:val="clear" w:color="auto" w:fill="auto"/>
            <w:noWrap/>
            <w:vAlign w:val="bottom"/>
            <w:hideMark/>
          </w:tcPr>
          <w:p w14:paraId="363916E1" w14:textId="77777777" w:rsidR="003A5353" w:rsidRPr="00BB077A" w:rsidRDefault="003A5353" w:rsidP="00B42C41">
            <w:pPr>
              <w:jc w:val="center"/>
              <w:rPr>
                <w:color w:val="000000"/>
                <w:sz w:val="20"/>
                <w:szCs w:val="20"/>
              </w:rPr>
            </w:pPr>
            <w:r w:rsidRPr="00BB077A">
              <w:rPr>
                <w:color w:val="000000"/>
                <w:sz w:val="20"/>
                <w:szCs w:val="20"/>
              </w:rPr>
              <w:t>0.984</w:t>
            </w:r>
          </w:p>
        </w:tc>
        <w:tc>
          <w:tcPr>
            <w:tcW w:w="1110" w:type="dxa"/>
            <w:tcBorders>
              <w:top w:val="single" w:sz="4" w:space="0" w:color="auto"/>
              <w:left w:val="nil"/>
              <w:bottom w:val="nil"/>
              <w:right w:val="nil"/>
            </w:tcBorders>
            <w:shd w:val="clear" w:color="auto" w:fill="auto"/>
            <w:noWrap/>
            <w:vAlign w:val="bottom"/>
            <w:hideMark/>
          </w:tcPr>
          <w:p w14:paraId="472F96FF" w14:textId="77777777" w:rsidR="003A5353" w:rsidRPr="00BB077A" w:rsidRDefault="003A5353" w:rsidP="00B42C41">
            <w:pPr>
              <w:jc w:val="center"/>
              <w:rPr>
                <w:color w:val="000000"/>
                <w:sz w:val="20"/>
                <w:szCs w:val="20"/>
              </w:rPr>
            </w:pPr>
            <w:r w:rsidRPr="00BB077A">
              <w:rPr>
                <w:color w:val="000000"/>
                <w:sz w:val="20"/>
                <w:szCs w:val="20"/>
              </w:rPr>
              <w:t>0.991</w:t>
            </w:r>
          </w:p>
        </w:tc>
        <w:tc>
          <w:tcPr>
            <w:tcW w:w="880" w:type="dxa"/>
            <w:tcBorders>
              <w:top w:val="single" w:sz="4" w:space="0" w:color="auto"/>
              <w:left w:val="nil"/>
              <w:bottom w:val="nil"/>
              <w:right w:val="nil"/>
            </w:tcBorders>
            <w:shd w:val="clear" w:color="auto" w:fill="auto"/>
            <w:noWrap/>
            <w:vAlign w:val="bottom"/>
            <w:hideMark/>
          </w:tcPr>
          <w:p w14:paraId="07C085A3" w14:textId="77777777" w:rsidR="003A5353" w:rsidRPr="00BB077A" w:rsidRDefault="003A5353" w:rsidP="00B42C41">
            <w:pPr>
              <w:jc w:val="center"/>
              <w:rPr>
                <w:color w:val="000000"/>
                <w:sz w:val="20"/>
                <w:szCs w:val="20"/>
              </w:rPr>
            </w:pPr>
            <w:r w:rsidRPr="00BB077A">
              <w:rPr>
                <w:color w:val="000000"/>
                <w:sz w:val="20"/>
                <w:szCs w:val="20"/>
              </w:rPr>
              <w:t>0.873</w:t>
            </w:r>
          </w:p>
        </w:tc>
      </w:tr>
      <w:tr w:rsidR="003A5353" w:rsidRPr="00BB077A" w14:paraId="2CA51936" w14:textId="77777777" w:rsidTr="003A5353">
        <w:trPr>
          <w:trHeight w:val="264"/>
        </w:trPr>
        <w:tc>
          <w:tcPr>
            <w:tcW w:w="1230" w:type="dxa"/>
            <w:tcBorders>
              <w:top w:val="nil"/>
              <w:left w:val="nil"/>
              <w:bottom w:val="nil"/>
              <w:right w:val="single" w:sz="4" w:space="0" w:color="auto"/>
            </w:tcBorders>
            <w:shd w:val="clear" w:color="auto" w:fill="auto"/>
            <w:noWrap/>
            <w:vAlign w:val="bottom"/>
            <w:hideMark/>
          </w:tcPr>
          <w:p w14:paraId="6FC5AD90" w14:textId="77777777" w:rsidR="003A5353" w:rsidRPr="00BB077A" w:rsidRDefault="003A5353" w:rsidP="003A5353">
            <w:pPr>
              <w:rPr>
                <w:color w:val="000000"/>
                <w:sz w:val="20"/>
                <w:szCs w:val="20"/>
              </w:rPr>
            </w:pPr>
            <w:r w:rsidRPr="00BB077A">
              <w:rPr>
                <w:color w:val="000000"/>
                <w:sz w:val="20"/>
                <w:szCs w:val="20"/>
              </w:rPr>
              <w:t>rs4920524</w:t>
            </w:r>
          </w:p>
        </w:tc>
        <w:tc>
          <w:tcPr>
            <w:tcW w:w="756" w:type="dxa"/>
            <w:tcBorders>
              <w:top w:val="nil"/>
              <w:left w:val="nil"/>
              <w:bottom w:val="nil"/>
              <w:right w:val="nil"/>
            </w:tcBorders>
            <w:shd w:val="clear" w:color="auto" w:fill="auto"/>
            <w:noWrap/>
            <w:vAlign w:val="bottom"/>
            <w:hideMark/>
          </w:tcPr>
          <w:p w14:paraId="0DA05C23" w14:textId="77777777" w:rsidR="003A5353" w:rsidRPr="00BB077A" w:rsidRDefault="003A5353" w:rsidP="00B42C41">
            <w:pPr>
              <w:jc w:val="center"/>
              <w:rPr>
                <w:color w:val="000000"/>
                <w:sz w:val="20"/>
                <w:szCs w:val="20"/>
              </w:rPr>
            </w:pPr>
            <w:r w:rsidRPr="00BB077A">
              <w:rPr>
                <w:color w:val="000000"/>
                <w:sz w:val="20"/>
                <w:szCs w:val="20"/>
              </w:rPr>
              <w:t>0.992</w:t>
            </w:r>
          </w:p>
        </w:tc>
        <w:tc>
          <w:tcPr>
            <w:tcW w:w="991" w:type="dxa"/>
            <w:tcBorders>
              <w:top w:val="nil"/>
              <w:left w:val="nil"/>
              <w:bottom w:val="nil"/>
              <w:right w:val="single" w:sz="4" w:space="0" w:color="auto"/>
            </w:tcBorders>
            <w:shd w:val="clear" w:color="auto" w:fill="auto"/>
            <w:noWrap/>
            <w:vAlign w:val="bottom"/>
            <w:hideMark/>
          </w:tcPr>
          <w:p w14:paraId="5BFB50B4" w14:textId="77777777" w:rsidR="003A5353" w:rsidRPr="00BB077A" w:rsidRDefault="003A5353" w:rsidP="00B42C41">
            <w:pPr>
              <w:jc w:val="center"/>
              <w:rPr>
                <w:color w:val="000000"/>
                <w:sz w:val="20"/>
                <w:szCs w:val="20"/>
              </w:rPr>
            </w:pPr>
            <w:r w:rsidRPr="00BB077A">
              <w:rPr>
                <w:color w:val="000000"/>
                <w:sz w:val="20"/>
                <w:szCs w:val="20"/>
              </w:rPr>
              <w:t>0.984</w:t>
            </w:r>
          </w:p>
        </w:tc>
        <w:tc>
          <w:tcPr>
            <w:tcW w:w="1230" w:type="dxa"/>
            <w:tcBorders>
              <w:top w:val="nil"/>
              <w:left w:val="nil"/>
              <w:bottom w:val="nil"/>
              <w:right w:val="nil"/>
            </w:tcBorders>
            <w:shd w:val="clear" w:color="auto" w:fill="auto"/>
            <w:noWrap/>
            <w:vAlign w:val="bottom"/>
            <w:hideMark/>
          </w:tcPr>
          <w:p w14:paraId="5353E6C0" w14:textId="77777777" w:rsidR="003A5353" w:rsidRPr="00BB077A" w:rsidRDefault="003A5353" w:rsidP="00B42C41">
            <w:pPr>
              <w:jc w:val="center"/>
              <w:rPr>
                <w:color w:val="000000"/>
                <w:sz w:val="20"/>
                <w:szCs w:val="20"/>
              </w:rPr>
            </w:pPr>
            <w:r w:rsidRPr="00BB077A">
              <w:rPr>
                <w:color w:val="000000"/>
                <w:sz w:val="20"/>
                <w:szCs w:val="20"/>
              </w:rPr>
              <w:t>1.0</w:t>
            </w:r>
          </w:p>
        </w:tc>
        <w:tc>
          <w:tcPr>
            <w:tcW w:w="1126" w:type="dxa"/>
            <w:tcBorders>
              <w:top w:val="nil"/>
              <w:left w:val="nil"/>
              <w:bottom w:val="nil"/>
              <w:right w:val="single" w:sz="4" w:space="0" w:color="auto"/>
            </w:tcBorders>
            <w:shd w:val="clear" w:color="auto" w:fill="auto"/>
            <w:noWrap/>
            <w:vAlign w:val="bottom"/>
            <w:hideMark/>
          </w:tcPr>
          <w:p w14:paraId="54C83A07" w14:textId="77777777" w:rsidR="003A5353" w:rsidRPr="00BB077A" w:rsidRDefault="003A5353" w:rsidP="00B42C41">
            <w:pPr>
              <w:jc w:val="center"/>
              <w:rPr>
                <w:color w:val="000000"/>
                <w:sz w:val="20"/>
                <w:szCs w:val="20"/>
              </w:rPr>
            </w:pPr>
            <w:r w:rsidRPr="00BB077A">
              <w:rPr>
                <w:color w:val="000000"/>
                <w:sz w:val="20"/>
                <w:szCs w:val="20"/>
              </w:rPr>
              <w:t>1.0</w:t>
            </w:r>
          </w:p>
        </w:tc>
        <w:tc>
          <w:tcPr>
            <w:tcW w:w="1110" w:type="dxa"/>
            <w:tcBorders>
              <w:top w:val="nil"/>
              <w:left w:val="nil"/>
              <w:bottom w:val="nil"/>
              <w:right w:val="nil"/>
            </w:tcBorders>
            <w:shd w:val="clear" w:color="auto" w:fill="auto"/>
            <w:noWrap/>
            <w:vAlign w:val="bottom"/>
            <w:hideMark/>
          </w:tcPr>
          <w:p w14:paraId="2066F610" w14:textId="77777777" w:rsidR="003A5353" w:rsidRPr="00BB077A" w:rsidRDefault="003A5353" w:rsidP="00B42C41">
            <w:pPr>
              <w:jc w:val="center"/>
              <w:rPr>
                <w:color w:val="000000"/>
                <w:sz w:val="20"/>
                <w:szCs w:val="20"/>
              </w:rPr>
            </w:pPr>
            <w:r w:rsidRPr="00BB077A">
              <w:rPr>
                <w:color w:val="000000"/>
                <w:sz w:val="20"/>
                <w:szCs w:val="20"/>
              </w:rPr>
              <w:t>1.0</w:t>
            </w:r>
          </w:p>
        </w:tc>
        <w:tc>
          <w:tcPr>
            <w:tcW w:w="880" w:type="dxa"/>
            <w:tcBorders>
              <w:top w:val="nil"/>
              <w:left w:val="nil"/>
              <w:bottom w:val="nil"/>
              <w:right w:val="nil"/>
            </w:tcBorders>
            <w:shd w:val="clear" w:color="auto" w:fill="auto"/>
            <w:noWrap/>
            <w:vAlign w:val="bottom"/>
            <w:hideMark/>
          </w:tcPr>
          <w:p w14:paraId="28FA7D49" w14:textId="77777777" w:rsidR="003A5353" w:rsidRPr="00BB077A" w:rsidRDefault="003A5353" w:rsidP="00B42C41">
            <w:pPr>
              <w:jc w:val="center"/>
              <w:rPr>
                <w:color w:val="000000"/>
                <w:sz w:val="20"/>
                <w:szCs w:val="20"/>
              </w:rPr>
            </w:pPr>
            <w:r w:rsidRPr="00BB077A">
              <w:rPr>
                <w:color w:val="000000"/>
                <w:sz w:val="20"/>
                <w:szCs w:val="20"/>
              </w:rPr>
              <w:t>0.888</w:t>
            </w:r>
          </w:p>
        </w:tc>
      </w:tr>
      <w:tr w:rsidR="003A5353" w:rsidRPr="00BB077A" w14:paraId="34350A53" w14:textId="77777777" w:rsidTr="003A5353">
        <w:trPr>
          <w:trHeight w:val="264"/>
        </w:trPr>
        <w:tc>
          <w:tcPr>
            <w:tcW w:w="1230" w:type="dxa"/>
            <w:tcBorders>
              <w:top w:val="nil"/>
              <w:left w:val="nil"/>
              <w:bottom w:val="nil"/>
              <w:right w:val="single" w:sz="4" w:space="0" w:color="auto"/>
            </w:tcBorders>
            <w:shd w:val="clear" w:color="auto" w:fill="auto"/>
            <w:noWrap/>
            <w:vAlign w:val="bottom"/>
            <w:hideMark/>
          </w:tcPr>
          <w:p w14:paraId="54C4EF3A" w14:textId="77777777" w:rsidR="003A5353" w:rsidRPr="00BB077A" w:rsidRDefault="003A5353" w:rsidP="003A5353">
            <w:pPr>
              <w:rPr>
                <w:color w:val="000000"/>
                <w:sz w:val="20"/>
                <w:szCs w:val="20"/>
              </w:rPr>
            </w:pPr>
            <w:r w:rsidRPr="00BB077A">
              <w:rPr>
                <w:color w:val="000000"/>
                <w:sz w:val="20"/>
                <w:szCs w:val="20"/>
              </w:rPr>
              <w:t>rs742071</w:t>
            </w:r>
          </w:p>
        </w:tc>
        <w:tc>
          <w:tcPr>
            <w:tcW w:w="756" w:type="dxa"/>
            <w:tcBorders>
              <w:top w:val="nil"/>
              <w:left w:val="nil"/>
              <w:bottom w:val="nil"/>
              <w:right w:val="nil"/>
            </w:tcBorders>
            <w:shd w:val="clear" w:color="auto" w:fill="auto"/>
            <w:noWrap/>
            <w:vAlign w:val="bottom"/>
            <w:hideMark/>
          </w:tcPr>
          <w:p w14:paraId="221A7045" w14:textId="77777777" w:rsidR="003A5353" w:rsidRPr="00BB077A" w:rsidRDefault="003A5353" w:rsidP="00B42C41">
            <w:pPr>
              <w:jc w:val="center"/>
              <w:rPr>
                <w:color w:val="000000"/>
                <w:sz w:val="20"/>
                <w:szCs w:val="20"/>
              </w:rPr>
            </w:pPr>
            <w:r w:rsidRPr="00BB077A">
              <w:rPr>
                <w:color w:val="000000"/>
                <w:sz w:val="20"/>
                <w:szCs w:val="20"/>
              </w:rPr>
              <w:t>0.991</w:t>
            </w:r>
          </w:p>
        </w:tc>
        <w:tc>
          <w:tcPr>
            <w:tcW w:w="991" w:type="dxa"/>
            <w:tcBorders>
              <w:top w:val="nil"/>
              <w:left w:val="nil"/>
              <w:bottom w:val="nil"/>
              <w:right w:val="single" w:sz="4" w:space="0" w:color="auto"/>
            </w:tcBorders>
            <w:shd w:val="clear" w:color="auto" w:fill="auto"/>
            <w:noWrap/>
            <w:vAlign w:val="bottom"/>
            <w:hideMark/>
          </w:tcPr>
          <w:p w14:paraId="6B51C5A1" w14:textId="77777777" w:rsidR="003A5353" w:rsidRPr="00BB077A" w:rsidRDefault="003A5353" w:rsidP="00B42C41">
            <w:pPr>
              <w:jc w:val="center"/>
              <w:rPr>
                <w:color w:val="000000"/>
                <w:sz w:val="20"/>
                <w:szCs w:val="20"/>
              </w:rPr>
            </w:pPr>
            <w:r w:rsidRPr="00BB077A">
              <w:rPr>
                <w:color w:val="000000"/>
                <w:sz w:val="20"/>
                <w:szCs w:val="20"/>
              </w:rPr>
              <w:t>0.873</w:t>
            </w:r>
          </w:p>
        </w:tc>
        <w:tc>
          <w:tcPr>
            <w:tcW w:w="1230" w:type="dxa"/>
            <w:tcBorders>
              <w:top w:val="nil"/>
              <w:left w:val="nil"/>
              <w:bottom w:val="nil"/>
              <w:right w:val="nil"/>
            </w:tcBorders>
            <w:shd w:val="clear" w:color="auto" w:fill="auto"/>
            <w:noWrap/>
            <w:vAlign w:val="bottom"/>
            <w:hideMark/>
          </w:tcPr>
          <w:p w14:paraId="3B17A507" w14:textId="77777777" w:rsidR="003A5353" w:rsidRPr="00BB077A" w:rsidRDefault="003A5353" w:rsidP="00B42C41">
            <w:pPr>
              <w:jc w:val="center"/>
              <w:rPr>
                <w:color w:val="000000"/>
                <w:sz w:val="20"/>
                <w:szCs w:val="20"/>
              </w:rPr>
            </w:pPr>
            <w:r w:rsidRPr="00BB077A">
              <w:rPr>
                <w:color w:val="000000"/>
                <w:sz w:val="20"/>
                <w:szCs w:val="20"/>
              </w:rPr>
              <w:t>1.0</w:t>
            </w:r>
          </w:p>
        </w:tc>
        <w:tc>
          <w:tcPr>
            <w:tcW w:w="1126" w:type="dxa"/>
            <w:tcBorders>
              <w:top w:val="nil"/>
              <w:left w:val="nil"/>
              <w:bottom w:val="nil"/>
              <w:right w:val="single" w:sz="4" w:space="0" w:color="auto"/>
            </w:tcBorders>
            <w:shd w:val="clear" w:color="auto" w:fill="auto"/>
            <w:noWrap/>
            <w:vAlign w:val="bottom"/>
            <w:hideMark/>
          </w:tcPr>
          <w:p w14:paraId="1522DAFB" w14:textId="77777777" w:rsidR="003A5353" w:rsidRPr="00BB077A" w:rsidRDefault="003A5353" w:rsidP="00B42C41">
            <w:pPr>
              <w:jc w:val="center"/>
              <w:rPr>
                <w:color w:val="000000"/>
                <w:sz w:val="20"/>
                <w:szCs w:val="20"/>
              </w:rPr>
            </w:pPr>
            <w:r w:rsidRPr="00BB077A">
              <w:rPr>
                <w:color w:val="000000"/>
                <w:sz w:val="20"/>
                <w:szCs w:val="20"/>
              </w:rPr>
              <w:t>0.888</w:t>
            </w:r>
          </w:p>
        </w:tc>
        <w:tc>
          <w:tcPr>
            <w:tcW w:w="1110" w:type="dxa"/>
            <w:tcBorders>
              <w:top w:val="nil"/>
              <w:left w:val="nil"/>
              <w:bottom w:val="nil"/>
              <w:right w:val="nil"/>
            </w:tcBorders>
            <w:shd w:val="clear" w:color="auto" w:fill="auto"/>
            <w:noWrap/>
            <w:vAlign w:val="bottom"/>
            <w:hideMark/>
          </w:tcPr>
          <w:p w14:paraId="75379610" w14:textId="77777777" w:rsidR="003A5353" w:rsidRPr="00BB077A" w:rsidRDefault="003A5353" w:rsidP="00B42C41">
            <w:pPr>
              <w:jc w:val="center"/>
              <w:rPr>
                <w:color w:val="000000"/>
                <w:sz w:val="20"/>
                <w:szCs w:val="20"/>
              </w:rPr>
            </w:pPr>
            <w:r w:rsidRPr="00BB077A">
              <w:rPr>
                <w:color w:val="000000"/>
                <w:sz w:val="20"/>
                <w:szCs w:val="20"/>
              </w:rPr>
              <w:t>1.0</w:t>
            </w:r>
          </w:p>
        </w:tc>
        <w:tc>
          <w:tcPr>
            <w:tcW w:w="880" w:type="dxa"/>
            <w:tcBorders>
              <w:top w:val="nil"/>
              <w:left w:val="nil"/>
              <w:bottom w:val="nil"/>
              <w:right w:val="nil"/>
            </w:tcBorders>
            <w:shd w:val="clear" w:color="auto" w:fill="auto"/>
            <w:noWrap/>
            <w:vAlign w:val="bottom"/>
            <w:hideMark/>
          </w:tcPr>
          <w:p w14:paraId="7084DD91" w14:textId="77777777" w:rsidR="003A5353" w:rsidRPr="00BB077A" w:rsidRDefault="003A5353" w:rsidP="00B42C41">
            <w:pPr>
              <w:jc w:val="center"/>
              <w:rPr>
                <w:color w:val="000000"/>
                <w:sz w:val="20"/>
                <w:szCs w:val="20"/>
              </w:rPr>
            </w:pPr>
            <w:r w:rsidRPr="00BB077A">
              <w:rPr>
                <w:color w:val="000000"/>
                <w:sz w:val="20"/>
                <w:szCs w:val="20"/>
              </w:rPr>
              <w:t>1.0</w:t>
            </w:r>
          </w:p>
        </w:tc>
      </w:tr>
    </w:tbl>
    <w:p w14:paraId="71D9D55C" w14:textId="77777777" w:rsidR="003A5353" w:rsidRPr="003A5353" w:rsidRDefault="003A5353" w:rsidP="003A5353"/>
    <w:p w14:paraId="4CDB2800" w14:textId="77777777" w:rsidR="003A5353" w:rsidRPr="002B4A57" w:rsidRDefault="003A5353" w:rsidP="00364CCF">
      <w:pPr>
        <w:keepNext/>
        <w:rPr>
          <w:b/>
        </w:rPr>
      </w:pPr>
    </w:p>
    <w:p w14:paraId="0E9A7254" w14:textId="77777777" w:rsidR="00364CCF" w:rsidRPr="001549D3" w:rsidRDefault="00364CCF" w:rsidP="00364CCF">
      <w:pPr>
        <w:spacing w:before="240"/>
      </w:pPr>
    </w:p>
    <w:p w14:paraId="44907405" w14:textId="77777777" w:rsidR="0092136A" w:rsidRPr="0092136A" w:rsidRDefault="0092136A" w:rsidP="0092136A">
      <w:pPr>
        <w:pStyle w:val="Bibliography"/>
      </w:pPr>
      <w:r>
        <w:fldChar w:fldCharType="begin"/>
      </w:r>
      <w:r>
        <w:instrText xml:space="preserve"> ADDIN ZOTERO_BIBL {"uncited":[],"omitted":[],"custom":[]} CSL_BIBLIOGRAPHY </w:instrText>
      </w:r>
      <w:r>
        <w:fldChar w:fldCharType="separate"/>
      </w:r>
      <w:r w:rsidRPr="0092136A">
        <w:t xml:space="preserve">Anderson, Ryan M., Rolf W. </w:t>
      </w:r>
      <w:proofErr w:type="spellStart"/>
      <w:r w:rsidRPr="0092136A">
        <w:t>Stottmann</w:t>
      </w:r>
      <w:proofErr w:type="spellEnd"/>
      <w:r w:rsidRPr="0092136A">
        <w:t xml:space="preserve">, </w:t>
      </w:r>
      <w:proofErr w:type="spellStart"/>
      <w:r w:rsidRPr="0092136A">
        <w:t>Murim</w:t>
      </w:r>
      <w:proofErr w:type="spellEnd"/>
      <w:r w:rsidRPr="0092136A">
        <w:t xml:space="preserve"> Choi, and John Klingensmith. 2006. “Endogenous Bone Morphogenetic Protein Antagonists Regulate Mammalian Neural Crest Generation and Survival.” </w:t>
      </w:r>
      <w:r w:rsidRPr="0092136A">
        <w:rPr>
          <w:i/>
          <w:iCs/>
        </w:rPr>
        <w:t>Developmental Dynamics</w:t>
      </w:r>
      <w:r w:rsidRPr="0092136A">
        <w:t xml:space="preserve"> 235 (9): 2507–20. https://doi.org/10.1002/dvdy.20891.</w:t>
      </w:r>
    </w:p>
    <w:p w14:paraId="74BFB051" w14:textId="77777777" w:rsidR="0092136A" w:rsidRPr="0092136A" w:rsidRDefault="0092136A" w:rsidP="0092136A">
      <w:pPr>
        <w:pStyle w:val="Bibliography"/>
      </w:pPr>
      <w:proofErr w:type="spellStart"/>
      <w:r w:rsidRPr="0092136A">
        <w:t>Aoto</w:t>
      </w:r>
      <w:proofErr w:type="spellEnd"/>
      <w:r w:rsidRPr="0092136A">
        <w:t xml:space="preserve">, Kazushi, and Paul A. Trainor. 2015. “Co-Ordinated Brain and Craniofacial Development Depend upon Patched1/XIAP Regulation of Cell Survival.” </w:t>
      </w:r>
      <w:r w:rsidRPr="0092136A">
        <w:rPr>
          <w:i/>
          <w:iCs/>
        </w:rPr>
        <w:t>Human Molecular Genetics</w:t>
      </w:r>
      <w:r w:rsidRPr="0092136A">
        <w:t xml:space="preserve"> 24 (3): 698–713. https://doi.org/10.1093/hmg/ddu489.</w:t>
      </w:r>
    </w:p>
    <w:p w14:paraId="78DBFEB8" w14:textId="77777777" w:rsidR="0092136A" w:rsidRPr="0092136A" w:rsidRDefault="0092136A" w:rsidP="0092136A">
      <w:pPr>
        <w:pStyle w:val="Bibliography"/>
      </w:pPr>
      <w:proofErr w:type="spellStart"/>
      <w:r w:rsidRPr="0092136A">
        <w:t>Basch</w:t>
      </w:r>
      <w:proofErr w:type="spellEnd"/>
      <w:r w:rsidRPr="0092136A">
        <w:t>, Martín L., Mar</w:t>
      </w:r>
      <w:bookmarkStart w:id="0" w:name="_GoBack"/>
      <w:bookmarkEnd w:id="0"/>
      <w:r w:rsidRPr="0092136A">
        <w:t xml:space="preserve">ianne Bronner-Fraser, and Martín I. García-Castro. 2006. “Specification of the Neural Crest Occurs during Gastrulation and Requires Pax7.” </w:t>
      </w:r>
      <w:r w:rsidRPr="0092136A">
        <w:rPr>
          <w:i/>
          <w:iCs/>
        </w:rPr>
        <w:t>Nature</w:t>
      </w:r>
      <w:r w:rsidRPr="0092136A">
        <w:t xml:space="preserve"> 441 (7090): 218–22. https://doi.org/10.1038/nature04684.</w:t>
      </w:r>
    </w:p>
    <w:p w14:paraId="2AC7DD3E" w14:textId="77777777" w:rsidR="0092136A" w:rsidRPr="0092136A" w:rsidRDefault="0092136A" w:rsidP="0092136A">
      <w:pPr>
        <w:pStyle w:val="Bibliography"/>
      </w:pPr>
      <w:r w:rsidRPr="0092136A">
        <w:t xml:space="preserve">Day, Felix R., David A. Hinds, Joyce Y. Tung, Lisette </w:t>
      </w:r>
      <w:proofErr w:type="spellStart"/>
      <w:r w:rsidRPr="0092136A">
        <w:t>Stolk</w:t>
      </w:r>
      <w:proofErr w:type="spellEnd"/>
      <w:r w:rsidRPr="0092136A">
        <w:t xml:space="preserve">, </w:t>
      </w:r>
      <w:proofErr w:type="spellStart"/>
      <w:r w:rsidRPr="0092136A">
        <w:t>Unnur</w:t>
      </w:r>
      <w:proofErr w:type="spellEnd"/>
      <w:r w:rsidRPr="0092136A">
        <w:t xml:space="preserve"> </w:t>
      </w:r>
      <w:proofErr w:type="spellStart"/>
      <w:r w:rsidRPr="0092136A">
        <w:t>Styrkarsdottir</w:t>
      </w:r>
      <w:proofErr w:type="spellEnd"/>
      <w:r w:rsidRPr="0092136A">
        <w:t xml:space="preserve">, Richa Saxena, Andrew </w:t>
      </w:r>
      <w:proofErr w:type="spellStart"/>
      <w:r w:rsidRPr="0092136A">
        <w:t>Bjonnes</w:t>
      </w:r>
      <w:proofErr w:type="spellEnd"/>
      <w:r w:rsidRPr="0092136A">
        <w:t xml:space="preserve">, et al. 2015. “Causal Mechanisms and Balancing Selection Inferred from Genetic Associations with Polycystic Ovary Syndrome.” </w:t>
      </w:r>
      <w:r w:rsidRPr="0092136A">
        <w:rPr>
          <w:i/>
          <w:iCs/>
        </w:rPr>
        <w:t>Nature Communications</w:t>
      </w:r>
      <w:r w:rsidRPr="0092136A">
        <w:t xml:space="preserve"> 6 (September): 8464. https://doi.org/10.1038/ncomms9464.</w:t>
      </w:r>
    </w:p>
    <w:p w14:paraId="507F6BDD" w14:textId="77777777" w:rsidR="0092136A" w:rsidRPr="0092136A" w:rsidRDefault="0092136A" w:rsidP="0092136A">
      <w:pPr>
        <w:pStyle w:val="Bibliography"/>
      </w:pPr>
      <w:proofErr w:type="spellStart"/>
      <w:r w:rsidRPr="0092136A">
        <w:t>Goodarzi</w:t>
      </w:r>
      <w:proofErr w:type="spellEnd"/>
      <w:r w:rsidRPr="0092136A">
        <w:t xml:space="preserve">, Mark O., Michelle R. Jones, </w:t>
      </w:r>
      <w:proofErr w:type="spellStart"/>
      <w:r w:rsidRPr="0092136A">
        <w:t>Xiaohui</w:t>
      </w:r>
      <w:proofErr w:type="spellEnd"/>
      <w:r w:rsidRPr="0092136A">
        <w:t xml:space="preserve"> Li, Angela K. Chua, Obed A. Garcia, </w:t>
      </w:r>
      <w:proofErr w:type="spellStart"/>
      <w:r w:rsidRPr="0092136A">
        <w:t>Yii</w:t>
      </w:r>
      <w:proofErr w:type="spellEnd"/>
      <w:r w:rsidRPr="0092136A">
        <w:t xml:space="preserve">-Der I. Chen, Ronald M. Krauss, et al. 2012. “Replication of Association of DENND1A and THADA Variants with Polycystic Ovary Syndrome in European Cohorts.” </w:t>
      </w:r>
      <w:r w:rsidRPr="0092136A">
        <w:rPr>
          <w:i/>
          <w:iCs/>
        </w:rPr>
        <w:t>Journal of Medical Genetics</w:t>
      </w:r>
      <w:r w:rsidRPr="0092136A">
        <w:t xml:space="preserve"> 49 (2): 90–95. https://doi.org/10.1136/jmedgenet-2011-100427.</w:t>
      </w:r>
    </w:p>
    <w:p w14:paraId="4359DD0B" w14:textId="77777777" w:rsidR="0092136A" w:rsidRPr="0092136A" w:rsidRDefault="0092136A" w:rsidP="0092136A">
      <w:pPr>
        <w:pStyle w:val="Bibliography"/>
      </w:pPr>
      <w:proofErr w:type="spellStart"/>
      <w:r w:rsidRPr="0092136A">
        <w:t>Machiela</w:t>
      </w:r>
      <w:proofErr w:type="spellEnd"/>
      <w:r w:rsidRPr="0092136A">
        <w:t xml:space="preserve">, Mitchell J., and Stephen J. </w:t>
      </w:r>
      <w:proofErr w:type="spellStart"/>
      <w:r w:rsidRPr="0092136A">
        <w:t>Chanock</w:t>
      </w:r>
      <w:proofErr w:type="spellEnd"/>
      <w:r w:rsidRPr="0092136A">
        <w:t>. 2015. “</w:t>
      </w:r>
      <w:proofErr w:type="spellStart"/>
      <w:r w:rsidRPr="0092136A">
        <w:t>LDlink</w:t>
      </w:r>
      <w:proofErr w:type="spellEnd"/>
      <w:r w:rsidRPr="0092136A">
        <w:t xml:space="preserve">: A Web-Based Application for Exploring Population-Specific Haplotype Structure and Linking Correlated Alleles of Possible Functional Variants.” </w:t>
      </w:r>
      <w:r w:rsidRPr="0092136A">
        <w:rPr>
          <w:i/>
          <w:iCs/>
        </w:rPr>
        <w:t>Bioinformatics</w:t>
      </w:r>
      <w:r w:rsidRPr="0092136A">
        <w:t xml:space="preserve"> 31 (21): 3555–57. https://doi.org/10.1093/bioinformatics/btv402.</w:t>
      </w:r>
    </w:p>
    <w:p w14:paraId="6981CE14" w14:textId="77777777" w:rsidR="0092136A" w:rsidRPr="0092136A" w:rsidRDefault="0092136A" w:rsidP="0092136A">
      <w:pPr>
        <w:pStyle w:val="Bibliography"/>
      </w:pPr>
      <w:r w:rsidRPr="0092136A">
        <w:t xml:space="preserve">Mansouri, A., A. </w:t>
      </w:r>
      <w:proofErr w:type="spellStart"/>
      <w:r w:rsidRPr="0092136A">
        <w:t>Stoykova</w:t>
      </w:r>
      <w:proofErr w:type="spellEnd"/>
      <w:r w:rsidRPr="0092136A">
        <w:t xml:space="preserve">, M. Torres, and P. </w:t>
      </w:r>
      <w:proofErr w:type="spellStart"/>
      <w:r w:rsidRPr="0092136A">
        <w:t>Gruss</w:t>
      </w:r>
      <w:proofErr w:type="spellEnd"/>
      <w:r w:rsidRPr="0092136A">
        <w:t xml:space="preserve">. 1996. “Dysgenesis of Cephalic Neural Crest Derivatives in Pax7−/− Mutant Mice.” </w:t>
      </w:r>
      <w:r w:rsidRPr="0092136A">
        <w:rPr>
          <w:i/>
          <w:iCs/>
        </w:rPr>
        <w:t>Development</w:t>
      </w:r>
      <w:r w:rsidRPr="0092136A">
        <w:t xml:space="preserve"> 122 (3): 831–38.</w:t>
      </w:r>
    </w:p>
    <w:p w14:paraId="33CBC25D" w14:textId="77777777" w:rsidR="0092136A" w:rsidRPr="0092136A" w:rsidRDefault="0092136A" w:rsidP="0092136A">
      <w:pPr>
        <w:pStyle w:val="Bibliography"/>
      </w:pPr>
      <w:r w:rsidRPr="0092136A">
        <w:t xml:space="preserve">Matsui, Maiko, and John Klingensmith. 2014. “Multiple Tissue-Specific Requirements for the BMP Antagonist Noggin in Development of the Mammalian Craniofacial Skeleton.” </w:t>
      </w:r>
      <w:r w:rsidRPr="0092136A">
        <w:rPr>
          <w:i/>
          <w:iCs/>
        </w:rPr>
        <w:t>Developmental Biology</w:t>
      </w:r>
      <w:r w:rsidRPr="0092136A">
        <w:t xml:space="preserve"> 392 (2): 168–81. https://doi.org/10.1016/j.ydbio.2014.06.006.</w:t>
      </w:r>
    </w:p>
    <w:p w14:paraId="2AEC2F3F" w14:textId="77777777" w:rsidR="0092136A" w:rsidRPr="0092136A" w:rsidRDefault="0092136A" w:rsidP="0092136A">
      <w:pPr>
        <w:pStyle w:val="Bibliography"/>
      </w:pPr>
      <w:r w:rsidRPr="0092136A">
        <w:t xml:space="preserve">Melvin, Vida </w:t>
      </w:r>
      <w:proofErr w:type="spellStart"/>
      <w:r w:rsidRPr="0092136A">
        <w:t>Senkus</w:t>
      </w:r>
      <w:proofErr w:type="spellEnd"/>
      <w:r w:rsidRPr="0092136A">
        <w:t xml:space="preserve">, </w:t>
      </w:r>
      <w:proofErr w:type="spellStart"/>
      <w:r w:rsidRPr="0092136A">
        <w:t>Weiguo</w:t>
      </w:r>
      <w:proofErr w:type="spellEnd"/>
      <w:r w:rsidRPr="0092136A">
        <w:t xml:space="preserve"> Feng, Laura Hernandez-Lagunas, Kristin </w:t>
      </w:r>
      <w:proofErr w:type="spellStart"/>
      <w:r w:rsidRPr="0092136A">
        <w:t>Bruk</w:t>
      </w:r>
      <w:proofErr w:type="spellEnd"/>
      <w:r w:rsidRPr="0092136A">
        <w:t xml:space="preserve"> </w:t>
      </w:r>
      <w:proofErr w:type="spellStart"/>
      <w:r w:rsidRPr="0092136A">
        <w:t>Artinger</w:t>
      </w:r>
      <w:proofErr w:type="spellEnd"/>
      <w:r w:rsidRPr="0092136A">
        <w:t xml:space="preserve">, and Trevor Williams. 2013. “A Morpholino-Based Screen to Identify Novel Genes Involved in </w:t>
      </w:r>
      <w:r w:rsidRPr="0092136A">
        <w:lastRenderedPageBreak/>
        <w:t xml:space="preserve">Craniofacial Morphogenesis.” </w:t>
      </w:r>
      <w:r w:rsidRPr="0092136A">
        <w:rPr>
          <w:i/>
          <w:iCs/>
        </w:rPr>
        <w:t xml:space="preserve">Developmental </w:t>
      </w:r>
      <w:proofErr w:type="gramStart"/>
      <w:r w:rsidRPr="0092136A">
        <w:rPr>
          <w:i/>
          <w:iCs/>
        </w:rPr>
        <w:t>Dynamics :</w:t>
      </w:r>
      <w:proofErr w:type="gramEnd"/>
      <w:r w:rsidRPr="0092136A">
        <w:rPr>
          <w:i/>
          <w:iCs/>
        </w:rPr>
        <w:t xml:space="preserve"> An Official Publication of the American Association of Anatomists</w:t>
      </w:r>
      <w:r w:rsidRPr="0092136A">
        <w:t xml:space="preserve"> 242 (7): 817–31. https://doi.org/10.1002/dvdy.23969.</w:t>
      </w:r>
    </w:p>
    <w:p w14:paraId="41DD45F9" w14:textId="77777777" w:rsidR="0092136A" w:rsidRPr="0092136A" w:rsidRDefault="0092136A" w:rsidP="0092136A">
      <w:pPr>
        <w:pStyle w:val="Bibliography"/>
      </w:pPr>
      <w:proofErr w:type="spellStart"/>
      <w:r w:rsidRPr="0092136A">
        <w:t>Rippe</w:t>
      </w:r>
      <w:proofErr w:type="spellEnd"/>
      <w:r w:rsidRPr="0092136A">
        <w:t xml:space="preserve">, </w:t>
      </w:r>
      <w:proofErr w:type="spellStart"/>
      <w:r w:rsidRPr="0092136A">
        <w:t>Volkhard</w:t>
      </w:r>
      <w:proofErr w:type="spellEnd"/>
      <w:r w:rsidRPr="0092136A">
        <w:t xml:space="preserve">, Norbert </w:t>
      </w:r>
      <w:proofErr w:type="spellStart"/>
      <w:r w:rsidRPr="0092136A">
        <w:t>Drieschner</w:t>
      </w:r>
      <w:proofErr w:type="spellEnd"/>
      <w:r w:rsidRPr="0092136A">
        <w:t xml:space="preserve">, Maren </w:t>
      </w:r>
      <w:proofErr w:type="spellStart"/>
      <w:r w:rsidRPr="0092136A">
        <w:t>Meiboom</w:t>
      </w:r>
      <w:proofErr w:type="spellEnd"/>
      <w:r w:rsidRPr="0092136A">
        <w:t xml:space="preserve">, Hugo </w:t>
      </w:r>
      <w:proofErr w:type="spellStart"/>
      <w:r w:rsidRPr="0092136A">
        <w:t>Murua</w:t>
      </w:r>
      <w:proofErr w:type="spellEnd"/>
      <w:r w:rsidRPr="0092136A">
        <w:t xml:space="preserve"> Escobar, Ulrich Bonk, </w:t>
      </w:r>
      <w:proofErr w:type="spellStart"/>
      <w:r w:rsidRPr="0092136A">
        <w:t>Gazanfer</w:t>
      </w:r>
      <w:proofErr w:type="spellEnd"/>
      <w:r w:rsidRPr="0092136A">
        <w:t xml:space="preserve"> </w:t>
      </w:r>
      <w:proofErr w:type="spellStart"/>
      <w:r w:rsidRPr="0092136A">
        <w:t>Belge</w:t>
      </w:r>
      <w:proofErr w:type="spellEnd"/>
      <w:r w:rsidRPr="0092136A">
        <w:t xml:space="preserve">, and </w:t>
      </w:r>
      <w:proofErr w:type="spellStart"/>
      <w:r w:rsidRPr="0092136A">
        <w:t>Jörn</w:t>
      </w:r>
      <w:proofErr w:type="spellEnd"/>
      <w:r w:rsidRPr="0092136A">
        <w:t xml:space="preserve"> </w:t>
      </w:r>
      <w:proofErr w:type="spellStart"/>
      <w:r w:rsidRPr="0092136A">
        <w:t>Bullerdiek</w:t>
      </w:r>
      <w:proofErr w:type="spellEnd"/>
      <w:r w:rsidRPr="0092136A">
        <w:t xml:space="preserve">. 2003. “Identification of a Gene Rearranged by 2p21 Aberrations in Thyroid Adenomas.” </w:t>
      </w:r>
      <w:r w:rsidRPr="0092136A">
        <w:rPr>
          <w:i/>
          <w:iCs/>
        </w:rPr>
        <w:t>Oncogene</w:t>
      </w:r>
      <w:r w:rsidRPr="0092136A">
        <w:t xml:space="preserve"> 22 (38): 6111–14. https://doi.org/10.1038/sj.onc.1206867.</w:t>
      </w:r>
    </w:p>
    <w:p w14:paraId="60D2433D" w14:textId="77777777" w:rsidR="0092136A" w:rsidRPr="0092136A" w:rsidRDefault="0092136A" w:rsidP="0092136A">
      <w:pPr>
        <w:pStyle w:val="Bibliography"/>
      </w:pPr>
      <w:proofErr w:type="spellStart"/>
      <w:r w:rsidRPr="0092136A">
        <w:t>Satokata</w:t>
      </w:r>
      <w:proofErr w:type="spellEnd"/>
      <w:r w:rsidRPr="0092136A">
        <w:t xml:space="preserve">, I., and R. Maas. 1994. “Msx1 Deficient Mice Exhibit Cleft Palate and Abnormalities of Craniofacial and Tooth Development.” </w:t>
      </w:r>
      <w:r w:rsidRPr="0092136A">
        <w:rPr>
          <w:i/>
          <w:iCs/>
        </w:rPr>
        <w:t>Nature Genetics</w:t>
      </w:r>
      <w:r w:rsidRPr="0092136A">
        <w:t xml:space="preserve"> 6 (4): 348–56. https://doi.org/10.1038/ng0494-348.</w:t>
      </w:r>
    </w:p>
    <w:p w14:paraId="7D6A5692" w14:textId="77777777" w:rsidR="0092136A" w:rsidRPr="0092136A" w:rsidRDefault="0092136A" w:rsidP="0092136A">
      <w:pPr>
        <w:pStyle w:val="Bibliography"/>
      </w:pPr>
      <w:proofErr w:type="spellStart"/>
      <w:r w:rsidRPr="0092136A">
        <w:t>Zalc</w:t>
      </w:r>
      <w:proofErr w:type="spellEnd"/>
      <w:r w:rsidRPr="0092136A">
        <w:t xml:space="preserve">, Antoine, </w:t>
      </w:r>
      <w:proofErr w:type="spellStart"/>
      <w:r w:rsidRPr="0092136A">
        <w:t>Revital</w:t>
      </w:r>
      <w:proofErr w:type="spellEnd"/>
      <w:r w:rsidRPr="0092136A">
        <w:t xml:space="preserve"> </w:t>
      </w:r>
      <w:proofErr w:type="spellStart"/>
      <w:r w:rsidRPr="0092136A">
        <w:t>Rattenbach</w:t>
      </w:r>
      <w:proofErr w:type="spellEnd"/>
      <w:r w:rsidRPr="0092136A">
        <w:t xml:space="preserve">, Frédéric </w:t>
      </w:r>
      <w:proofErr w:type="spellStart"/>
      <w:r w:rsidRPr="0092136A">
        <w:t>Auradé</w:t>
      </w:r>
      <w:proofErr w:type="spellEnd"/>
      <w:r w:rsidRPr="0092136A">
        <w:t xml:space="preserve">, Bruno </w:t>
      </w:r>
      <w:proofErr w:type="spellStart"/>
      <w:r w:rsidRPr="0092136A">
        <w:t>Cadot</w:t>
      </w:r>
      <w:proofErr w:type="spellEnd"/>
      <w:r w:rsidRPr="0092136A">
        <w:t xml:space="preserve">, and Frédéric </w:t>
      </w:r>
      <w:proofErr w:type="spellStart"/>
      <w:r w:rsidRPr="0092136A">
        <w:t>Relaix</w:t>
      </w:r>
      <w:proofErr w:type="spellEnd"/>
      <w:r w:rsidRPr="0092136A">
        <w:t xml:space="preserve">. 2015. “Pax3 and Pax7 Play Essential Safeguard Functions against Environmental Stress-Induced Birth Defects.” </w:t>
      </w:r>
      <w:r w:rsidRPr="0092136A">
        <w:rPr>
          <w:i/>
          <w:iCs/>
        </w:rPr>
        <w:t>Developmental Cell</w:t>
      </w:r>
      <w:r w:rsidRPr="0092136A">
        <w:t xml:space="preserve"> 33 (1): 56–66. https://doi.org/10.1016/j.devcel.2015.02.006.</w:t>
      </w:r>
    </w:p>
    <w:p w14:paraId="5620AA53" w14:textId="372EDD22" w:rsidR="00B42C41" w:rsidRDefault="0092136A">
      <w:r>
        <w:fldChar w:fldCharType="end"/>
      </w:r>
    </w:p>
    <w:sectPr w:rsidR="00B42C41" w:rsidSect="00B42C41">
      <w:headerReference w:type="even" r:id="rId9"/>
      <w:footerReference w:type="even" r:id="rId10"/>
      <w:footerReference w:type="default" r:id="rId11"/>
      <w:headerReference w:type="first" r:id="rId12"/>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ACD6E9" w14:textId="77777777" w:rsidR="005A0EE5" w:rsidRDefault="005A0EE5">
      <w:r>
        <w:separator/>
      </w:r>
    </w:p>
  </w:endnote>
  <w:endnote w:type="continuationSeparator" w:id="0">
    <w:p w14:paraId="42293F5A" w14:textId="77777777" w:rsidR="005A0EE5" w:rsidRDefault="005A0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33701" w14:textId="77777777" w:rsidR="001E7C5E" w:rsidRPr="00577C4C" w:rsidRDefault="001E7C5E">
    <w:pPr>
      <w:rPr>
        <w:color w:val="C00000"/>
      </w:rPr>
    </w:pPr>
    <w:r>
      <w:rPr>
        <w:noProof/>
        <w:lang w:val="en-GB" w:eastAsia="en-GB"/>
      </w:rPr>
      <mc:AlternateContent>
        <mc:Choice Requires="wps">
          <w:drawing>
            <wp:anchor distT="0" distB="0" distL="114300" distR="114300" simplePos="0" relativeHeight="251660288" behindDoc="0" locked="0" layoutInCell="1" allowOverlap="1" wp14:anchorId="17EBA0C1" wp14:editId="4582C85B">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6278CBD9" w14:textId="77777777" w:rsidR="001E7C5E" w:rsidRPr="00577C4C" w:rsidRDefault="001E7C5E">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7EBA0C1" id="_x0000_t202" coordsize="21600,21600" o:spt="202" path="m,l,21600r21600,l21600,xe">
              <v:stroke joinstyle="miter"/>
              <v:path gradientshapeok="t" o:connecttype="rect"/>
            </v:shapetype>
            <v:shape id="Text Box 1" o:spid="_x0000_s1026" type="#_x0000_t202" style="position:absolute;margin-left:67.6pt;margin-top:0;width:118.8pt;height:31.15pt;z-index:25166028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" filled="f" stroked="f" strokeweight=".5pt">
              <v:textbox style="mso-fit-shape-to-text:t">
                <w:txbxContent>
                  <w:p w14:paraId="6278CBD9" w14:textId="77777777" w:rsidR="001E7C5E" w:rsidRPr="00577C4C" w:rsidRDefault="001E7C5E">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97366" w14:textId="77777777" w:rsidR="001E7C5E" w:rsidRPr="00577C4C" w:rsidRDefault="001E7C5E">
    <w:pPr>
      <w:rPr>
        <w:b/>
        <w:sz w:val="20"/>
      </w:rPr>
    </w:pPr>
    <w:r>
      <w:rPr>
        <w:noProof/>
        <w:lang w:val="en-GB" w:eastAsia="en-GB"/>
      </w:rPr>
      <mc:AlternateContent>
        <mc:Choice Requires="wps">
          <w:drawing>
            <wp:anchor distT="0" distB="0" distL="114300" distR="114300" simplePos="0" relativeHeight="251659264" behindDoc="0" locked="0" layoutInCell="1" allowOverlap="1" wp14:anchorId="454D2665" wp14:editId="3BC6DAA4">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F7385CC" w14:textId="77777777" w:rsidR="001E7C5E" w:rsidRPr="00577C4C" w:rsidRDefault="001E7C5E">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54D2665" id="_x0000_t202" coordsize="21600,21600" o:spt="202" path="m,l,21600r21600,l21600,xe">
              <v:stroke joinstyle="miter"/>
              <v:path gradientshapeok="t" o:connecttype="rect"/>
            </v:shapetype>
            <v:shape id="Text Box 56" o:spid="_x0000_s1027"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" filled="f" stroked="f" strokeweight=".5pt">
              <v:textbox style="mso-fit-shape-to-text:t">
                <w:txbxContent>
                  <w:p w14:paraId="2F7385CC" w14:textId="77777777" w:rsidR="001E7C5E" w:rsidRPr="00577C4C" w:rsidRDefault="001E7C5E">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0D8717" w14:textId="77777777" w:rsidR="005A0EE5" w:rsidRDefault="005A0EE5">
      <w:r>
        <w:separator/>
      </w:r>
    </w:p>
  </w:footnote>
  <w:footnote w:type="continuationSeparator" w:id="0">
    <w:p w14:paraId="12008201" w14:textId="77777777" w:rsidR="005A0EE5" w:rsidRDefault="005A0E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BBC78" w14:textId="77777777" w:rsidR="001E7C5E" w:rsidRPr="009151AA" w:rsidRDefault="001E7C5E">
    <w:r w:rsidRPr="009151AA">
      <w:ptab w:relativeTo="margin" w:alignment="center" w:leader="none"/>
    </w:r>
    <w:r w:rsidRPr="009151AA">
      <w:ptab w:relativeTo="margin" w:alignment="right" w:leader="none"/>
    </w:r>
    <w:r w:rsidRPr="009151AA">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3452A" w14:textId="77777777" w:rsidR="001E7C5E" w:rsidRDefault="001E7C5E" w:rsidP="00B42C41">
    <w:r w:rsidRPr="005A1D84">
      <w:rPr>
        <w:b/>
        <w:noProof/>
        <w:color w:val="A6A6A6" w:themeColor="background1" w:themeShade="A6"/>
        <w:lang w:val="en-GB" w:eastAsia="en-GB"/>
      </w:rPr>
      <w:drawing>
        <wp:inline distT="0" distB="0" distL="0" distR="0" wp14:anchorId="56BE9946" wp14:editId="690AE825">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5118B"/>
    <w:multiLevelType w:val="hybridMultilevel"/>
    <w:tmpl w:val="464C2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2" w15:restartNumberingAfterBreak="0">
    <w:nsid w:val="3B16735F"/>
    <w:multiLevelType w:val="hybridMultilevel"/>
    <w:tmpl w:val="464C2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9E34119"/>
    <w:multiLevelType w:val="multilevel"/>
    <w:tmpl w:val="227EAD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3"/>
  </w:num>
  <w:num w:numId="3">
    <w:abstractNumId w:val="2"/>
  </w:num>
  <w:num w:numId="4">
    <w:abstractNumId w:val="0"/>
  </w:num>
  <w:num w:numId="5">
    <w:abstractNumId w:val="1"/>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CCF"/>
    <w:rsid w:val="00067D4B"/>
    <w:rsid w:val="000A4872"/>
    <w:rsid w:val="00145CE8"/>
    <w:rsid w:val="001738C2"/>
    <w:rsid w:val="001B07C1"/>
    <w:rsid w:val="001E7C5E"/>
    <w:rsid w:val="00226CE5"/>
    <w:rsid w:val="00364CCF"/>
    <w:rsid w:val="003A5353"/>
    <w:rsid w:val="00517E92"/>
    <w:rsid w:val="00523FD0"/>
    <w:rsid w:val="005337A7"/>
    <w:rsid w:val="005A0EE5"/>
    <w:rsid w:val="005D2F46"/>
    <w:rsid w:val="005E546C"/>
    <w:rsid w:val="00690105"/>
    <w:rsid w:val="006A4D86"/>
    <w:rsid w:val="006C3B7A"/>
    <w:rsid w:val="00890EB3"/>
    <w:rsid w:val="0092136A"/>
    <w:rsid w:val="00974018"/>
    <w:rsid w:val="00A333B5"/>
    <w:rsid w:val="00B2188F"/>
    <w:rsid w:val="00B42C41"/>
    <w:rsid w:val="00BB077A"/>
    <w:rsid w:val="00C6130F"/>
    <w:rsid w:val="00D133EA"/>
    <w:rsid w:val="00DF6346"/>
    <w:rsid w:val="00E63F0D"/>
    <w:rsid w:val="00F23BE8"/>
    <w:rsid w:val="00F672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5E3932A"/>
  <w14:defaultImageDpi w14:val="32767"/>
  <w15:chartTrackingRefBased/>
  <w15:docId w15:val="{3472BDF5-8D63-F34C-B091-CCDFBA723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A5353"/>
    <w:rPr>
      <w:rFonts w:ascii="Times New Roman" w:eastAsia="Times New Roman" w:hAnsi="Times New Roman" w:cs="Times New Roman"/>
      <w:lang w:val="en-US"/>
    </w:rPr>
  </w:style>
  <w:style w:type="paragraph" w:styleId="Heading1">
    <w:name w:val="heading 1"/>
    <w:basedOn w:val="ListParagraph"/>
    <w:next w:val="Normal"/>
    <w:link w:val="Heading1Char"/>
    <w:uiPriority w:val="2"/>
    <w:qFormat/>
    <w:rsid w:val="00364CCF"/>
    <w:pPr>
      <w:numPr>
        <w:numId w:val="1"/>
      </w:numPr>
      <w:spacing w:before="240"/>
      <w:contextualSpacing w:val="0"/>
      <w:outlineLvl w:val="0"/>
    </w:pPr>
    <w:rPr>
      <w:rFonts w:eastAsia="Cambria" w:cs="Times New Roman"/>
      <w:b/>
      <w:szCs w:val="24"/>
    </w:rPr>
  </w:style>
  <w:style w:type="paragraph" w:styleId="Heading2">
    <w:name w:val="heading 2"/>
    <w:basedOn w:val="Heading1"/>
    <w:next w:val="Normal"/>
    <w:link w:val="Heading2Char"/>
    <w:uiPriority w:val="2"/>
    <w:qFormat/>
    <w:rsid w:val="00364CCF"/>
    <w:pPr>
      <w:numPr>
        <w:ilvl w:val="1"/>
      </w:numPr>
      <w:spacing w:after="200"/>
      <w:outlineLvl w:val="1"/>
    </w:pPr>
  </w:style>
  <w:style w:type="paragraph" w:styleId="Heading3">
    <w:name w:val="heading 3"/>
    <w:basedOn w:val="Normal"/>
    <w:next w:val="Normal"/>
    <w:link w:val="Heading3Char"/>
    <w:uiPriority w:val="2"/>
    <w:qFormat/>
    <w:rsid w:val="00364CCF"/>
    <w:pPr>
      <w:keepNext/>
      <w:keepLines/>
      <w:numPr>
        <w:ilvl w:val="2"/>
        <w:numId w:val="1"/>
      </w:numPr>
      <w:spacing w:before="40" w:after="120"/>
      <w:outlineLvl w:val="2"/>
    </w:pPr>
    <w:rPr>
      <w:rFonts w:eastAsiaTheme="majorEastAsia" w:cstheme="majorBidi"/>
      <w:b/>
    </w:rPr>
  </w:style>
  <w:style w:type="paragraph" w:styleId="Heading4">
    <w:name w:val="heading 4"/>
    <w:basedOn w:val="Heading3"/>
    <w:next w:val="Normal"/>
    <w:link w:val="Heading4Char"/>
    <w:uiPriority w:val="2"/>
    <w:qFormat/>
    <w:rsid w:val="00364CCF"/>
    <w:pPr>
      <w:numPr>
        <w:ilvl w:val="3"/>
      </w:numPr>
      <w:outlineLvl w:val="3"/>
    </w:pPr>
    <w:rPr>
      <w:iCs/>
    </w:rPr>
  </w:style>
  <w:style w:type="paragraph" w:styleId="Heading5">
    <w:name w:val="heading 5"/>
    <w:basedOn w:val="Heading4"/>
    <w:next w:val="Normal"/>
    <w:link w:val="Heading5Char"/>
    <w:uiPriority w:val="2"/>
    <w:qFormat/>
    <w:rsid w:val="00364CCF"/>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364CCF"/>
    <w:rPr>
      <w:rFonts w:ascii="Times New Roman" w:eastAsia="Cambria" w:hAnsi="Times New Roman" w:cs="Times New Roman"/>
      <w:b/>
      <w:lang w:val="en-US"/>
    </w:rPr>
  </w:style>
  <w:style w:type="character" w:customStyle="1" w:styleId="Heading2Char">
    <w:name w:val="Heading 2 Char"/>
    <w:basedOn w:val="DefaultParagraphFont"/>
    <w:link w:val="Heading2"/>
    <w:uiPriority w:val="2"/>
    <w:rsid w:val="00364CCF"/>
    <w:rPr>
      <w:rFonts w:ascii="Times New Roman" w:eastAsia="Cambria" w:hAnsi="Times New Roman" w:cs="Times New Roman"/>
      <w:b/>
      <w:lang w:val="en-US"/>
    </w:rPr>
  </w:style>
  <w:style w:type="character" w:customStyle="1" w:styleId="Heading3Char">
    <w:name w:val="Heading 3 Char"/>
    <w:basedOn w:val="DefaultParagraphFont"/>
    <w:link w:val="Heading3"/>
    <w:uiPriority w:val="2"/>
    <w:rsid w:val="00364CCF"/>
    <w:rPr>
      <w:rFonts w:ascii="Times New Roman" w:eastAsiaTheme="majorEastAsia" w:hAnsi="Times New Roman" w:cstheme="majorBidi"/>
      <w:b/>
      <w:lang w:val="en-US"/>
    </w:rPr>
  </w:style>
  <w:style w:type="character" w:customStyle="1" w:styleId="Heading4Char">
    <w:name w:val="Heading 4 Char"/>
    <w:basedOn w:val="DefaultParagraphFont"/>
    <w:link w:val="Heading4"/>
    <w:uiPriority w:val="2"/>
    <w:rsid w:val="00364CCF"/>
    <w:rPr>
      <w:rFonts w:ascii="Times New Roman" w:eastAsiaTheme="majorEastAsia" w:hAnsi="Times New Roman" w:cstheme="majorBidi"/>
      <w:b/>
      <w:iCs/>
      <w:lang w:val="en-US"/>
    </w:rPr>
  </w:style>
  <w:style w:type="character" w:customStyle="1" w:styleId="Heading5Char">
    <w:name w:val="Heading 5 Char"/>
    <w:basedOn w:val="DefaultParagraphFont"/>
    <w:link w:val="Heading5"/>
    <w:uiPriority w:val="2"/>
    <w:rsid w:val="00364CCF"/>
    <w:rPr>
      <w:rFonts w:ascii="Times New Roman" w:eastAsiaTheme="majorEastAsia" w:hAnsi="Times New Roman" w:cstheme="majorBidi"/>
      <w:b/>
      <w:iCs/>
      <w:lang w:val="en-US"/>
    </w:rPr>
  </w:style>
  <w:style w:type="paragraph" w:customStyle="1" w:styleId="AuthorList">
    <w:name w:val="Author List"/>
    <w:aliases w:val="Keywords,Abstract"/>
    <w:basedOn w:val="Subtitle"/>
    <w:next w:val="Normal"/>
    <w:uiPriority w:val="1"/>
    <w:qFormat/>
    <w:rsid w:val="00364CCF"/>
    <w:pPr>
      <w:numPr>
        <w:ilvl w:val="0"/>
      </w:numPr>
      <w:spacing w:before="240" w:after="240"/>
    </w:pPr>
    <w:rPr>
      <w:rFonts w:ascii="Times New Roman" w:eastAsiaTheme="minorHAnsi" w:hAnsi="Times New Roman" w:cs="Times New Roman"/>
      <w:b/>
      <w:color w:val="auto"/>
      <w:spacing w:val="0"/>
      <w:sz w:val="24"/>
      <w:szCs w:val="24"/>
    </w:rPr>
  </w:style>
  <w:style w:type="numbering" w:customStyle="1" w:styleId="Headings">
    <w:name w:val="Headings"/>
    <w:uiPriority w:val="99"/>
    <w:rsid w:val="00364CCF"/>
    <w:pPr>
      <w:numPr>
        <w:numId w:val="1"/>
      </w:numPr>
    </w:pPr>
  </w:style>
  <w:style w:type="character" w:styleId="Hyperlink">
    <w:name w:val="Hyperlink"/>
    <w:basedOn w:val="DefaultParagraphFont"/>
    <w:uiPriority w:val="99"/>
    <w:unhideWhenUsed/>
    <w:rsid w:val="00364CCF"/>
    <w:rPr>
      <w:color w:val="0000FF"/>
      <w:u w:val="single"/>
    </w:rPr>
  </w:style>
  <w:style w:type="paragraph" w:styleId="Title">
    <w:name w:val="Title"/>
    <w:basedOn w:val="Normal"/>
    <w:next w:val="Normal"/>
    <w:link w:val="TitleChar"/>
    <w:qFormat/>
    <w:rsid w:val="00364CCF"/>
    <w:pPr>
      <w:suppressLineNumbers/>
      <w:spacing w:before="240" w:after="360"/>
      <w:jc w:val="center"/>
    </w:pPr>
    <w:rPr>
      <w:rFonts w:eastAsiaTheme="minorHAnsi"/>
      <w:b/>
      <w:sz w:val="32"/>
      <w:szCs w:val="32"/>
    </w:rPr>
  </w:style>
  <w:style w:type="character" w:customStyle="1" w:styleId="TitleChar">
    <w:name w:val="Title Char"/>
    <w:basedOn w:val="DefaultParagraphFont"/>
    <w:link w:val="Title"/>
    <w:rsid w:val="00364CCF"/>
    <w:rPr>
      <w:rFonts w:ascii="Times New Roman" w:hAnsi="Times New Roman" w:cs="Times New Roman"/>
      <w:b/>
      <w:sz w:val="32"/>
      <w:szCs w:val="32"/>
      <w:lang w:val="en-US"/>
    </w:rPr>
  </w:style>
  <w:style w:type="paragraph" w:customStyle="1" w:styleId="SupplementaryMaterial">
    <w:name w:val="Supplementary Material"/>
    <w:basedOn w:val="Title"/>
    <w:next w:val="Title"/>
    <w:qFormat/>
    <w:rsid w:val="00364CCF"/>
    <w:pPr>
      <w:spacing w:after="120"/>
    </w:pPr>
    <w:rPr>
      <w:i/>
    </w:rPr>
  </w:style>
  <w:style w:type="paragraph" w:styleId="ListParagraph">
    <w:name w:val="List Paragraph"/>
    <w:basedOn w:val="Normal"/>
    <w:uiPriority w:val="34"/>
    <w:qFormat/>
    <w:rsid w:val="00364CCF"/>
    <w:pPr>
      <w:spacing w:before="120" w:after="240"/>
      <w:ind w:left="720"/>
      <w:contextualSpacing/>
    </w:pPr>
    <w:rPr>
      <w:rFonts w:eastAsiaTheme="minorHAnsi" w:cstheme="minorBidi"/>
      <w:szCs w:val="22"/>
    </w:rPr>
  </w:style>
  <w:style w:type="paragraph" w:styleId="Subtitle">
    <w:name w:val="Subtitle"/>
    <w:basedOn w:val="Normal"/>
    <w:next w:val="Normal"/>
    <w:link w:val="SubtitleChar"/>
    <w:uiPriority w:val="11"/>
    <w:qFormat/>
    <w:rsid w:val="00364CCF"/>
    <w:pPr>
      <w:numPr>
        <w:ilvl w:val="1"/>
      </w:numPr>
      <w:spacing w:before="120"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364CCF"/>
    <w:rPr>
      <w:rFonts w:eastAsiaTheme="minorEastAsia"/>
      <w:color w:val="5A5A5A" w:themeColor="text1" w:themeTint="A5"/>
      <w:spacing w:val="15"/>
      <w:sz w:val="22"/>
      <w:szCs w:val="22"/>
      <w:lang w:val="en-US"/>
    </w:rPr>
  </w:style>
  <w:style w:type="paragraph" w:styleId="Caption">
    <w:name w:val="caption"/>
    <w:basedOn w:val="Normal"/>
    <w:next w:val="Normal"/>
    <w:uiPriority w:val="35"/>
    <w:unhideWhenUsed/>
    <w:qFormat/>
    <w:rsid w:val="00B42C41"/>
    <w:pPr>
      <w:spacing w:after="200"/>
    </w:pPr>
    <w:rPr>
      <w:i/>
      <w:iCs/>
      <w:color w:val="44546A" w:themeColor="text2"/>
      <w:sz w:val="18"/>
      <w:szCs w:val="18"/>
    </w:rPr>
  </w:style>
  <w:style w:type="character" w:styleId="FollowedHyperlink">
    <w:name w:val="FollowedHyperlink"/>
    <w:basedOn w:val="DefaultParagraphFont"/>
    <w:uiPriority w:val="99"/>
    <w:semiHidden/>
    <w:unhideWhenUsed/>
    <w:rsid w:val="00B42C41"/>
    <w:rPr>
      <w:color w:val="954F72"/>
      <w:u w:val="single"/>
    </w:rPr>
  </w:style>
  <w:style w:type="paragraph" w:customStyle="1" w:styleId="msonormal0">
    <w:name w:val="msonormal"/>
    <w:basedOn w:val="Normal"/>
    <w:rsid w:val="00B42C41"/>
    <w:pPr>
      <w:spacing w:before="100" w:beforeAutospacing="1" w:after="100" w:afterAutospacing="1"/>
    </w:pPr>
  </w:style>
  <w:style w:type="paragraph" w:customStyle="1" w:styleId="xl63">
    <w:name w:val="xl63"/>
    <w:basedOn w:val="Normal"/>
    <w:rsid w:val="00B42C41"/>
    <w:pPr>
      <w:spacing w:before="100" w:beforeAutospacing="1" w:after="100" w:afterAutospacing="1"/>
    </w:pPr>
    <w:rPr>
      <w:sz w:val="16"/>
      <w:szCs w:val="16"/>
    </w:rPr>
  </w:style>
  <w:style w:type="paragraph" w:customStyle="1" w:styleId="xl64">
    <w:name w:val="xl64"/>
    <w:basedOn w:val="Normal"/>
    <w:rsid w:val="00B42C41"/>
    <w:pPr>
      <w:spacing w:before="100" w:beforeAutospacing="1" w:after="100" w:afterAutospacing="1"/>
    </w:pPr>
    <w:rPr>
      <w:b/>
      <w:bCs/>
      <w:sz w:val="16"/>
      <w:szCs w:val="16"/>
    </w:rPr>
  </w:style>
  <w:style w:type="paragraph" w:customStyle="1" w:styleId="xl65">
    <w:name w:val="xl65"/>
    <w:basedOn w:val="Normal"/>
    <w:rsid w:val="00B42C41"/>
    <w:pPr>
      <w:pBdr>
        <w:left w:val="single" w:sz="4" w:space="0" w:color="auto"/>
      </w:pBdr>
      <w:spacing w:before="100" w:beforeAutospacing="1" w:after="100" w:afterAutospacing="1"/>
    </w:pPr>
    <w:rPr>
      <w:b/>
      <w:bCs/>
      <w:sz w:val="16"/>
      <w:szCs w:val="16"/>
    </w:rPr>
  </w:style>
  <w:style w:type="paragraph" w:customStyle="1" w:styleId="xl66">
    <w:name w:val="xl66"/>
    <w:basedOn w:val="Normal"/>
    <w:rsid w:val="00B42C41"/>
    <w:pPr>
      <w:pBdr>
        <w:right w:val="single" w:sz="4" w:space="0" w:color="auto"/>
      </w:pBdr>
      <w:spacing w:before="100" w:beforeAutospacing="1" w:after="100" w:afterAutospacing="1"/>
    </w:pPr>
    <w:rPr>
      <w:b/>
      <w:bCs/>
      <w:sz w:val="16"/>
      <w:szCs w:val="16"/>
    </w:rPr>
  </w:style>
  <w:style w:type="paragraph" w:customStyle="1" w:styleId="xl67">
    <w:name w:val="xl67"/>
    <w:basedOn w:val="Normal"/>
    <w:rsid w:val="00B42C41"/>
    <w:pPr>
      <w:pBdr>
        <w:bottom w:val="single" w:sz="4" w:space="0" w:color="auto"/>
      </w:pBdr>
      <w:spacing w:before="100" w:beforeAutospacing="1" w:after="100" w:afterAutospacing="1"/>
    </w:pPr>
    <w:rPr>
      <w:b/>
      <w:bCs/>
      <w:sz w:val="16"/>
      <w:szCs w:val="16"/>
    </w:rPr>
  </w:style>
  <w:style w:type="paragraph" w:customStyle="1" w:styleId="xl68">
    <w:name w:val="xl68"/>
    <w:basedOn w:val="Normal"/>
    <w:rsid w:val="00B42C41"/>
    <w:pPr>
      <w:pBdr>
        <w:left w:val="single" w:sz="4" w:space="0" w:color="auto"/>
        <w:bottom w:val="single" w:sz="4" w:space="0" w:color="auto"/>
      </w:pBdr>
      <w:spacing w:before="100" w:beforeAutospacing="1" w:after="100" w:afterAutospacing="1"/>
    </w:pPr>
    <w:rPr>
      <w:b/>
      <w:bCs/>
      <w:sz w:val="16"/>
      <w:szCs w:val="16"/>
    </w:rPr>
  </w:style>
  <w:style w:type="paragraph" w:customStyle="1" w:styleId="xl69">
    <w:name w:val="xl69"/>
    <w:basedOn w:val="Normal"/>
    <w:rsid w:val="00B42C41"/>
    <w:pPr>
      <w:pBdr>
        <w:bottom w:val="single" w:sz="4" w:space="0" w:color="auto"/>
        <w:right w:val="single" w:sz="4" w:space="0" w:color="auto"/>
      </w:pBdr>
      <w:spacing w:before="100" w:beforeAutospacing="1" w:after="100" w:afterAutospacing="1"/>
    </w:pPr>
    <w:rPr>
      <w:b/>
      <w:bCs/>
      <w:sz w:val="16"/>
      <w:szCs w:val="16"/>
    </w:rPr>
  </w:style>
  <w:style w:type="paragraph" w:customStyle="1" w:styleId="xl70">
    <w:name w:val="xl70"/>
    <w:basedOn w:val="Normal"/>
    <w:rsid w:val="00B42C41"/>
    <w:pPr>
      <w:pBdr>
        <w:top w:val="single" w:sz="4" w:space="0" w:color="auto"/>
        <w:left w:val="single" w:sz="4" w:space="0" w:color="auto"/>
      </w:pBdr>
      <w:spacing w:before="100" w:beforeAutospacing="1" w:after="100" w:afterAutospacing="1"/>
    </w:pPr>
    <w:rPr>
      <w:sz w:val="16"/>
      <w:szCs w:val="16"/>
    </w:rPr>
  </w:style>
  <w:style w:type="paragraph" w:customStyle="1" w:styleId="xl71">
    <w:name w:val="xl71"/>
    <w:basedOn w:val="Normal"/>
    <w:rsid w:val="00B42C41"/>
    <w:pPr>
      <w:pBdr>
        <w:top w:val="single" w:sz="4" w:space="0" w:color="auto"/>
      </w:pBdr>
      <w:spacing w:before="100" w:beforeAutospacing="1" w:after="100" w:afterAutospacing="1"/>
    </w:pPr>
    <w:rPr>
      <w:sz w:val="16"/>
      <w:szCs w:val="16"/>
    </w:rPr>
  </w:style>
  <w:style w:type="paragraph" w:customStyle="1" w:styleId="xl72">
    <w:name w:val="xl72"/>
    <w:basedOn w:val="Normal"/>
    <w:rsid w:val="00B42C41"/>
    <w:pPr>
      <w:pBdr>
        <w:left w:val="single" w:sz="4" w:space="0" w:color="auto"/>
      </w:pBdr>
      <w:spacing w:before="100" w:beforeAutospacing="1" w:after="100" w:afterAutospacing="1"/>
    </w:pPr>
    <w:rPr>
      <w:sz w:val="16"/>
      <w:szCs w:val="16"/>
    </w:rPr>
  </w:style>
  <w:style w:type="paragraph" w:customStyle="1" w:styleId="xl73">
    <w:name w:val="xl73"/>
    <w:basedOn w:val="Normal"/>
    <w:rsid w:val="00B42C41"/>
    <w:pPr>
      <w:pBdr>
        <w:left w:val="single" w:sz="4" w:space="0" w:color="auto"/>
        <w:bottom w:val="single" w:sz="4" w:space="0" w:color="auto"/>
      </w:pBdr>
      <w:spacing w:before="100" w:beforeAutospacing="1" w:after="100" w:afterAutospacing="1"/>
    </w:pPr>
    <w:rPr>
      <w:sz w:val="16"/>
      <w:szCs w:val="16"/>
    </w:rPr>
  </w:style>
  <w:style w:type="paragraph" w:customStyle="1" w:styleId="xl74">
    <w:name w:val="xl74"/>
    <w:basedOn w:val="Normal"/>
    <w:rsid w:val="00B42C41"/>
    <w:pPr>
      <w:pBdr>
        <w:bottom w:val="single" w:sz="4" w:space="0" w:color="auto"/>
      </w:pBdr>
      <w:spacing w:before="100" w:beforeAutospacing="1" w:after="100" w:afterAutospacing="1"/>
    </w:pPr>
    <w:rPr>
      <w:sz w:val="16"/>
      <w:szCs w:val="16"/>
    </w:rPr>
  </w:style>
  <w:style w:type="paragraph" w:customStyle="1" w:styleId="xl75">
    <w:name w:val="xl75"/>
    <w:basedOn w:val="Normal"/>
    <w:rsid w:val="00B42C41"/>
    <w:pPr>
      <w:spacing w:before="100" w:beforeAutospacing="1" w:after="100" w:afterAutospacing="1"/>
    </w:pPr>
    <w:rPr>
      <w:sz w:val="16"/>
      <w:szCs w:val="16"/>
    </w:rPr>
  </w:style>
  <w:style w:type="paragraph" w:customStyle="1" w:styleId="xl76">
    <w:name w:val="xl76"/>
    <w:basedOn w:val="Normal"/>
    <w:rsid w:val="00B42C41"/>
    <w:pPr>
      <w:pBdr>
        <w:bottom w:val="single" w:sz="4" w:space="0" w:color="auto"/>
      </w:pBdr>
      <w:spacing w:before="100" w:beforeAutospacing="1" w:after="100" w:afterAutospacing="1"/>
    </w:pPr>
    <w:rPr>
      <w:sz w:val="16"/>
      <w:szCs w:val="16"/>
    </w:rPr>
  </w:style>
  <w:style w:type="paragraph" w:customStyle="1" w:styleId="xl77">
    <w:name w:val="xl77"/>
    <w:basedOn w:val="Normal"/>
    <w:rsid w:val="00B42C41"/>
    <w:pPr>
      <w:spacing w:before="100" w:beforeAutospacing="1" w:after="100" w:afterAutospacing="1"/>
    </w:pPr>
    <w:rPr>
      <w:color w:val="000000"/>
      <w:sz w:val="16"/>
      <w:szCs w:val="16"/>
    </w:rPr>
  </w:style>
  <w:style w:type="paragraph" w:customStyle="1" w:styleId="xl78">
    <w:name w:val="xl78"/>
    <w:basedOn w:val="Normal"/>
    <w:rsid w:val="00B42C41"/>
    <w:pPr>
      <w:pBdr>
        <w:bottom w:val="single" w:sz="4" w:space="0" w:color="auto"/>
      </w:pBdr>
      <w:spacing w:before="100" w:beforeAutospacing="1" w:after="100" w:afterAutospacing="1"/>
    </w:pPr>
    <w:rPr>
      <w:color w:val="000000"/>
      <w:sz w:val="16"/>
      <w:szCs w:val="16"/>
    </w:rPr>
  </w:style>
  <w:style w:type="paragraph" w:customStyle="1" w:styleId="xl79">
    <w:name w:val="xl79"/>
    <w:basedOn w:val="Normal"/>
    <w:rsid w:val="00B42C41"/>
    <w:pPr>
      <w:pBdr>
        <w:top w:val="single" w:sz="4" w:space="0" w:color="auto"/>
      </w:pBdr>
      <w:shd w:val="clear" w:color="000000" w:fill="FFFFFF"/>
      <w:spacing w:before="100" w:beforeAutospacing="1" w:after="100" w:afterAutospacing="1"/>
    </w:pPr>
    <w:rPr>
      <w:sz w:val="16"/>
      <w:szCs w:val="16"/>
    </w:rPr>
  </w:style>
  <w:style w:type="paragraph" w:customStyle="1" w:styleId="xl80">
    <w:name w:val="xl80"/>
    <w:basedOn w:val="Normal"/>
    <w:rsid w:val="00B42C41"/>
    <w:pPr>
      <w:pBdr>
        <w:top w:val="single" w:sz="4" w:space="0" w:color="auto"/>
      </w:pBdr>
      <w:spacing w:before="100" w:beforeAutospacing="1" w:after="100" w:afterAutospacing="1"/>
    </w:pPr>
    <w:rPr>
      <w:color w:val="000000"/>
      <w:sz w:val="16"/>
      <w:szCs w:val="16"/>
    </w:rPr>
  </w:style>
  <w:style w:type="paragraph" w:customStyle="1" w:styleId="xl81">
    <w:name w:val="xl81"/>
    <w:basedOn w:val="Normal"/>
    <w:rsid w:val="00B42C41"/>
    <w:pPr>
      <w:pBdr>
        <w:top w:val="single" w:sz="4" w:space="0" w:color="auto"/>
      </w:pBdr>
      <w:spacing w:before="100" w:beforeAutospacing="1" w:after="100" w:afterAutospacing="1"/>
    </w:pPr>
    <w:rPr>
      <w:sz w:val="16"/>
      <w:szCs w:val="16"/>
    </w:rPr>
  </w:style>
  <w:style w:type="character" w:customStyle="1" w:styleId="None">
    <w:name w:val="None"/>
    <w:rsid w:val="00145CE8"/>
  </w:style>
  <w:style w:type="paragraph" w:customStyle="1" w:styleId="xl82">
    <w:name w:val="xl82"/>
    <w:basedOn w:val="Normal"/>
    <w:rsid w:val="001E7C5E"/>
    <w:pPr>
      <w:pBdr>
        <w:bottom w:val="single" w:sz="4" w:space="0" w:color="auto"/>
      </w:pBdr>
      <w:spacing w:before="100" w:beforeAutospacing="1" w:after="100" w:afterAutospacing="1"/>
    </w:pPr>
    <w:rPr>
      <w:sz w:val="16"/>
      <w:szCs w:val="16"/>
    </w:rPr>
  </w:style>
  <w:style w:type="paragraph" w:customStyle="1" w:styleId="xl83">
    <w:name w:val="xl83"/>
    <w:basedOn w:val="Normal"/>
    <w:rsid w:val="001E7C5E"/>
    <w:pPr>
      <w:pBdr>
        <w:top w:val="single" w:sz="4" w:space="0" w:color="auto"/>
        <w:left w:val="single" w:sz="4" w:space="0" w:color="auto"/>
      </w:pBdr>
      <w:spacing w:before="100" w:beforeAutospacing="1" w:after="100" w:afterAutospacing="1"/>
    </w:pPr>
    <w:rPr>
      <w:sz w:val="16"/>
      <w:szCs w:val="16"/>
    </w:rPr>
  </w:style>
  <w:style w:type="paragraph" w:customStyle="1" w:styleId="xl84">
    <w:name w:val="xl84"/>
    <w:basedOn w:val="Normal"/>
    <w:rsid w:val="001E7C5E"/>
    <w:pPr>
      <w:pBdr>
        <w:top w:val="single" w:sz="4" w:space="0" w:color="auto"/>
        <w:right w:val="single" w:sz="4" w:space="0" w:color="auto"/>
      </w:pBdr>
      <w:spacing w:before="100" w:beforeAutospacing="1" w:after="100" w:afterAutospacing="1"/>
    </w:pPr>
    <w:rPr>
      <w:sz w:val="16"/>
      <w:szCs w:val="16"/>
    </w:rPr>
  </w:style>
  <w:style w:type="paragraph" w:customStyle="1" w:styleId="xl85">
    <w:name w:val="xl85"/>
    <w:basedOn w:val="Normal"/>
    <w:rsid w:val="001E7C5E"/>
    <w:pPr>
      <w:pBdr>
        <w:top w:val="single" w:sz="4" w:space="0" w:color="auto"/>
      </w:pBdr>
      <w:spacing w:before="100" w:beforeAutospacing="1" w:after="100" w:afterAutospacing="1"/>
    </w:pPr>
    <w:rPr>
      <w:sz w:val="16"/>
      <w:szCs w:val="16"/>
    </w:rPr>
  </w:style>
  <w:style w:type="paragraph" w:customStyle="1" w:styleId="xl86">
    <w:name w:val="xl86"/>
    <w:basedOn w:val="Normal"/>
    <w:rsid w:val="001E7C5E"/>
    <w:pPr>
      <w:spacing w:before="100" w:beforeAutospacing="1" w:after="100" w:afterAutospacing="1"/>
    </w:pPr>
    <w:rPr>
      <w:color w:val="000000"/>
      <w:sz w:val="16"/>
      <w:szCs w:val="16"/>
    </w:rPr>
  </w:style>
  <w:style w:type="paragraph" w:customStyle="1" w:styleId="xl87">
    <w:name w:val="xl87"/>
    <w:basedOn w:val="Normal"/>
    <w:rsid w:val="001E7C5E"/>
    <w:pPr>
      <w:pBdr>
        <w:bottom w:val="single" w:sz="4" w:space="0" w:color="auto"/>
      </w:pBdr>
      <w:spacing w:before="100" w:beforeAutospacing="1" w:after="100" w:afterAutospacing="1"/>
    </w:pPr>
    <w:rPr>
      <w:color w:val="000000"/>
      <w:sz w:val="16"/>
      <w:szCs w:val="16"/>
    </w:rPr>
  </w:style>
  <w:style w:type="paragraph" w:customStyle="1" w:styleId="xl88">
    <w:name w:val="xl88"/>
    <w:basedOn w:val="Normal"/>
    <w:rsid w:val="001E7C5E"/>
    <w:pPr>
      <w:pBdr>
        <w:top w:val="single" w:sz="4" w:space="0" w:color="auto"/>
      </w:pBdr>
      <w:shd w:val="clear" w:color="000000" w:fill="FFFFFF"/>
      <w:spacing w:before="100" w:beforeAutospacing="1" w:after="100" w:afterAutospacing="1"/>
    </w:pPr>
    <w:rPr>
      <w:sz w:val="16"/>
      <w:szCs w:val="16"/>
    </w:rPr>
  </w:style>
  <w:style w:type="paragraph" w:customStyle="1" w:styleId="xl89">
    <w:name w:val="xl89"/>
    <w:basedOn w:val="Normal"/>
    <w:rsid w:val="001E7C5E"/>
    <w:pPr>
      <w:pBdr>
        <w:top w:val="single" w:sz="4" w:space="0" w:color="auto"/>
      </w:pBdr>
      <w:spacing w:before="100" w:beforeAutospacing="1" w:after="100" w:afterAutospacing="1"/>
    </w:pPr>
    <w:rPr>
      <w:color w:val="000000"/>
      <w:sz w:val="16"/>
      <w:szCs w:val="16"/>
    </w:rPr>
  </w:style>
  <w:style w:type="paragraph" w:styleId="BalloonText">
    <w:name w:val="Balloon Text"/>
    <w:basedOn w:val="Normal"/>
    <w:link w:val="BalloonTextChar"/>
    <w:uiPriority w:val="99"/>
    <w:semiHidden/>
    <w:unhideWhenUsed/>
    <w:rsid w:val="00226CE5"/>
    <w:rPr>
      <w:sz w:val="18"/>
      <w:szCs w:val="18"/>
    </w:rPr>
  </w:style>
  <w:style w:type="character" w:customStyle="1" w:styleId="BalloonTextChar">
    <w:name w:val="Balloon Text Char"/>
    <w:basedOn w:val="DefaultParagraphFont"/>
    <w:link w:val="BalloonText"/>
    <w:uiPriority w:val="99"/>
    <w:semiHidden/>
    <w:rsid w:val="00226CE5"/>
    <w:rPr>
      <w:rFonts w:ascii="Times New Roman" w:eastAsia="Times New Roman" w:hAnsi="Times New Roman" w:cs="Times New Roman"/>
      <w:sz w:val="18"/>
      <w:szCs w:val="18"/>
      <w:lang w:val="en-US"/>
    </w:rPr>
  </w:style>
  <w:style w:type="paragraph" w:styleId="Bibliography">
    <w:name w:val="Bibliography"/>
    <w:basedOn w:val="Normal"/>
    <w:next w:val="Normal"/>
    <w:uiPriority w:val="37"/>
    <w:unhideWhenUsed/>
    <w:rsid w:val="0092136A"/>
    <w:pPr>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7006714">
      <w:bodyDiv w:val="1"/>
      <w:marLeft w:val="0"/>
      <w:marRight w:val="0"/>
      <w:marTop w:val="0"/>
      <w:marBottom w:val="0"/>
      <w:divBdr>
        <w:top w:val="none" w:sz="0" w:space="0" w:color="auto"/>
        <w:left w:val="none" w:sz="0" w:space="0" w:color="auto"/>
        <w:bottom w:val="none" w:sz="0" w:space="0" w:color="auto"/>
        <w:right w:val="none" w:sz="0" w:space="0" w:color="auto"/>
      </w:divBdr>
    </w:div>
    <w:div w:id="1479961285">
      <w:bodyDiv w:val="1"/>
      <w:marLeft w:val="0"/>
      <w:marRight w:val="0"/>
      <w:marTop w:val="0"/>
      <w:marBottom w:val="0"/>
      <w:divBdr>
        <w:top w:val="none" w:sz="0" w:space="0" w:color="auto"/>
        <w:left w:val="none" w:sz="0" w:space="0" w:color="auto"/>
        <w:bottom w:val="none" w:sz="0" w:space="0" w:color="auto"/>
        <w:right w:val="none" w:sz="0" w:space="0" w:color="auto"/>
      </w:divBdr>
    </w:div>
    <w:div w:id="1766418827">
      <w:bodyDiv w:val="1"/>
      <w:marLeft w:val="0"/>
      <w:marRight w:val="0"/>
      <w:marTop w:val="0"/>
      <w:marBottom w:val="0"/>
      <w:divBdr>
        <w:top w:val="none" w:sz="0" w:space="0" w:color="auto"/>
        <w:left w:val="none" w:sz="0" w:space="0" w:color="auto"/>
        <w:bottom w:val="none" w:sz="0" w:space="0" w:color="auto"/>
        <w:right w:val="none" w:sz="0" w:space="0" w:color="auto"/>
      </w:divBdr>
    </w:div>
    <w:div w:id="1788155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karlijne.indencleef@kuleuven.be"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4866</Words>
  <Characters>27738</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Karlijne Indencleef</dc:creator>
  <cp:keywords/>
  <dc:description/>
  <cp:lastModifiedBy>Karlijne Indencleef</cp:lastModifiedBy>
  <cp:revision>2</cp:revision>
  <dcterms:created xsi:type="dcterms:W3CDTF">2018-10-12T15:46:00Z</dcterms:created>
  <dcterms:modified xsi:type="dcterms:W3CDTF">2018-10-12T15:46:00Z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zotero-version="5.0.56"&gt;&lt;session id="GfqmcYLN"/&gt;&lt;style id="http://www.zotero.org/styles/chicago-author-date" locale="en-US"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ies>
</file>