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4D5" w:rsidRPr="00F47B45" w:rsidRDefault="006B04D5" w:rsidP="00F47B45">
      <w:pPr>
        <w:spacing w:line="240" w:lineRule="auto"/>
        <w:jc w:val="both"/>
        <w:rPr>
          <w:rFonts w:ascii="Times New Roman" w:hAnsi="Times New Roman" w:cs="Times New Roman"/>
          <w:sz w:val="24"/>
          <w:szCs w:val="24"/>
          <w:lang w:val="en-GB"/>
        </w:rPr>
      </w:pPr>
    </w:p>
    <w:p w:rsidR="001C6B9B" w:rsidRPr="00F47B45" w:rsidRDefault="001C6B9B" w:rsidP="00F47B45">
      <w:pPr>
        <w:spacing w:after="0" w:line="240" w:lineRule="auto"/>
        <w:jc w:val="center"/>
        <w:rPr>
          <w:rFonts w:ascii="Times New Roman" w:hAnsi="Times New Roman" w:cs="Times New Roman"/>
          <w:b/>
          <w:sz w:val="28"/>
          <w:szCs w:val="28"/>
          <w:lang w:val="en-GB"/>
        </w:rPr>
      </w:pPr>
      <w:r w:rsidRPr="00F47B45">
        <w:rPr>
          <w:rFonts w:ascii="Times New Roman" w:hAnsi="Times New Roman" w:cs="Times New Roman"/>
          <w:b/>
          <w:sz w:val="28"/>
          <w:szCs w:val="28"/>
          <w:lang w:val="en-GB"/>
        </w:rPr>
        <w:t>Post-drought r</w:t>
      </w:r>
      <w:r w:rsidR="007853F6" w:rsidRPr="00F47B45">
        <w:rPr>
          <w:rFonts w:ascii="Times New Roman" w:hAnsi="Times New Roman" w:cs="Times New Roman"/>
          <w:b/>
          <w:sz w:val="28"/>
          <w:szCs w:val="28"/>
          <w:lang w:val="en-GB"/>
        </w:rPr>
        <w:t xml:space="preserve">esilience </w:t>
      </w:r>
      <w:r w:rsidRPr="00F47B45">
        <w:rPr>
          <w:rFonts w:ascii="Times New Roman" w:hAnsi="Times New Roman" w:cs="Times New Roman"/>
          <w:b/>
          <w:sz w:val="28"/>
          <w:szCs w:val="28"/>
          <w:lang w:val="en-GB"/>
        </w:rPr>
        <w:t xml:space="preserve">after forest </w:t>
      </w:r>
      <w:r w:rsidR="007853F6" w:rsidRPr="00F47B45">
        <w:rPr>
          <w:rFonts w:ascii="Times New Roman" w:hAnsi="Times New Roman" w:cs="Times New Roman"/>
          <w:b/>
          <w:sz w:val="28"/>
          <w:szCs w:val="28"/>
          <w:lang w:val="en-GB"/>
        </w:rPr>
        <w:t xml:space="preserve">die-off: </w:t>
      </w:r>
      <w:r w:rsidRPr="00F47B45">
        <w:rPr>
          <w:rFonts w:ascii="Times New Roman" w:hAnsi="Times New Roman" w:cs="Times New Roman"/>
          <w:b/>
          <w:sz w:val="28"/>
          <w:szCs w:val="28"/>
          <w:lang w:val="en-GB"/>
        </w:rPr>
        <w:t xml:space="preserve">shifts in regeneration, </w:t>
      </w:r>
      <w:r w:rsidR="007853F6" w:rsidRPr="00F47B45">
        <w:rPr>
          <w:rFonts w:ascii="Times New Roman" w:hAnsi="Times New Roman" w:cs="Times New Roman"/>
          <w:b/>
          <w:sz w:val="28"/>
          <w:szCs w:val="28"/>
          <w:lang w:val="en-GB"/>
        </w:rPr>
        <w:t>composition</w:t>
      </w:r>
      <w:r w:rsidRPr="00F47B45">
        <w:rPr>
          <w:rFonts w:ascii="Times New Roman" w:hAnsi="Times New Roman" w:cs="Times New Roman"/>
          <w:b/>
          <w:sz w:val="28"/>
          <w:szCs w:val="28"/>
          <w:lang w:val="en-GB"/>
        </w:rPr>
        <w:t xml:space="preserve">, </w:t>
      </w:r>
      <w:r w:rsidR="007853F6" w:rsidRPr="00F47B45">
        <w:rPr>
          <w:rFonts w:ascii="Times New Roman" w:hAnsi="Times New Roman" w:cs="Times New Roman"/>
          <w:b/>
          <w:sz w:val="28"/>
          <w:szCs w:val="28"/>
          <w:lang w:val="en-GB"/>
        </w:rPr>
        <w:t>growth</w:t>
      </w:r>
      <w:r w:rsidR="008F0AEF" w:rsidRPr="00F47B45">
        <w:rPr>
          <w:rFonts w:ascii="Times New Roman" w:hAnsi="Times New Roman" w:cs="Times New Roman"/>
          <w:b/>
          <w:sz w:val="28"/>
          <w:szCs w:val="28"/>
          <w:lang w:val="en-GB"/>
        </w:rPr>
        <w:t xml:space="preserve"> </w:t>
      </w:r>
      <w:r w:rsidRPr="00F47B45">
        <w:rPr>
          <w:rFonts w:ascii="Times New Roman" w:hAnsi="Times New Roman" w:cs="Times New Roman"/>
          <w:b/>
          <w:sz w:val="28"/>
          <w:szCs w:val="28"/>
          <w:lang w:val="en-GB"/>
        </w:rPr>
        <w:t>and productivity</w:t>
      </w:r>
    </w:p>
    <w:p w:rsidR="006B04D5" w:rsidRPr="00F47B45" w:rsidRDefault="006B04D5" w:rsidP="00F47B45">
      <w:pPr>
        <w:spacing w:after="0" w:line="240" w:lineRule="auto"/>
        <w:jc w:val="center"/>
        <w:rPr>
          <w:rFonts w:ascii="Times New Roman" w:hAnsi="Times New Roman" w:cs="Times New Roman"/>
          <w:b/>
          <w:sz w:val="28"/>
          <w:szCs w:val="28"/>
          <w:lang w:val="en-GB"/>
        </w:rPr>
      </w:pPr>
    </w:p>
    <w:p w:rsidR="006B04D5" w:rsidRPr="00F47B45" w:rsidRDefault="006B04D5" w:rsidP="00F47B45">
      <w:pPr>
        <w:spacing w:line="240" w:lineRule="auto"/>
        <w:jc w:val="both"/>
        <w:rPr>
          <w:rFonts w:ascii="Times New Roman" w:hAnsi="Times New Roman" w:cs="Times New Roman"/>
          <w:sz w:val="24"/>
          <w:szCs w:val="24"/>
          <w:lang w:val="en-GB"/>
        </w:rPr>
      </w:pPr>
    </w:p>
    <w:p w:rsidR="006B04D5" w:rsidRPr="00F47B45" w:rsidRDefault="00A85443" w:rsidP="00F47B45">
      <w:pPr>
        <w:spacing w:line="240" w:lineRule="auto"/>
        <w:jc w:val="both"/>
        <w:rPr>
          <w:rFonts w:ascii="Times New Roman" w:hAnsi="Times New Roman" w:cs="Times New Roman"/>
          <w:sz w:val="24"/>
          <w:szCs w:val="24"/>
        </w:rPr>
      </w:pPr>
      <w:r w:rsidRPr="00F47B45">
        <w:rPr>
          <w:rFonts w:ascii="Times New Roman" w:hAnsi="Times New Roman" w:cs="Times New Roman"/>
          <w:sz w:val="24"/>
          <w:szCs w:val="24"/>
        </w:rPr>
        <w:t xml:space="preserve">Antonio Gazol, </w:t>
      </w:r>
      <w:r w:rsidR="006B04D5" w:rsidRPr="00F47B45">
        <w:rPr>
          <w:rFonts w:ascii="Times New Roman" w:hAnsi="Times New Roman" w:cs="Times New Roman"/>
          <w:sz w:val="24"/>
          <w:szCs w:val="24"/>
        </w:rPr>
        <w:t>J. Julio</w:t>
      </w:r>
      <w:r w:rsidR="006B04D5" w:rsidRPr="00F47B45">
        <w:rPr>
          <w:rFonts w:ascii="Times New Roman" w:hAnsi="Times New Roman" w:cs="Times New Roman"/>
          <w:sz w:val="24"/>
          <w:szCs w:val="24"/>
          <w:vertAlign w:val="superscript"/>
        </w:rPr>
        <w:t xml:space="preserve"> </w:t>
      </w:r>
      <w:r w:rsidR="006B04D5" w:rsidRPr="00F47B45">
        <w:rPr>
          <w:rFonts w:ascii="Times New Roman" w:hAnsi="Times New Roman" w:cs="Times New Roman"/>
          <w:sz w:val="24"/>
          <w:szCs w:val="24"/>
        </w:rPr>
        <w:t>Camarero, Gabriel Sangüesa-Barreda and Sergio M. Vicente-Serrano</w:t>
      </w:r>
    </w:p>
    <w:p w:rsidR="006B04D5" w:rsidRPr="00F47B45" w:rsidRDefault="006B04D5" w:rsidP="00F47B45">
      <w:pPr>
        <w:spacing w:after="0" w:line="240" w:lineRule="auto"/>
        <w:jc w:val="both"/>
        <w:rPr>
          <w:rFonts w:ascii="Times New Roman" w:hAnsi="Times New Roman" w:cs="Times New Roman"/>
          <w:sz w:val="24"/>
          <w:szCs w:val="24"/>
        </w:rPr>
      </w:pPr>
    </w:p>
    <w:p w:rsidR="00BB36D3" w:rsidRPr="00F47B45" w:rsidRDefault="00D555D2" w:rsidP="00F47B45">
      <w:pPr>
        <w:spacing w:after="0" w:line="240" w:lineRule="auto"/>
        <w:rPr>
          <w:rFonts w:ascii="Times New Roman" w:hAnsi="Times New Roman" w:cs="Times New Roman"/>
          <w:b/>
          <w:sz w:val="24"/>
          <w:szCs w:val="24"/>
          <w:lang w:val="en-US"/>
        </w:rPr>
      </w:pPr>
      <w:r w:rsidRPr="00F47B45">
        <w:rPr>
          <w:rFonts w:ascii="Times New Roman" w:hAnsi="Times New Roman" w:cs="Times New Roman"/>
          <w:b/>
          <w:sz w:val="24"/>
          <w:szCs w:val="24"/>
          <w:lang w:val="en-US"/>
        </w:rPr>
        <w:t>Supporting Information</w:t>
      </w:r>
    </w:p>
    <w:p w:rsidR="00DB1C0A" w:rsidRPr="00F47B45" w:rsidRDefault="00DB1C0A" w:rsidP="00F47B45">
      <w:pPr>
        <w:spacing w:after="0" w:line="240" w:lineRule="auto"/>
        <w:rPr>
          <w:rFonts w:ascii="Times New Roman" w:hAnsi="Times New Roman" w:cs="Times New Roman"/>
          <w:sz w:val="24"/>
          <w:szCs w:val="24"/>
          <w:lang w:val="en-US"/>
        </w:rPr>
      </w:pPr>
    </w:p>
    <w:p w:rsidR="00481C31" w:rsidRPr="00F47B45" w:rsidRDefault="00481C31" w:rsidP="00F47B45">
      <w:pPr>
        <w:spacing w:after="0" w:line="240" w:lineRule="auto"/>
        <w:rPr>
          <w:rFonts w:ascii="Times New Roman" w:hAnsi="Times New Roman" w:cs="Times New Roman"/>
          <w:sz w:val="24"/>
          <w:szCs w:val="24"/>
          <w:lang w:val="en-GB"/>
        </w:rPr>
      </w:pPr>
      <w:r w:rsidRPr="00F47B45">
        <w:rPr>
          <w:rFonts w:ascii="Times New Roman" w:hAnsi="Times New Roman" w:cs="Times New Roman"/>
          <w:b/>
          <w:sz w:val="24"/>
          <w:szCs w:val="24"/>
          <w:lang w:val="en-GB"/>
        </w:rPr>
        <w:t>Table S</w:t>
      </w:r>
      <w:r w:rsidR="0021374B" w:rsidRPr="00F47B45">
        <w:rPr>
          <w:rFonts w:ascii="Times New Roman" w:hAnsi="Times New Roman" w:cs="Times New Roman"/>
          <w:b/>
          <w:sz w:val="24"/>
          <w:szCs w:val="24"/>
          <w:lang w:val="en-GB"/>
        </w:rPr>
        <w:t>1</w:t>
      </w:r>
      <w:r w:rsidRPr="00F47B45">
        <w:rPr>
          <w:rFonts w:ascii="Times New Roman" w:hAnsi="Times New Roman" w:cs="Times New Roman"/>
          <w:b/>
          <w:sz w:val="24"/>
          <w:szCs w:val="24"/>
          <w:lang w:val="en-GB"/>
        </w:rPr>
        <w:t>.</w:t>
      </w:r>
      <w:r w:rsidRPr="00F47B45">
        <w:rPr>
          <w:rFonts w:ascii="Times New Roman" w:hAnsi="Times New Roman" w:cs="Times New Roman"/>
          <w:sz w:val="24"/>
          <w:szCs w:val="24"/>
          <w:lang w:val="en-GB"/>
        </w:rPr>
        <w:t xml:space="preserve"> Summary of the </w:t>
      </w:r>
      <w:r w:rsidR="005A4FE8" w:rsidRPr="00F47B45">
        <w:rPr>
          <w:rFonts w:ascii="Times New Roman" w:hAnsi="Times New Roman" w:cs="Times New Roman"/>
          <w:sz w:val="24"/>
          <w:szCs w:val="24"/>
          <w:lang w:val="en-US"/>
        </w:rPr>
        <w:t xml:space="preserve">Generalized Additive </w:t>
      </w:r>
      <w:r w:rsidR="00657475" w:rsidRPr="00F47B45">
        <w:rPr>
          <w:rFonts w:ascii="Times New Roman" w:hAnsi="Times New Roman" w:cs="Times New Roman"/>
          <w:sz w:val="24"/>
          <w:szCs w:val="24"/>
          <w:lang w:val="en-US"/>
        </w:rPr>
        <w:t xml:space="preserve">Mixed </w:t>
      </w:r>
      <w:r w:rsidR="005A4FE8" w:rsidRPr="00F47B45">
        <w:rPr>
          <w:rFonts w:ascii="Times New Roman" w:hAnsi="Times New Roman" w:cs="Times New Roman"/>
          <w:sz w:val="24"/>
          <w:szCs w:val="24"/>
          <w:lang w:val="en-US"/>
        </w:rPr>
        <w:t>Models</w:t>
      </w:r>
      <w:r w:rsidR="005A4FE8" w:rsidRPr="00F47B45">
        <w:rPr>
          <w:rFonts w:ascii="Times New Roman" w:hAnsi="Times New Roman" w:cs="Times New Roman"/>
          <w:sz w:val="24"/>
          <w:szCs w:val="24"/>
          <w:lang w:val="en-GB"/>
        </w:rPr>
        <w:t xml:space="preserve"> </w:t>
      </w:r>
      <w:r w:rsidR="0062512C" w:rsidRPr="00F47B45">
        <w:rPr>
          <w:rFonts w:ascii="Times New Roman" w:hAnsi="Times New Roman" w:cs="Times New Roman"/>
          <w:sz w:val="24"/>
          <w:szCs w:val="24"/>
          <w:lang w:val="en-GB"/>
        </w:rPr>
        <w:t xml:space="preserve">fitted </w:t>
      </w:r>
      <w:r w:rsidRPr="00F47B45">
        <w:rPr>
          <w:rFonts w:ascii="Times New Roman" w:hAnsi="Times New Roman" w:cs="Times New Roman"/>
          <w:sz w:val="24"/>
          <w:szCs w:val="24"/>
          <w:lang w:val="en-GB"/>
        </w:rPr>
        <w:t xml:space="preserve">to explain the temporal trend of </w:t>
      </w:r>
      <w:r w:rsidR="005A4FE8" w:rsidRPr="00F47B45">
        <w:rPr>
          <w:rFonts w:ascii="Times New Roman" w:hAnsi="Times New Roman" w:cs="Times New Roman"/>
          <w:sz w:val="24"/>
          <w:szCs w:val="24"/>
          <w:lang w:val="en-US"/>
        </w:rPr>
        <w:t>Normalized Difference Vegetation Index</w:t>
      </w:r>
      <w:r w:rsidR="005A4FE8" w:rsidRPr="00F47B45">
        <w:rPr>
          <w:rFonts w:ascii="Times New Roman" w:hAnsi="Times New Roman" w:cs="Times New Roman"/>
          <w:sz w:val="24"/>
          <w:szCs w:val="24"/>
          <w:lang w:val="en-GB"/>
        </w:rPr>
        <w:t xml:space="preserve"> (</w:t>
      </w:r>
      <w:r w:rsidRPr="00F47B45">
        <w:rPr>
          <w:rFonts w:ascii="Times New Roman" w:hAnsi="Times New Roman" w:cs="Times New Roman"/>
          <w:sz w:val="24"/>
          <w:szCs w:val="24"/>
          <w:lang w:val="en-GB"/>
        </w:rPr>
        <w:t>NDVI</w:t>
      </w:r>
      <w:r w:rsidR="005A4FE8" w:rsidRPr="00F47B45">
        <w:rPr>
          <w:rFonts w:ascii="Times New Roman" w:hAnsi="Times New Roman" w:cs="Times New Roman"/>
          <w:sz w:val="24"/>
          <w:szCs w:val="24"/>
          <w:lang w:val="en-GB"/>
        </w:rPr>
        <w:t>)</w:t>
      </w:r>
      <w:r w:rsidRPr="00F47B45">
        <w:rPr>
          <w:rFonts w:ascii="Times New Roman" w:hAnsi="Times New Roman" w:cs="Times New Roman"/>
          <w:sz w:val="24"/>
          <w:szCs w:val="24"/>
          <w:lang w:val="en-GB"/>
        </w:rPr>
        <w:t xml:space="preserve"> in the</w:t>
      </w:r>
      <w:r w:rsidR="0062512C" w:rsidRPr="00F47B45">
        <w:rPr>
          <w:rFonts w:ascii="Times New Roman" w:hAnsi="Times New Roman" w:cs="Times New Roman"/>
          <w:sz w:val="24"/>
          <w:szCs w:val="24"/>
          <w:lang w:val="en-GB"/>
        </w:rPr>
        <w:t xml:space="preserve"> studied</w:t>
      </w:r>
      <w:r w:rsidRPr="00F47B45">
        <w:rPr>
          <w:rFonts w:ascii="Times New Roman" w:hAnsi="Times New Roman" w:cs="Times New Roman"/>
          <w:sz w:val="24"/>
          <w:szCs w:val="24"/>
          <w:lang w:val="en-GB"/>
        </w:rPr>
        <w:t xml:space="preserve"> </w:t>
      </w:r>
      <w:r w:rsidR="005A4FE8" w:rsidRPr="00F47B45">
        <w:rPr>
          <w:rFonts w:ascii="Times New Roman" w:hAnsi="Times New Roman" w:cs="Times New Roman"/>
          <w:sz w:val="24"/>
          <w:szCs w:val="24"/>
          <w:lang w:val="en-GB"/>
        </w:rPr>
        <w:t xml:space="preserve">Scots pine and silver fir </w:t>
      </w:r>
      <w:r w:rsidRPr="00F47B45">
        <w:rPr>
          <w:rFonts w:ascii="Times New Roman" w:hAnsi="Times New Roman" w:cs="Times New Roman"/>
          <w:sz w:val="24"/>
          <w:szCs w:val="24"/>
          <w:lang w:val="en-GB"/>
        </w:rPr>
        <w:t xml:space="preserve">forests. </w:t>
      </w:r>
      <w:r w:rsidR="00AD38F6" w:rsidRPr="00F47B45">
        <w:rPr>
          <w:rFonts w:ascii="Times New Roman" w:hAnsi="Times New Roman" w:cs="Times New Roman"/>
          <w:sz w:val="24"/>
          <w:szCs w:val="24"/>
          <w:lang w:val="en-GB"/>
        </w:rPr>
        <w:t xml:space="preserve">For each model, we provide </w:t>
      </w:r>
      <w:r w:rsidR="00657475" w:rsidRPr="00F47B45">
        <w:rPr>
          <w:rFonts w:ascii="Times New Roman" w:hAnsi="Times New Roman" w:cs="Times New Roman"/>
          <w:sz w:val="24"/>
          <w:szCs w:val="24"/>
          <w:lang w:val="en-GB"/>
        </w:rPr>
        <w:t xml:space="preserve">the estimated </w:t>
      </w:r>
      <w:r w:rsidR="00AD38F6" w:rsidRPr="00F47B45">
        <w:rPr>
          <w:rFonts w:ascii="Times New Roman" w:hAnsi="Times New Roman" w:cs="Times New Roman"/>
          <w:sz w:val="24"/>
          <w:szCs w:val="24"/>
          <w:lang w:val="en-GB"/>
        </w:rPr>
        <w:t xml:space="preserve">degrees of freedom </w:t>
      </w:r>
      <w:r w:rsidR="00657475" w:rsidRPr="00F47B45">
        <w:rPr>
          <w:rFonts w:ascii="Times New Roman" w:hAnsi="Times New Roman" w:cs="Times New Roman"/>
          <w:sz w:val="24"/>
          <w:szCs w:val="24"/>
          <w:lang w:val="en-GB"/>
        </w:rPr>
        <w:t>(</w:t>
      </w:r>
      <w:proofErr w:type="spellStart"/>
      <w:r w:rsidR="00657475" w:rsidRPr="00F47B45">
        <w:rPr>
          <w:rFonts w:ascii="Times New Roman" w:hAnsi="Times New Roman" w:cs="Times New Roman"/>
          <w:sz w:val="24"/>
          <w:szCs w:val="24"/>
          <w:lang w:val="en-GB"/>
        </w:rPr>
        <w:t>edf</w:t>
      </w:r>
      <w:proofErr w:type="spellEnd"/>
      <w:r w:rsidR="00657475" w:rsidRPr="00F47B45">
        <w:rPr>
          <w:rFonts w:ascii="Times New Roman" w:hAnsi="Times New Roman" w:cs="Times New Roman"/>
          <w:sz w:val="24"/>
          <w:szCs w:val="24"/>
          <w:lang w:val="en-GB"/>
        </w:rPr>
        <w:t xml:space="preserve">) </w:t>
      </w:r>
      <w:r w:rsidR="00AD38F6" w:rsidRPr="00F47B45">
        <w:rPr>
          <w:rFonts w:ascii="Times New Roman" w:hAnsi="Times New Roman" w:cs="Times New Roman"/>
          <w:sz w:val="24"/>
          <w:szCs w:val="24"/>
          <w:lang w:val="en-GB"/>
        </w:rPr>
        <w:t xml:space="preserve">and </w:t>
      </w:r>
      <w:r w:rsidR="00657475" w:rsidRPr="00F47B45">
        <w:rPr>
          <w:rFonts w:ascii="Times New Roman" w:hAnsi="Times New Roman" w:cs="Times New Roman"/>
          <w:sz w:val="24"/>
          <w:szCs w:val="24"/>
          <w:lang w:val="en-GB"/>
        </w:rPr>
        <w:t xml:space="preserve">the </w:t>
      </w:r>
      <w:r w:rsidR="00AD38F6" w:rsidRPr="00F47B45">
        <w:rPr>
          <w:rFonts w:ascii="Times New Roman" w:hAnsi="Times New Roman" w:cs="Times New Roman"/>
          <w:i/>
          <w:sz w:val="24"/>
          <w:szCs w:val="24"/>
          <w:lang w:val="en-GB"/>
        </w:rPr>
        <w:t>F</w:t>
      </w:r>
      <w:r w:rsidR="00657475" w:rsidRPr="00F47B45">
        <w:rPr>
          <w:rFonts w:ascii="Times New Roman" w:hAnsi="Times New Roman" w:cs="Times New Roman"/>
          <w:sz w:val="24"/>
          <w:szCs w:val="24"/>
          <w:lang w:val="en-GB"/>
        </w:rPr>
        <w:t xml:space="preserve"> </w:t>
      </w:r>
      <w:r w:rsidR="00AD38F6" w:rsidRPr="00F47B45">
        <w:rPr>
          <w:rFonts w:ascii="Times New Roman" w:hAnsi="Times New Roman" w:cs="Times New Roman"/>
          <w:sz w:val="24"/>
          <w:szCs w:val="24"/>
          <w:lang w:val="en-GB"/>
        </w:rPr>
        <w:t>statistic</w:t>
      </w:r>
      <w:r w:rsidR="00657475" w:rsidRPr="00F47B45">
        <w:rPr>
          <w:rFonts w:ascii="Times New Roman" w:hAnsi="Times New Roman" w:cs="Times New Roman"/>
          <w:sz w:val="24"/>
          <w:szCs w:val="24"/>
          <w:lang w:val="en-GB"/>
        </w:rPr>
        <w:t>s</w:t>
      </w:r>
      <w:r w:rsidR="00AD38F6" w:rsidRPr="00F47B45">
        <w:rPr>
          <w:rFonts w:ascii="Times New Roman" w:hAnsi="Times New Roman" w:cs="Times New Roman"/>
          <w:sz w:val="24"/>
          <w:szCs w:val="24"/>
          <w:lang w:val="en-GB"/>
        </w:rPr>
        <w:t xml:space="preserve"> associated to each variable as well as </w:t>
      </w:r>
      <w:r w:rsidR="005A4FE8" w:rsidRPr="00F47B45">
        <w:rPr>
          <w:rFonts w:ascii="Times New Roman" w:hAnsi="Times New Roman" w:cs="Times New Roman"/>
          <w:sz w:val="24"/>
          <w:szCs w:val="24"/>
          <w:lang w:val="en-GB"/>
        </w:rPr>
        <w:t xml:space="preserve">the </w:t>
      </w:r>
      <w:r w:rsidR="006E5CBD" w:rsidRPr="00F47B45">
        <w:rPr>
          <w:rFonts w:ascii="Times New Roman" w:hAnsi="Times New Roman" w:cs="Times New Roman"/>
          <w:sz w:val="24"/>
          <w:szCs w:val="24"/>
          <w:lang w:val="en-GB"/>
        </w:rPr>
        <w:t xml:space="preserve">approximate </w:t>
      </w:r>
      <w:r w:rsidR="005A4FE8" w:rsidRPr="00F47B45">
        <w:rPr>
          <w:rFonts w:ascii="Times New Roman" w:hAnsi="Times New Roman" w:cs="Times New Roman"/>
          <w:sz w:val="24"/>
          <w:szCs w:val="24"/>
          <w:lang w:val="en-GB"/>
        </w:rPr>
        <w:t xml:space="preserve">Generalized Cross Validation </w:t>
      </w:r>
      <w:r w:rsidR="00A1781B" w:rsidRPr="00F47B45">
        <w:rPr>
          <w:rFonts w:ascii="Times New Roman" w:hAnsi="Times New Roman" w:cs="Times New Roman"/>
          <w:sz w:val="24"/>
          <w:szCs w:val="24"/>
          <w:lang w:val="en-GB"/>
        </w:rPr>
        <w:t xml:space="preserve">(GCV) </w:t>
      </w:r>
      <w:r w:rsidR="005A4FE8" w:rsidRPr="00F47B45">
        <w:rPr>
          <w:rFonts w:ascii="Times New Roman" w:hAnsi="Times New Roman" w:cs="Times New Roman"/>
          <w:sz w:val="24"/>
          <w:szCs w:val="24"/>
          <w:lang w:val="en-GB"/>
        </w:rPr>
        <w:t>statistic</w:t>
      </w:r>
      <w:r w:rsidR="00AD38F6" w:rsidRPr="00F47B45">
        <w:rPr>
          <w:rFonts w:ascii="Times New Roman" w:hAnsi="Times New Roman" w:cs="Times New Roman"/>
          <w:sz w:val="24"/>
          <w:szCs w:val="24"/>
          <w:lang w:val="en-GB"/>
        </w:rPr>
        <w:t xml:space="preserve"> and the R</w:t>
      </w:r>
      <w:r w:rsidR="00AD38F6" w:rsidRPr="00F47B45">
        <w:rPr>
          <w:rFonts w:ascii="Times New Roman" w:hAnsi="Times New Roman" w:cs="Times New Roman"/>
          <w:sz w:val="24"/>
          <w:szCs w:val="24"/>
          <w:vertAlign w:val="superscript"/>
          <w:lang w:val="en-GB"/>
        </w:rPr>
        <w:t>2</w:t>
      </w:r>
      <w:r w:rsidR="00AD38F6" w:rsidRPr="00F47B45">
        <w:rPr>
          <w:rFonts w:ascii="Times New Roman" w:hAnsi="Times New Roman" w:cs="Times New Roman"/>
          <w:sz w:val="24"/>
          <w:szCs w:val="24"/>
          <w:lang w:val="en-GB"/>
        </w:rPr>
        <w:t xml:space="preserve"> of the model</w:t>
      </w:r>
      <w:r w:rsidR="00A1781B" w:rsidRPr="00F47B45">
        <w:rPr>
          <w:rFonts w:ascii="Times New Roman" w:hAnsi="Times New Roman" w:cs="Times New Roman"/>
          <w:sz w:val="24"/>
          <w:szCs w:val="24"/>
          <w:lang w:val="en-GB"/>
        </w:rPr>
        <w:t xml:space="preserve">. Significance level: ** </w:t>
      </w:r>
      <w:r w:rsidR="00A1781B" w:rsidRPr="00F47B45">
        <w:rPr>
          <w:rFonts w:ascii="Times New Roman" w:hAnsi="Times New Roman" w:cs="Times New Roman"/>
          <w:i/>
          <w:sz w:val="24"/>
          <w:szCs w:val="24"/>
          <w:lang w:val="en-GB"/>
        </w:rPr>
        <w:t>p</w:t>
      </w:r>
      <w:r w:rsidR="00A1781B" w:rsidRPr="00F47B45">
        <w:rPr>
          <w:rFonts w:ascii="Times New Roman" w:hAnsi="Times New Roman" w:cs="Times New Roman"/>
          <w:sz w:val="24"/>
          <w:szCs w:val="24"/>
          <w:lang w:val="en-GB"/>
        </w:rPr>
        <w:t xml:space="preserve"> &lt; 0.01.</w:t>
      </w:r>
    </w:p>
    <w:p w:rsidR="005A4FE8" w:rsidRPr="00F47B45" w:rsidRDefault="005A4FE8" w:rsidP="00F47B45">
      <w:pPr>
        <w:spacing w:line="240" w:lineRule="auto"/>
        <w:rPr>
          <w:rFonts w:ascii="Times New Roman" w:hAnsi="Times New Roman" w:cs="Times New Roman"/>
          <w:sz w:val="24"/>
          <w:szCs w:val="24"/>
          <w:lang w:val="en-GB"/>
        </w:rPr>
      </w:pPr>
    </w:p>
    <w:tbl>
      <w:tblPr>
        <w:tblStyle w:val="TableGrid"/>
        <w:tblW w:w="864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1135"/>
        <w:gridCol w:w="1136"/>
        <w:gridCol w:w="1063"/>
        <w:gridCol w:w="1063"/>
        <w:gridCol w:w="1416"/>
        <w:gridCol w:w="1416"/>
      </w:tblGrid>
      <w:tr w:rsidR="00A1781B" w:rsidRPr="00F47B45" w:rsidTr="00527EEE">
        <w:tc>
          <w:tcPr>
            <w:tcW w:w="1415" w:type="dxa"/>
            <w:tcBorders>
              <w:top w:val="single" w:sz="4" w:space="0" w:color="auto"/>
              <w:bottom w:val="single" w:sz="4" w:space="0" w:color="auto"/>
            </w:tcBorders>
          </w:tcPr>
          <w:p w:rsidR="00A1781B" w:rsidRPr="00F47B45" w:rsidRDefault="00A1781B" w:rsidP="00F47B45">
            <w:pPr>
              <w:jc w:val="center"/>
              <w:rPr>
                <w:rFonts w:ascii="Times New Roman" w:hAnsi="Times New Roman" w:cs="Times New Roman"/>
                <w:lang w:val="en-GB"/>
              </w:rPr>
            </w:pPr>
            <w:r w:rsidRPr="00F47B45">
              <w:rPr>
                <w:rFonts w:ascii="Times New Roman" w:hAnsi="Times New Roman" w:cs="Times New Roman"/>
                <w:lang w:val="en-GB"/>
              </w:rPr>
              <w:t>Forest type</w:t>
            </w:r>
          </w:p>
        </w:tc>
        <w:tc>
          <w:tcPr>
            <w:tcW w:w="2271" w:type="dxa"/>
            <w:gridSpan w:val="2"/>
            <w:tcBorders>
              <w:top w:val="single" w:sz="4" w:space="0" w:color="auto"/>
              <w:bottom w:val="single" w:sz="4" w:space="0" w:color="auto"/>
            </w:tcBorders>
          </w:tcPr>
          <w:p w:rsidR="00A1781B" w:rsidRPr="00F47B45" w:rsidRDefault="00A1781B" w:rsidP="00F47B45">
            <w:pPr>
              <w:jc w:val="center"/>
              <w:rPr>
                <w:rFonts w:ascii="Times New Roman" w:hAnsi="Times New Roman" w:cs="Times New Roman"/>
                <w:lang w:val="en-GB"/>
              </w:rPr>
            </w:pPr>
            <w:r w:rsidRPr="00F47B45">
              <w:rPr>
                <w:rFonts w:ascii="Times New Roman" w:hAnsi="Times New Roman" w:cs="Times New Roman"/>
                <w:lang w:val="en-GB"/>
              </w:rPr>
              <w:t>Biweekly trend</w:t>
            </w:r>
          </w:p>
        </w:tc>
        <w:tc>
          <w:tcPr>
            <w:tcW w:w="2126" w:type="dxa"/>
            <w:gridSpan w:val="2"/>
            <w:tcBorders>
              <w:top w:val="single" w:sz="4" w:space="0" w:color="auto"/>
              <w:bottom w:val="single" w:sz="4" w:space="0" w:color="auto"/>
            </w:tcBorders>
          </w:tcPr>
          <w:p w:rsidR="00A1781B" w:rsidRPr="00F47B45" w:rsidRDefault="00A1781B" w:rsidP="00F47B45">
            <w:pPr>
              <w:jc w:val="center"/>
              <w:rPr>
                <w:rFonts w:ascii="Times New Roman" w:hAnsi="Times New Roman" w:cs="Times New Roman"/>
                <w:lang w:val="en-GB"/>
              </w:rPr>
            </w:pPr>
            <w:r w:rsidRPr="00F47B45">
              <w:rPr>
                <w:rFonts w:ascii="Times New Roman" w:hAnsi="Times New Roman" w:cs="Times New Roman"/>
                <w:lang w:val="en-GB"/>
              </w:rPr>
              <w:t>Long-term trend</w:t>
            </w:r>
          </w:p>
        </w:tc>
        <w:tc>
          <w:tcPr>
            <w:tcW w:w="1416" w:type="dxa"/>
            <w:vMerge w:val="restart"/>
            <w:tcBorders>
              <w:top w:val="single" w:sz="4" w:space="0" w:color="auto"/>
            </w:tcBorders>
          </w:tcPr>
          <w:p w:rsidR="00A1781B" w:rsidRPr="00F47B45" w:rsidRDefault="00A1781B" w:rsidP="00F47B45">
            <w:pPr>
              <w:jc w:val="center"/>
              <w:rPr>
                <w:rFonts w:ascii="Times New Roman" w:hAnsi="Times New Roman" w:cs="Times New Roman"/>
                <w:lang w:val="en-GB"/>
              </w:rPr>
            </w:pPr>
            <w:r w:rsidRPr="00F47B45">
              <w:rPr>
                <w:rFonts w:ascii="Times New Roman" w:hAnsi="Times New Roman" w:cs="Times New Roman"/>
                <w:lang w:val="en-GB"/>
              </w:rPr>
              <w:t>GCV</w:t>
            </w:r>
          </w:p>
        </w:tc>
        <w:tc>
          <w:tcPr>
            <w:tcW w:w="1416" w:type="dxa"/>
            <w:vMerge w:val="restart"/>
            <w:tcBorders>
              <w:top w:val="single" w:sz="4" w:space="0" w:color="auto"/>
            </w:tcBorders>
          </w:tcPr>
          <w:p w:rsidR="00A1781B" w:rsidRPr="00F47B45" w:rsidRDefault="00A1781B" w:rsidP="00F47B45">
            <w:pPr>
              <w:jc w:val="center"/>
              <w:rPr>
                <w:rFonts w:ascii="Times New Roman" w:hAnsi="Times New Roman" w:cs="Times New Roman"/>
                <w:lang w:val="en-GB"/>
              </w:rPr>
            </w:pPr>
            <w:r w:rsidRPr="00F47B45">
              <w:rPr>
                <w:rFonts w:ascii="Times New Roman" w:hAnsi="Times New Roman" w:cs="Times New Roman"/>
                <w:lang w:val="en-GB"/>
              </w:rPr>
              <w:t>R</w:t>
            </w:r>
            <w:r w:rsidRPr="00F47B45">
              <w:rPr>
                <w:rFonts w:ascii="Times New Roman" w:hAnsi="Times New Roman" w:cs="Times New Roman"/>
                <w:vertAlign w:val="superscript"/>
                <w:lang w:val="en-GB"/>
              </w:rPr>
              <w:t>2</w:t>
            </w:r>
          </w:p>
        </w:tc>
      </w:tr>
      <w:tr w:rsidR="00A1781B" w:rsidRPr="00F47B45" w:rsidTr="00527EEE">
        <w:tc>
          <w:tcPr>
            <w:tcW w:w="1415" w:type="dxa"/>
            <w:tcBorders>
              <w:top w:val="single" w:sz="4" w:space="0" w:color="auto"/>
            </w:tcBorders>
          </w:tcPr>
          <w:p w:rsidR="00A1781B" w:rsidRPr="00F47B45" w:rsidRDefault="00A1781B" w:rsidP="00F47B45">
            <w:pPr>
              <w:rPr>
                <w:rFonts w:ascii="Times New Roman" w:hAnsi="Times New Roman" w:cs="Times New Roman"/>
                <w:lang w:val="en-GB"/>
              </w:rPr>
            </w:pPr>
          </w:p>
        </w:tc>
        <w:tc>
          <w:tcPr>
            <w:tcW w:w="1135" w:type="dxa"/>
            <w:tcBorders>
              <w:top w:val="single" w:sz="4" w:space="0" w:color="auto"/>
            </w:tcBorders>
          </w:tcPr>
          <w:p w:rsidR="00A1781B" w:rsidRPr="00F47B45" w:rsidRDefault="00A1781B" w:rsidP="00F47B45">
            <w:pPr>
              <w:jc w:val="center"/>
              <w:rPr>
                <w:rFonts w:ascii="Times New Roman" w:hAnsi="Times New Roman" w:cs="Times New Roman"/>
                <w:lang w:val="en-GB"/>
              </w:rPr>
            </w:pPr>
            <w:proofErr w:type="spellStart"/>
            <w:r w:rsidRPr="00F47B45">
              <w:rPr>
                <w:rFonts w:ascii="Times New Roman" w:hAnsi="Times New Roman" w:cs="Times New Roman"/>
                <w:lang w:val="en-GB"/>
              </w:rPr>
              <w:t>edf</w:t>
            </w:r>
            <w:proofErr w:type="spellEnd"/>
          </w:p>
        </w:tc>
        <w:tc>
          <w:tcPr>
            <w:tcW w:w="1136" w:type="dxa"/>
            <w:tcBorders>
              <w:top w:val="single" w:sz="4" w:space="0" w:color="auto"/>
            </w:tcBorders>
          </w:tcPr>
          <w:p w:rsidR="00A1781B" w:rsidRPr="00F47B45" w:rsidRDefault="00A1781B" w:rsidP="00F47B45">
            <w:pPr>
              <w:jc w:val="center"/>
              <w:rPr>
                <w:rFonts w:ascii="Times New Roman" w:hAnsi="Times New Roman" w:cs="Times New Roman"/>
                <w:lang w:val="en-GB"/>
              </w:rPr>
            </w:pPr>
            <w:r w:rsidRPr="00F47B45">
              <w:rPr>
                <w:rFonts w:ascii="Times New Roman" w:hAnsi="Times New Roman" w:cs="Times New Roman"/>
                <w:i/>
                <w:lang w:val="en-GB"/>
              </w:rPr>
              <w:t>F</w:t>
            </w:r>
          </w:p>
        </w:tc>
        <w:tc>
          <w:tcPr>
            <w:tcW w:w="1063" w:type="dxa"/>
            <w:tcBorders>
              <w:top w:val="single" w:sz="4" w:space="0" w:color="auto"/>
            </w:tcBorders>
          </w:tcPr>
          <w:p w:rsidR="00A1781B" w:rsidRPr="00F47B45" w:rsidRDefault="00A1781B" w:rsidP="00F47B45">
            <w:pPr>
              <w:jc w:val="center"/>
              <w:rPr>
                <w:rFonts w:ascii="Times New Roman" w:hAnsi="Times New Roman" w:cs="Times New Roman"/>
                <w:lang w:val="en-GB"/>
              </w:rPr>
            </w:pPr>
            <w:proofErr w:type="spellStart"/>
            <w:r w:rsidRPr="00F47B45">
              <w:rPr>
                <w:rFonts w:ascii="Times New Roman" w:hAnsi="Times New Roman" w:cs="Times New Roman"/>
                <w:lang w:val="en-GB"/>
              </w:rPr>
              <w:t>edf</w:t>
            </w:r>
            <w:proofErr w:type="spellEnd"/>
          </w:p>
        </w:tc>
        <w:tc>
          <w:tcPr>
            <w:tcW w:w="1063" w:type="dxa"/>
            <w:tcBorders>
              <w:top w:val="single" w:sz="4" w:space="0" w:color="auto"/>
            </w:tcBorders>
          </w:tcPr>
          <w:p w:rsidR="00A1781B" w:rsidRPr="00F47B45" w:rsidRDefault="00A1781B" w:rsidP="00F47B45">
            <w:pPr>
              <w:jc w:val="center"/>
              <w:rPr>
                <w:rFonts w:ascii="Times New Roman" w:hAnsi="Times New Roman" w:cs="Times New Roman"/>
                <w:i/>
                <w:lang w:val="en-GB"/>
              </w:rPr>
            </w:pPr>
            <w:r w:rsidRPr="00F47B45">
              <w:rPr>
                <w:rFonts w:ascii="Times New Roman" w:hAnsi="Times New Roman" w:cs="Times New Roman"/>
                <w:i/>
                <w:lang w:val="en-GB"/>
              </w:rPr>
              <w:t>F</w:t>
            </w:r>
          </w:p>
        </w:tc>
        <w:tc>
          <w:tcPr>
            <w:tcW w:w="1416" w:type="dxa"/>
            <w:vMerge/>
          </w:tcPr>
          <w:p w:rsidR="00A1781B" w:rsidRPr="00F47B45" w:rsidRDefault="00A1781B" w:rsidP="00F47B45">
            <w:pPr>
              <w:jc w:val="center"/>
              <w:rPr>
                <w:rFonts w:ascii="Times New Roman" w:hAnsi="Times New Roman" w:cs="Times New Roman"/>
                <w:lang w:val="en-GB"/>
              </w:rPr>
            </w:pPr>
          </w:p>
        </w:tc>
        <w:tc>
          <w:tcPr>
            <w:tcW w:w="1416" w:type="dxa"/>
            <w:vMerge/>
          </w:tcPr>
          <w:p w:rsidR="00A1781B" w:rsidRPr="00F47B45" w:rsidRDefault="00A1781B" w:rsidP="00F47B45">
            <w:pPr>
              <w:jc w:val="center"/>
              <w:rPr>
                <w:rFonts w:ascii="Times New Roman" w:hAnsi="Times New Roman" w:cs="Times New Roman"/>
                <w:lang w:val="en-GB"/>
              </w:rPr>
            </w:pPr>
          </w:p>
        </w:tc>
      </w:tr>
      <w:tr w:rsidR="00657475" w:rsidRPr="00F47B45" w:rsidTr="00527EEE">
        <w:tc>
          <w:tcPr>
            <w:tcW w:w="1415" w:type="dxa"/>
            <w:tcBorders>
              <w:top w:val="single" w:sz="4" w:space="0" w:color="auto"/>
            </w:tcBorders>
          </w:tcPr>
          <w:p w:rsidR="00657475" w:rsidRPr="00F47B45" w:rsidRDefault="00657475" w:rsidP="00F47B45">
            <w:pPr>
              <w:rPr>
                <w:rFonts w:ascii="Times New Roman" w:hAnsi="Times New Roman" w:cs="Times New Roman"/>
                <w:lang w:val="en-GB"/>
              </w:rPr>
            </w:pPr>
            <w:r w:rsidRPr="00F47B45">
              <w:rPr>
                <w:rFonts w:ascii="Times New Roman" w:hAnsi="Times New Roman" w:cs="Times New Roman"/>
                <w:lang w:val="en-GB"/>
              </w:rPr>
              <w:t>Scots pine</w:t>
            </w:r>
          </w:p>
        </w:tc>
        <w:tc>
          <w:tcPr>
            <w:tcW w:w="1135" w:type="dxa"/>
            <w:tcBorders>
              <w:top w:val="single" w:sz="4" w:space="0" w:color="auto"/>
            </w:tcBorders>
          </w:tcPr>
          <w:p w:rsidR="00657475" w:rsidRPr="00F47B45" w:rsidRDefault="00657475" w:rsidP="00F47B45">
            <w:pPr>
              <w:jc w:val="center"/>
              <w:rPr>
                <w:rFonts w:ascii="Times New Roman" w:hAnsi="Times New Roman" w:cs="Times New Roman"/>
                <w:lang w:val="en-GB"/>
              </w:rPr>
            </w:pPr>
            <w:r w:rsidRPr="00F47B45">
              <w:rPr>
                <w:rFonts w:ascii="Times New Roman" w:hAnsi="Times New Roman" w:cs="Times New Roman"/>
                <w:lang w:val="en-GB"/>
              </w:rPr>
              <w:t>7.58</w:t>
            </w:r>
          </w:p>
        </w:tc>
        <w:tc>
          <w:tcPr>
            <w:tcW w:w="1136" w:type="dxa"/>
            <w:tcBorders>
              <w:top w:val="single" w:sz="4" w:space="0" w:color="auto"/>
            </w:tcBorders>
          </w:tcPr>
          <w:p w:rsidR="00657475" w:rsidRPr="00F47B45" w:rsidRDefault="00657475" w:rsidP="00F47B45">
            <w:pPr>
              <w:jc w:val="center"/>
              <w:rPr>
                <w:rFonts w:ascii="Times New Roman" w:hAnsi="Times New Roman" w:cs="Times New Roman"/>
                <w:lang w:val="en-GB"/>
              </w:rPr>
            </w:pPr>
            <w:r w:rsidRPr="00F47B45">
              <w:rPr>
                <w:rFonts w:ascii="Times New Roman" w:hAnsi="Times New Roman" w:cs="Times New Roman"/>
                <w:lang w:val="en-GB"/>
              </w:rPr>
              <w:t>32.87**</w:t>
            </w:r>
          </w:p>
        </w:tc>
        <w:tc>
          <w:tcPr>
            <w:tcW w:w="1063" w:type="dxa"/>
            <w:tcBorders>
              <w:top w:val="single" w:sz="4" w:space="0" w:color="auto"/>
            </w:tcBorders>
          </w:tcPr>
          <w:p w:rsidR="00657475" w:rsidRPr="00F47B45" w:rsidRDefault="00657475" w:rsidP="00F47B45">
            <w:pPr>
              <w:jc w:val="center"/>
              <w:rPr>
                <w:rFonts w:ascii="Times New Roman" w:hAnsi="Times New Roman" w:cs="Times New Roman"/>
                <w:lang w:val="en-GB"/>
              </w:rPr>
            </w:pPr>
            <w:r w:rsidRPr="00F47B45">
              <w:rPr>
                <w:rFonts w:ascii="Times New Roman" w:hAnsi="Times New Roman" w:cs="Times New Roman"/>
                <w:lang w:val="en-GB"/>
              </w:rPr>
              <w:t>8.34</w:t>
            </w:r>
          </w:p>
        </w:tc>
        <w:tc>
          <w:tcPr>
            <w:tcW w:w="1063" w:type="dxa"/>
            <w:tcBorders>
              <w:top w:val="single" w:sz="4" w:space="0" w:color="auto"/>
            </w:tcBorders>
          </w:tcPr>
          <w:p w:rsidR="00657475" w:rsidRPr="00F47B45" w:rsidRDefault="00657475" w:rsidP="00F47B45">
            <w:pPr>
              <w:jc w:val="center"/>
              <w:rPr>
                <w:rFonts w:ascii="Times New Roman" w:hAnsi="Times New Roman" w:cs="Times New Roman"/>
                <w:lang w:val="en-GB"/>
              </w:rPr>
            </w:pPr>
            <w:r w:rsidRPr="00F47B45">
              <w:rPr>
                <w:rFonts w:ascii="Times New Roman" w:hAnsi="Times New Roman" w:cs="Times New Roman"/>
                <w:lang w:val="en-GB"/>
              </w:rPr>
              <w:t>16.30**</w:t>
            </w:r>
          </w:p>
        </w:tc>
        <w:tc>
          <w:tcPr>
            <w:tcW w:w="1416" w:type="dxa"/>
            <w:tcBorders>
              <w:top w:val="single" w:sz="4" w:space="0" w:color="auto"/>
            </w:tcBorders>
          </w:tcPr>
          <w:p w:rsidR="00657475" w:rsidRPr="00F47B45" w:rsidRDefault="00657475" w:rsidP="00F47B45">
            <w:pPr>
              <w:jc w:val="center"/>
              <w:rPr>
                <w:rFonts w:ascii="Times New Roman" w:hAnsi="Times New Roman" w:cs="Times New Roman"/>
                <w:lang w:val="en-GB"/>
              </w:rPr>
            </w:pPr>
            <w:r w:rsidRPr="00F47B45">
              <w:rPr>
                <w:rFonts w:ascii="Times New Roman" w:hAnsi="Times New Roman" w:cs="Times New Roman"/>
                <w:lang w:val="en-GB"/>
              </w:rPr>
              <w:t>0.002</w:t>
            </w:r>
          </w:p>
        </w:tc>
        <w:tc>
          <w:tcPr>
            <w:tcW w:w="1416" w:type="dxa"/>
            <w:tcBorders>
              <w:top w:val="single" w:sz="4" w:space="0" w:color="auto"/>
            </w:tcBorders>
          </w:tcPr>
          <w:p w:rsidR="00657475" w:rsidRPr="00F47B45" w:rsidRDefault="00657475" w:rsidP="00F47B45">
            <w:pPr>
              <w:jc w:val="center"/>
              <w:rPr>
                <w:rFonts w:ascii="Times New Roman" w:hAnsi="Times New Roman" w:cs="Times New Roman"/>
                <w:lang w:val="en-GB"/>
              </w:rPr>
            </w:pPr>
            <w:r w:rsidRPr="00F47B45">
              <w:rPr>
                <w:rFonts w:ascii="Times New Roman" w:hAnsi="Times New Roman" w:cs="Times New Roman"/>
                <w:lang w:val="en-GB"/>
              </w:rPr>
              <w:t>0.33</w:t>
            </w:r>
          </w:p>
        </w:tc>
      </w:tr>
      <w:tr w:rsidR="00657475" w:rsidRPr="00F47B45" w:rsidTr="00527EEE">
        <w:tc>
          <w:tcPr>
            <w:tcW w:w="1415" w:type="dxa"/>
          </w:tcPr>
          <w:p w:rsidR="00657475" w:rsidRPr="00F47B45" w:rsidRDefault="00657475" w:rsidP="00F47B45">
            <w:pPr>
              <w:rPr>
                <w:rFonts w:ascii="Times New Roman" w:hAnsi="Times New Roman" w:cs="Times New Roman"/>
                <w:lang w:val="en-GB"/>
              </w:rPr>
            </w:pPr>
            <w:r w:rsidRPr="00F47B45">
              <w:rPr>
                <w:rFonts w:ascii="Times New Roman" w:hAnsi="Times New Roman" w:cs="Times New Roman"/>
                <w:lang w:val="en-GB"/>
              </w:rPr>
              <w:t>Silver fir</w:t>
            </w:r>
          </w:p>
        </w:tc>
        <w:tc>
          <w:tcPr>
            <w:tcW w:w="1135" w:type="dxa"/>
          </w:tcPr>
          <w:p w:rsidR="00657475" w:rsidRPr="00F47B45" w:rsidRDefault="00657475" w:rsidP="00F47B45">
            <w:pPr>
              <w:jc w:val="center"/>
              <w:rPr>
                <w:rFonts w:ascii="Times New Roman" w:hAnsi="Times New Roman" w:cs="Times New Roman"/>
                <w:lang w:val="en-GB"/>
              </w:rPr>
            </w:pPr>
            <w:r w:rsidRPr="00F47B45">
              <w:rPr>
                <w:rFonts w:ascii="Times New Roman" w:hAnsi="Times New Roman" w:cs="Times New Roman"/>
                <w:lang w:val="en-GB"/>
              </w:rPr>
              <w:t xml:space="preserve">7.47 </w:t>
            </w:r>
          </w:p>
        </w:tc>
        <w:tc>
          <w:tcPr>
            <w:tcW w:w="1136" w:type="dxa"/>
          </w:tcPr>
          <w:p w:rsidR="00657475" w:rsidRPr="00F47B45" w:rsidRDefault="00657475" w:rsidP="00F47B45">
            <w:pPr>
              <w:jc w:val="center"/>
              <w:rPr>
                <w:rFonts w:ascii="Times New Roman" w:hAnsi="Times New Roman" w:cs="Times New Roman"/>
                <w:lang w:val="en-GB"/>
              </w:rPr>
            </w:pPr>
            <w:r w:rsidRPr="00F47B45">
              <w:rPr>
                <w:rFonts w:ascii="Times New Roman" w:hAnsi="Times New Roman" w:cs="Times New Roman"/>
                <w:lang w:val="en-GB"/>
              </w:rPr>
              <w:t>279.38**</w:t>
            </w:r>
          </w:p>
        </w:tc>
        <w:tc>
          <w:tcPr>
            <w:tcW w:w="1063" w:type="dxa"/>
          </w:tcPr>
          <w:p w:rsidR="00657475" w:rsidRPr="00F47B45" w:rsidRDefault="00657475" w:rsidP="00F47B45">
            <w:pPr>
              <w:jc w:val="center"/>
              <w:rPr>
                <w:rFonts w:ascii="Times New Roman" w:hAnsi="Times New Roman" w:cs="Times New Roman"/>
                <w:lang w:val="en-GB"/>
              </w:rPr>
            </w:pPr>
            <w:r w:rsidRPr="00F47B45">
              <w:rPr>
                <w:rFonts w:ascii="Times New Roman" w:hAnsi="Times New Roman" w:cs="Times New Roman"/>
                <w:lang w:val="en-GB"/>
              </w:rPr>
              <w:t>5.38</w:t>
            </w:r>
          </w:p>
        </w:tc>
        <w:tc>
          <w:tcPr>
            <w:tcW w:w="1063" w:type="dxa"/>
          </w:tcPr>
          <w:p w:rsidR="00657475" w:rsidRPr="00F47B45" w:rsidRDefault="00657475" w:rsidP="00F47B45">
            <w:pPr>
              <w:jc w:val="center"/>
              <w:rPr>
                <w:rFonts w:ascii="Times New Roman" w:hAnsi="Times New Roman" w:cs="Times New Roman"/>
                <w:lang w:val="en-GB"/>
              </w:rPr>
            </w:pPr>
            <w:r w:rsidRPr="00F47B45">
              <w:rPr>
                <w:rFonts w:ascii="Times New Roman" w:hAnsi="Times New Roman" w:cs="Times New Roman"/>
                <w:lang w:val="en-GB"/>
              </w:rPr>
              <w:t>4.67**</w:t>
            </w:r>
          </w:p>
        </w:tc>
        <w:tc>
          <w:tcPr>
            <w:tcW w:w="1416" w:type="dxa"/>
          </w:tcPr>
          <w:p w:rsidR="00657475" w:rsidRPr="00F47B45" w:rsidRDefault="00657475" w:rsidP="00F47B45">
            <w:pPr>
              <w:jc w:val="center"/>
              <w:rPr>
                <w:rFonts w:ascii="Times New Roman" w:hAnsi="Times New Roman" w:cs="Times New Roman"/>
                <w:lang w:val="en-GB"/>
              </w:rPr>
            </w:pPr>
            <w:r w:rsidRPr="00F47B45">
              <w:rPr>
                <w:rFonts w:ascii="Times New Roman" w:hAnsi="Times New Roman" w:cs="Times New Roman"/>
                <w:lang w:val="en-GB"/>
              </w:rPr>
              <w:t>0.005</w:t>
            </w:r>
          </w:p>
        </w:tc>
        <w:tc>
          <w:tcPr>
            <w:tcW w:w="1416" w:type="dxa"/>
          </w:tcPr>
          <w:p w:rsidR="00657475" w:rsidRPr="00F47B45" w:rsidRDefault="00657475" w:rsidP="00F47B45">
            <w:pPr>
              <w:jc w:val="center"/>
              <w:rPr>
                <w:rFonts w:ascii="Times New Roman" w:hAnsi="Times New Roman" w:cs="Times New Roman"/>
                <w:lang w:val="en-GB"/>
              </w:rPr>
            </w:pPr>
            <w:r w:rsidRPr="00F47B45">
              <w:rPr>
                <w:rFonts w:ascii="Times New Roman" w:hAnsi="Times New Roman" w:cs="Times New Roman"/>
                <w:lang w:val="en-GB"/>
              </w:rPr>
              <w:t>0.74</w:t>
            </w:r>
          </w:p>
        </w:tc>
      </w:tr>
    </w:tbl>
    <w:p w:rsidR="00A55204" w:rsidRPr="00F47B45" w:rsidRDefault="00A55204" w:rsidP="00F47B45">
      <w:pPr>
        <w:spacing w:after="0" w:line="240" w:lineRule="auto"/>
        <w:rPr>
          <w:rFonts w:ascii="Times New Roman" w:hAnsi="Times New Roman" w:cs="Times New Roman"/>
          <w:b/>
          <w:sz w:val="24"/>
          <w:szCs w:val="24"/>
          <w:lang w:val="en-US"/>
        </w:rPr>
      </w:pPr>
    </w:p>
    <w:p w:rsidR="00ED0690" w:rsidRDefault="00ED0690" w:rsidP="00F47B45">
      <w:pPr>
        <w:spacing w:line="240" w:lineRule="auto"/>
        <w:rPr>
          <w:rFonts w:ascii="Times New Roman" w:hAnsi="Times New Roman" w:cs="Times New Roman"/>
          <w:b/>
          <w:sz w:val="24"/>
          <w:szCs w:val="24"/>
          <w:lang w:val="en-US"/>
        </w:rPr>
      </w:pPr>
    </w:p>
    <w:p w:rsidR="00ED0690" w:rsidRDefault="00A55204" w:rsidP="00ED0690">
      <w:pPr>
        <w:spacing w:after="0" w:line="240" w:lineRule="auto"/>
        <w:rPr>
          <w:rFonts w:ascii="Times New Roman" w:hAnsi="Times New Roman" w:cs="Times New Roman"/>
          <w:b/>
          <w:sz w:val="24"/>
          <w:szCs w:val="24"/>
          <w:lang w:val="en-US"/>
        </w:rPr>
        <w:sectPr w:rsidR="00ED0690" w:rsidSect="00447241">
          <w:footerReference w:type="default" r:id="rId8"/>
          <w:pgSz w:w="11906" w:h="16838"/>
          <w:pgMar w:top="1418" w:right="1701" w:bottom="1418" w:left="1701" w:header="709" w:footer="709" w:gutter="0"/>
          <w:cols w:space="708"/>
          <w:docGrid w:linePitch="360"/>
        </w:sectPr>
      </w:pPr>
      <w:r w:rsidRPr="00F47B45">
        <w:rPr>
          <w:rFonts w:ascii="Times New Roman" w:hAnsi="Times New Roman" w:cs="Times New Roman"/>
          <w:b/>
          <w:sz w:val="24"/>
          <w:szCs w:val="24"/>
          <w:lang w:val="en-US"/>
        </w:rPr>
        <w:br w:type="page"/>
      </w:r>
    </w:p>
    <w:p w:rsidR="00ED0690" w:rsidRDefault="00ED0690" w:rsidP="00ED0690">
      <w:pPr>
        <w:spacing w:after="120" w:line="240" w:lineRule="auto"/>
        <w:rPr>
          <w:rFonts w:ascii="Times New Roman" w:hAnsi="Times New Roman"/>
          <w:sz w:val="24"/>
          <w:szCs w:val="24"/>
          <w:lang w:val="en-US" w:eastAsia="es-ES"/>
        </w:rPr>
      </w:pPr>
      <w:r w:rsidRPr="00F47B45">
        <w:rPr>
          <w:rFonts w:ascii="Times New Roman" w:hAnsi="Times New Roman" w:cs="Times New Roman"/>
          <w:b/>
          <w:sz w:val="24"/>
          <w:szCs w:val="24"/>
          <w:lang w:val="en-GB"/>
        </w:rPr>
        <w:lastRenderedPageBreak/>
        <w:t>Table S</w:t>
      </w:r>
      <w:r>
        <w:rPr>
          <w:rFonts w:ascii="Times New Roman" w:hAnsi="Times New Roman" w:cs="Times New Roman"/>
          <w:b/>
          <w:sz w:val="24"/>
          <w:szCs w:val="24"/>
          <w:lang w:val="en-GB"/>
        </w:rPr>
        <w:t>2</w:t>
      </w:r>
      <w:r w:rsidRPr="00F47B45">
        <w:rPr>
          <w:rFonts w:ascii="Times New Roman" w:hAnsi="Times New Roman" w:cs="Times New Roman"/>
          <w:b/>
          <w:sz w:val="24"/>
          <w:szCs w:val="24"/>
          <w:lang w:val="en-GB"/>
        </w:rPr>
        <w:t>.</w:t>
      </w:r>
      <w:r w:rsidRPr="00F47B45">
        <w:rPr>
          <w:rFonts w:ascii="Times New Roman" w:hAnsi="Times New Roman" w:cs="Times New Roman"/>
          <w:sz w:val="24"/>
          <w:szCs w:val="24"/>
          <w:lang w:val="en-GB"/>
        </w:rPr>
        <w:t xml:space="preserve"> </w:t>
      </w:r>
      <w:r w:rsidRPr="00FC12C2">
        <w:rPr>
          <w:rFonts w:ascii="Times New Roman" w:hAnsi="Times New Roman" w:cs="Times New Roman"/>
          <w:b/>
          <w:sz w:val="24"/>
          <w:szCs w:val="24"/>
          <w:lang w:val="en-US"/>
        </w:rPr>
        <w:t xml:space="preserve"> </w:t>
      </w:r>
      <w:r>
        <w:rPr>
          <w:rFonts w:ascii="Times New Roman" w:hAnsi="Times New Roman" w:cs="Times New Roman"/>
          <w:sz w:val="24"/>
          <w:szCs w:val="24"/>
          <w:lang w:val="en-US"/>
        </w:rPr>
        <w:t>Results of the linear mixed-effect model selected to study radial-growth trends of the four-tree species together (</w:t>
      </w:r>
      <w:r w:rsidRPr="00FC0DE9">
        <w:rPr>
          <w:rFonts w:ascii="Times New Roman" w:hAnsi="Times New Roman" w:cs="Times New Roman"/>
          <w:i/>
          <w:sz w:val="24"/>
          <w:szCs w:val="24"/>
          <w:lang w:val="en-US"/>
        </w:rPr>
        <w:t xml:space="preserve">P. </w:t>
      </w:r>
      <w:proofErr w:type="spellStart"/>
      <w:r w:rsidRPr="00FC0DE9">
        <w:rPr>
          <w:rFonts w:ascii="Times New Roman" w:hAnsi="Times New Roman" w:cs="Times New Roman"/>
          <w:i/>
          <w:sz w:val="24"/>
          <w:szCs w:val="24"/>
          <w:lang w:val="en-US"/>
        </w:rPr>
        <w:t>sylvestris</w:t>
      </w:r>
      <w:proofErr w:type="spellEnd"/>
      <w:r>
        <w:rPr>
          <w:rFonts w:ascii="Times New Roman" w:hAnsi="Times New Roman" w:cs="Times New Roman"/>
          <w:sz w:val="24"/>
          <w:szCs w:val="24"/>
          <w:lang w:val="en-US"/>
        </w:rPr>
        <w:t xml:space="preserve">, </w:t>
      </w:r>
      <w:r w:rsidRPr="00594C1E">
        <w:rPr>
          <w:rFonts w:ascii="Times New Roman" w:hAnsi="Times New Roman" w:cs="Times New Roman"/>
          <w:i/>
          <w:sz w:val="24"/>
          <w:szCs w:val="24"/>
          <w:lang w:val="en-GB"/>
        </w:rPr>
        <w:t xml:space="preserve">J. </w:t>
      </w:r>
      <w:proofErr w:type="spellStart"/>
      <w:r w:rsidRPr="00594C1E">
        <w:rPr>
          <w:rFonts w:ascii="Times New Roman" w:hAnsi="Times New Roman" w:cs="Times New Roman"/>
          <w:i/>
          <w:sz w:val="24"/>
          <w:szCs w:val="24"/>
          <w:lang w:val="en-GB"/>
        </w:rPr>
        <w:t>thurifera</w:t>
      </w:r>
      <w:proofErr w:type="spellEnd"/>
      <w:r>
        <w:rPr>
          <w:rFonts w:ascii="Times New Roman" w:hAnsi="Times New Roman" w:cs="Times New Roman"/>
          <w:sz w:val="24"/>
          <w:szCs w:val="24"/>
          <w:lang w:val="en-GB"/>
        </w:rPr>
        <w:t xml:space="preserve">, </w:t>
      </w:r>
      <w:r w:rsidRPr="00FC0DE9">
        <w:rPr>
          <w:rFonts w:ascii="Times New Roman" w:hAnsi="Times New Roman" w:cs="Times New Roman"/>
          <w:i/>
          <w:sz w:val="24"/>
          <w:szCs w:val="24"/>
          <w:lang w:val="en-US"/>
        </w:rPr>
        <w:t>A. alba</w:t>
      </w:r>
      <w:r>
        <w:rPr>
          <w:rFonts w:ascii="Times New Roman" w:hAnsi="Times New Roman" w:cs="Times New Roman"/>
          <w:sz w:val="24"/>
          <w:szCs w:val="24"/>
          <w:lang w:val="en-US"/>
        </w:rPr>
        <w:t xml:space="preserve">, </w:t>
      </w:r>
      <w:r w:rsidRPr="00FC0DE9">
        <w:rPr>
          <w:rFonts w:ascii="Times New Roman" w:hAnsi="Times New Roman" w:cs="Times New Roman"/>
          <w:i/>
          <w:sz w:val="24"/>
          <w:szCs w:val="24"/>
          <w:lang w:val="en-US"/>
        </w:rPr>
        <w:t>F. sylvatica</w:t>
      </w:r>
      <w:r>
        <w:rPr>
          <w:rFonts w:ascii="Times New Roman" w:hAnsi="Times New Roman" w:cs="Times New Roman"/>
          <w:sz w:val="24"/>
          <w:szCs w:val="24"/>
          <w:lang w:val="en-US"/>
        </w:rPr>
        <w:t xml:space="preserve">). Radial growth was quantified as </w:t>
      </w:r>
      <w:r w:rsidRPr="006034E7">
        <w:rPr>
          <w:rFonts w:ascii="Times New Roman" w:hAnsi="Times New Roman" w:cs="Times New Roman"/>
          <w:sz w:val="24"/>
          <w:szCs w:val="24"/>
          <w:lang w:val="en-US"/>
        </w:rPr>
        <w:t>log</w:t>
      </w:r>
      <w:r w:rsidRPr="006034E7">
        <w:rPr>
          <w:rFonts w:ascii="Times New Roman" w:hAnsi="Times New Roman" w:cs="Times New Roman"/>
          <w:sz w:val="24"/>
          <w:szCs w:val="24"/>
          <w:vertAlign w:val="subscript"/>
          <w:lang w:val="en-US"/>
        </w:rPr>
        <w:t>10</w:t>
      </w:r>
      <w:r w:rsidRPr="006034E7">
        <w:rPr>
          <w:rFonts w:ascii="Times New Roman" w:hAnsi="Times New Roman" w:cs="Times New Roman"/>
          <w:sz w:val="24"/>
          <w:szCs w:val="24"/>
          <w:lang w:val="en-US"/>
        </w:rPr>
        <w:t xml:space="preserve"> (BAI)</w:t>
      </w:r>
      <w:r>
        <w:rPr>
          <w:rFonts w:ascii="Times New Roman" w:hAnsi="Times New Roman" w:cs="Times New Roman"/>
          <w:sz w:val="24"/>
          <w:szCs w:val="24"/>
          <w:lang w:val="en-US"/>
        </w:rPr>
        <w:t xml:space="preserve"> where BAI is the basal area increment. The </w:t>
      </w:r>
      <w:r>
        <w:rPr>
          <w:rFonts w:ascii="Times New Roman" w:hAnsi="Times New Roman" w:cs="Times New Roman"/>
          <w:i/>
          <w:sz w:val="24"/>
          <w:szCs w:val="24"/>
          <w:lang w:val="en-US"/>
        </w:rPr>
        <w:t>F</w:t>
      </w:r>
      <w:r w:rsidR="00A90067">
        <w:rPr>
          <w:rFonts w:ascii="Times New Roman" w:hAnsi="Times New Roman" w:cs="Times New Roman"/>
          <w:i/>
          <w:sz w:val="24"/>
          <w:szCs w:val="24"/>
          <w:lang w:val="en-US"/>
        </w:rPr>
        <w:t xml:space="preserve"> </w:t>
      </w:r>
      <w:r w:rsidRPr="00447241">
        <w:rPr>
          <w:rFonts w:ascii="Times New Roman" w:hAnsi="Times New Roman" w:cs="Times New Roman"/>
          <w:sz w:val="24"/>
          <w:szCs w:val="24"/>
          <w:lang w:val="en-US"/>
        </w:rPr>
        <w:t>statistic</w:t>
      </w:r>
      <w:r>
        <w:rPr>
          <w:rFonts w:ascii="Times New Roman" w:hAnsi="Times New Roman" w:cs="Times New Roman"/>
          <w:sz w:val="24"/>
          <w:szCs w:val="24"/>
          <w:lang w:val="en-US"/>
        </w:rPr>
        <w:t xml:space="preserve"> associated to each variable and </w:t>
      </w:r>
      <w:r w:rsidR="00A90067">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interactions included in the model </w:t>
      </w:r>
      <w:r w:rsidR="00A90067">
        <w:rPr>
          <w:rFonts w:ascii="Times New Roman" w:hAnsi="Times New Roman" w:cs="Times New Roman"/>
          <w:sz w:val="24"/>
          <w:szCs w:val="24"/>
          <w:lang w:val="en-US"/>
        </w:rPr>
        <w:t>are</w:t>
      </w:r>
      <w:r>
        <w:rPr>
          <w:rFonts w:ascii="Times New Roman" w:hAnsi="Times New Roman" w:cs="Times New Roman"/>
          <w:sz w:val="24"/>
          <w:szCs w:val="24"/>
          <w:lang w:val="en-US"/>
        </w:rPr>
        <w:t xml:space="preserve"> shown. The </w:t>
      </w:r>
      <w:r w:rsidRPr="00795FA4">
        <w:rPr>
          <w:rFonts w:ascii="Symbol" w:hAnsi="Symbol"/>
          <w:sz w:val="24"/>
          <w:szCs w:val="24"/>
          <w:lang w:val="en-US" w:eastAsia="es-ES"/>
        </w:rPr>
        <w:t></w:t>
      </w:r>
      <w:proofErr w:type="spellStart"/>
      <w:r>
        <w:rPr>
          <w:rFonts w:ascii="Times New Roman" w:hAnsi="Times New Roman"/>
          <w:sz w:val="24"/>
          <w:szCs w:val="24"/>
          <w:lang w:val="en-US" w:eastAsia="es-ES"/>
        </w:rPr>
        <w:t>AIC</w:t>
      </w:r>
      <w:r w:rsidRPr="00FB3356">
        <w:rPr>
          <w:rFonts w:ascii="Times New Roman" w:hAnsi="Times New Roman"/>
          <w:sz w:val="24"/>
          <w:szCs w:val="24"/>
          <w:lang w:val="en-US" w:eastAsia="es-ES"/>
        </w:rPr>
        <w:t>c</w:t>
      </w:r>
      <w:proofErr w:type="spellEnd"/>
      <w:r>
        <w:rPr>
          <w:rFonts w:ascii="Times New Roman" w:hAnsi="Times New Roman"/>
          <w:sz w:val="24"/>
          <w:szCs w:val="24"/>
          <w:lang w:val="en-US" w:eastAsia="es-ES"/>
        </w:rPr>
        <w:t>, Akaike-weight, and pseudo-R</w:t>
      </w:r>
      <w:r w:rsidRPr="00FC12C2">
        <w:rPr>
          <w:rFonts w:ascii="Times New Roman" w:hAnsi="Times New Roman"/>
          <w:sz w:val="24"/>
          <w:szCs w:val="24"/>
          <w:vertAlign w:val="superscript"/>
          <w:lang w:val="en-US" w:eastAsia="es-ES"/>
        </w:rPr>
        <w:t>2</w:t>
      </w:r>
      <w:r>
        <w:rPr>
          <w:rFonts w:ascii="Times New Roman" w:hAnsi="Times New Roman"/>
          <w:sz w:val="24"/>
          <w:szCs w:val="24"/>
          <w:lang w:val="en-US" w:eastAsia="es-ES"/>
        </w:rPr>
        <w:t xml:space="preserve"> (due to fixed and due to fixed and partial effects, respectively) of each selected model is also provided. Significance of the </w:t>
      </w:r>
      <w:r>
        <w:rPr>
          <w:rFonts w:ascii="Times New Roman" w:hAnsi="Times New Roman"/>
          <w:i/>
          <w:sz w:val="24"/>
          <w:szCs w:val="24"/>
          <w:lang w:val="en-US" w:eastAsia="es-ES"/>
        </w:rPr>
        <w:t xml:space="preserve">F </w:t>
      </w:r>
      <w:r w:rsidRPr="00FB6A29">
        <w:rPr>
          <w:rFonts w:ascii="Times New Roman" w:hAnsi="Times New Roman"/>
          <w:sz w:val="24"/>
          <w:szCs w:val="24"/>
          <w:lang w:val="en-US" w:eastAsia="es-ES"/>
        </w:rPr>
        <w:t>statistic</w:t>
      </w:r>
      <w:r>
        <w:rPr>
          <w:rFonts w:ascii="Times New Roman" w:hAnsi="Times New Roman"/>
          <w:sz w:val="24"/>
          <w:szCs w:val="24"/>
          <w:lang w:val="en-US" w:eastAsia="es-ES"/>
        </w:rPr>
        <w:t xml:space="preserve"> is indicated by: ** </w:t>
      </w:r>
      <w:r w:rsidRPr="00FB6A29">
        <w:rPr>
          <w:rFonts w:ascii="Times New Roman" w:hAnsi="Times New Roman"/>
          <w:i/>
          <w:sz w:val="24"/>
          <w:szCs w:val="24"/>
          <w:lang w:val="en-US" w:eastAsia="es-ES"/>
        </w:rPr>
        <w:t>p</w:t>
      </w:r>
      <w:r>
        <w:rPr>
          <w:rFonts w:ascii="Times New Roman" w:hAnsi="Times New Roman"/>
          <w:sz w:val="24"/>
          <w:szCs w:val="24"/>
          <w:lang w:val="en-US" w:eastAsia="es-ES"/>
        </w:rPr>
        <w:t xml:space="preserve"> &lt; 0.01.</w:t>
      </w:r>
    </w:p>
    <w:p w:rsidR="00ED0690" w:rsidRPr="00F47B45" w:rsidRDefault="00ED0690" w:rsidP="00ED0690">
      <w:pPr>
        <w:spacing w:after="0" w:line="240" w:lineRule="auto"/>
        <w:rPr>
          <w:rFonts w:ascii="Times New Roman" w:hAnsi="Times New Roman" w:cs="Times New Roman"/>
          <w:sz w:val="24"/>
          <w:szCs w:val="24"/>
          <w:lang w:val="en-GB"/>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1548"/>
        <w:gridCol w:w="1547"/>
        <w:gridCol w:w="1499"/>
        <w:gridCol w:w="1499"/>
        <w:gridCol w:w="1464"/>
        <w:gridCol w:w="1464"/>
        <w:gridCol w:w="1476"/>
        <w:gridCol w:w="2258"/>
      </w:tblGrid>
      <w:tr w:rsidR="00ED0690" w:rsidTr="00447241">
        <w:tc>
          <w:tcPr>
            <w:tcW w:w="514" w:type="pct"/>
            <w:tcBorders>
              <w:top w:val="single" w:sz="4" w:space="0" w:color="auto"/>
              <w:bottom w:val="single" w:sz="4" w:space="0" w:color="auto"/>
            </w:tcBorders>
          </w:tcPr>
          <w:p w:rsidR="00ED0690" w:rsidRDefault="00ED0690" w:rsidP="002B6678">
            <w:pPr>
              <w:jc w:val="center"/>
              <w:rPr>
                <w:rFonts w:ascii="Times New Roman" w:hAnsi="Times New Roman" w:cs="Times New Roman"/>
                <w:sz w:val="24"/>
                <w:szCs w:val="24"/>
                <w:lang w:val="en-US"/>
              </w:rPr>
            </w:pPr>
            <w:r>
              <w:rPr>
                <w:rFonts w:ascii="Times New Roman" w:hAnsi="Times New Roman" w:cs="Times New Roman"/>
                <w:sz w:val="24"/>
                <w:szCs w:val="24"/>
                <w:lang w:val="en-US"/>
              </w:rPr>
              <w:t>Tree age</w:t>
            </w:r>
          </w:p>
        </w:tc>
        <w:tc>
          <w:tcPr>
            <w:tcW w:w="544" w:type="pct"/>
            <w:tcBorders>
              <w:top w:val="single" w:sz="4" w:space="0" w:color="auto"/>
              <w:bottom w:val="single" w:sz="4" w:space="0" w:color="auto"/>
            </w:tcBorders>
          </w:tcPr>
          <w:p w:rsidR="00ED0690" w:rsidRDefault="00ED0690" w:rsidP="00A90067">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Tree age* </w:t>
            </w:r>
            <w:r w:rsidR="00A90067">
              <w:rPr>
                <w:rFonts w:ascii="Times New Roman" w:hAnsi="Times New Roman" w:cs="Times New Roman"/>
                <w:sz w:val="24"/>
                <w:szCs w:val="24"/>
                <w:lang w:val="en-US"/>
              </w:rPr>
              <w:t>species</w:t>
            </w:r>
          </w:p>
        </w:tc>
        <w:tc>
          <w:tcPr>
            <w:tcW w:w="544" w:type="pct"/>
            <w:tcBorders>
              <w:top w:val="single" w:sz="4" w:space="0" w:color="auto"/>
              <w:bottom w:val="single" w:sz="4" w:space="0" w:color="auto"/>
            </w:tcBorders>
          </w:tcPr>
          <w:p w:rsidR="00ED0690" w:rsidRDefault="00ED0690" w:rsidP="002B6678">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Dbh</w:t>
            </w:r>
            <w:proofErr w:type="spellEnd"/>
            <w:r>
              <w:rPr>
                <w:rFonts w:ascii="Times New Roman" w:hAnsi="Times New Roman" w:cs="Times New Roman"/>
                <w:sz w:val="24"/>
                <w:szCs w:val="24"/>
                <w:lang w:val="en-US"/>
              </w:rPr>
              <w:t xml:space="preserve"> (diameter at breast height)</w:t>
            </w:r>
          </w:p>
        </w:tc>
        <w:tc>
          <w:tcPr>
            <w:tcW w:w="527" w:type="pct"/>
            <w:tcBorders>
              <w:top w:val="single" w:sz="4" w:space="0" w:color="auto"/>
              <w:bottom w:val="single" w:sz="4" w:space="0" w:color="auto"/>
            </w:tcBorders>
          </w:tcPr>
          <w:p w:rsidR="00ED0690" w:rsidRDefault="00ED0690" w:rsidP="00A9006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Dbh</w:t>
            </w:r>
            <w:proofErr w:type="spellEnd"/>
            <w:r>
              <w:rPr>
                <w:rFonts w:ascii="Times New Roman" w:hAnsi="Times New Roman" w:cs="Times New Roman"/>
                <w:sz w:val="24"/>
                <w:szCs w:val="24"/>
                <w:lang w:val="en-US"/>
              </w:rPr>
              <w:t xml:space="preserve">* </w:t>
            </w:r>
            <w:r w:rsidR="00A90067">
              <w:rPr>
                <w:rFonts w:ascii="Times New Roman" w:hAnsi="Times New Roman" w:cs="Times New Roman"/>
                <w:sz w:val="24"/>
                <w:szCs w:val="24"/>
                <w:lang w:val="en-US"/>
              </w:rPr>
              <w:t>species</w:t>
            </w:r>
          </w:p>
        </w:tc>
        <w:tc>
          <w:tcPr>
            <w:tcW w:w="527" w:type="pct"/>
            <w:tcBorders>
              <w:top w:val="single" w:sz="4" w:space="0" w:color="auto"/>
              <w:bottom w:val="single" w:sz="4" w:space="0" w:color="auto"/>
            </w:tcBorders>
          </w:tcPr>
          <w:p w:rsidR="00ED0690" w:rsidRDefault="00ED0690" w:rsidP="002B6678">
            <w:pPr>
              <w:jc w:val="center"/>
              <w:rPr>
                <w:rFonts w:ascii="Times New Roman" w:hAnsi="Times New Roman" w:cs="Times New Roman"/>
                <w:sz w:val="24"/>
                <w:szCs w:val="24"/>
                <w:lang w:val="en-US"/>
              </w:rPr>
            </w:pPr>
            <w:r>
              <w:rPr>
                <w:rFonts w:ascii="Times New Roman" w:hAnsi="Times New Roman" w:cs="Times New Roman"/>
                <w:sz w:val="24"/>
                <w:szCs w:val="24"/>
                <w:lang w:val="en-US"/>
              </w:rPr>
              <w:t>Year</w:t>
            </w:r>
          </w:p>
        </w:tc>
        <w:tc>
          <w:tcPr>
            <w:tcW w:w="515" w:type="pct"/>
            <w:tcBorders>
              <w:top w:val="single" w:sz="4" w:space="0" w:color="auto"/>
              <w:bottom w:val="single" w:sz="4" w:space="0" w:color="auto"/>
            </w:tcBorders>
          </w:tcPr>
          <w:p w:rsidR="00ED0690" w:rsidRPr="00447241" w:rsidRDefault="00ED0690" w:rsidP="00A90067">
            <w:pPr>
              <w:jc w:val="center"/>
              <w:rPr>
                <w:rFonts w:ascii="Times New Roman" w:hAnsi="Times New Roman" w:cs="Times New Roman"/>
                <w:sz w:val="24"/>
                <w:szCs w:val="24"/>
                <w:lang w:val="en-US" w:eastAsia="es-ES"/>
              </w:rPr>
            </w:pPr>
            <w:r w:rsidRPr="00447241">
              <w:rPr>
                <w:rFonts w:ascii="Times New Roman" w:hAnsi="Times New Roman" w:cs="Times New Roman"/>
                <w:sz w:val="24"/>
                <w:szCs w:val="24"/>
                <w:lang w:val="en-US" w:eastAsia="es-ES"/>
              </w:rPr>
              <w:t xml:space="preserve">Year </w:t>
            </w:r>
            <w:r>
              <w:rPr>
                <w:rFonts w:ascii="Times New Roman" w:hAnsi="Times New Roman" w:cs="Times New Roman"/>
                <w:sz w:val="24"/>
                <w:szCs w:val="24"/>
                <w:lang w:val="en-US" w:eastAsia="es-ES"/>
              </w:rPr>
              <w:t xml:space="preserve">* </w:t>
            </w:r>
            <w:r w:rsidR="00A90067">
              <w:rPr>
                <w:rFonts w:ascii="Times New Roman" w:hAnsi="Times New Roman" w:cs="Times New Roman"/>
                <w:sz w:val="24"/>
                <w:szCs w:val="24"/>
                <w:lang w:val="en-US" w:eastAsia="es-ES"/>
              </w:rPr>
              <w:t>species</w:t>
            </w:r>
          </w:p>
        </w:tc>
        <w:tc>
          <w:tcPr>
            <w:tcW w:w="515" w:type="pct"/>
            <w:tcBorders>
              <w:top w:val="single" w:sz="4" w:space="0" w:color="auto"/>
              <w:bottom w:val="single" w:sz="4" w:space="0" w:color="auto"/>
            </w:tcBorders>
          </w:tcPr>
          <w:p w:rsidR="00ED0690" w:rsidRDefault="00ED0690" w:rsidP="002B6678">
            <w:pPr>
              <w:jc w:val="center"/>
              <w:rPr>
                <w:rFonts w:ascii="Times New Roman" w:hAnsi="Times New Roman" w:cs="Times New Roman"/>
                <w:sz w:val="24"/>
                <w:szCs w:val="24"/>
                <w:lang w:val="en-US"/>
              </w:rPr>
            </w:pPr>
            <w:r w:rsidRPr="00795FA4">
              <w:rPr>
                <w:rFonts w:ascii="Symbol" w:hAnsi="Symbol"/>
                <w:sz w:val="24"/>
                <w:szCs w:val="24"/>
                <w:lang w:val="en-US" w:eastAsia="es-ES"/>
              </w:rPr>
              <w:t></w:t>
            </w:r>
            <w:proofErr w:type="spellStart"/>
            <w:r>
              <w:rPr>
                <w:rFonts w:ascii="Times New Roman" w:hAnsi="Times New Roman"/>
                <w:sz w:val="24"/>
                <w:szCs w:val="24"/>
                <w:lang w:val="en-US" w:eastAsia="es-ES"/>
              </w:rPr>
              <w:t>AIC</w:t>
            </w:r>
            <w:r w:rsidRPr="00FB3356">
              <w:rPr>
                <w:rFonts w:ascii="Times New Roman" w:hAnsi="Times New Roman"/>
                <w:sz w:val="24"/>
                <w:szCs w:val="24"/>
                <w:lang w:val="en-US" w:eastAsia="es-ES"/>
              </w:rPr>
              <w:t>c</w:t>
            </w:r>
            <w:proofErr w:type="spellEnd"/>
          </w:p>
        </w:tc>
        <w:tc>
          <w:tcPr>
            <w:tcW w:w="519" w:type="pct"/>
            <w:tcBorders>
              <w:top w:val="single" w:sz="4" w:space="0" w:color="auto"/>
              <w:bottom w:val="single" w:sz="4" w:space="0" w:color="auto"/>
            </w:tcBorders>
          </w:tcPr>
          <w:p w:rsidR="00ED0690" w:rsidRDefault="00ED0690" w:rsidP="002B6678">
            <w:pPr>
              <w:jc w:val="center"/>
              <w:rPr>
                <w:rFonts w:ascii="Times New Roman" w:hAnsi="Times New Roman" w:cs="Times New Roman"/>
                <w:sz w:val="24"/>
                <w:szCs w:val="24"/>
                <w:lang w:val="en-US"/>
              </w:rPr>
            </w:pPr>
            <w:r>
              <w:rPr>
                <w:rFonts w:ascii="Times New Roman" w:hAnsi="Times New Roman" w:cs="Times New Roman"/>
                <w:sz w:val="24"/>
                <w:szCs w:val="24"/>
                <w:lang w:val="en-US"/>
              </w:rPr>
              <w:t>Weight</w:t>
            </w:r>
          </w:p>
        </w:tc>
        <w:tc>
          <w:tcPr>
            <w:tcW w:w="794" w:type="pct"/>
            <w:tcBorders>
              <w:top w:val="single" w:sz="4" w:space="0" w:color="auto"/>
              <w:bottom w:val="single" w:sz="4" w:space="0" w:color="auto"/>
            </w:tcBorders>
          </w:tcPr>
          <w:p w:rsidR="00ED0690" w:rsidRDefault="00ED0690" w:rsidP="002B6678">
            <w:pPr>
              <w:jc w:val="center"/>
              <w:rPr>
                <w:rFonts w:ascii="Times New Roman" w:hAnsi="Times New Roman" w:cs="Times New Roman"/>
                <w:sz w:val="24"/>
                <w:szCs w:val="24"/>
                <w:lang w:val="en-US"/>
              </w:rPr>
            </w:pPr>
            <w:r>
              <w:rPr>
                <w:rFonts w:ascii="Times New Roman" w:hAnsi="Times New Roman"/>
                <w:sz w:val="24"/>
                <w:szCs w:val="24"/>
                <w:lang w:val="en-US" w:eastAsia="es-ES"/>
              </w:rPr>
              <w:t>pseudo R</w:t>
            </w:r>
            <w:r w:rsidRPr="00FC12C2">
              <w:rPr>
                <w:rFonts w:ascii="Times New Roman" w:hAnsi="Times New Roman"/>
                <w:sz w:val="24"/>
                <w:szCs w:val="24"/>
                <w:vertAlign w:val="superscript"/>
                <w:lang w:val="en-US" w:eastAsia="es-ES"/>
              </w:rPr>
              <w:t>2</w:t>
            </w:r>
          </w:p>
        </w:tc>
      </w:tr>
      <w:tr w:rsidR="00ED0690" w:rsidTr="00ED0690">
        <w:tc>
          <w:tcPr>
            <w:tcW w:w="514" w:type="pct"/>
            <w:tcBorders>
              <w:top w:val="single" w:sz="4" w:space="0" w:color="auto"/>
              <w:bottom w:val="single" w:sz="4" w:space="0" w:color="auto"/>
            </w:tcBorders>
          </w:tcPr>
          <w:p w:rsidR="00ED0690" w:rsidRDefault="00ED0690" w:rsidP="002B6678">
            <w:pPr>
              <w:jc w:val="center"/>
              <w:rPr>
                <w:rFonts w:ascii="Times New Roman" w:hAnsi="Times New Roman" w:cs="Times New Roman"/>
                <w:sz w:val="24"/>
                <w:szCs w:val="24"/>
                <w:lang w:val="en-US"/>
              </w:rPr>
            </w:pPr>
            <w:r>
              <w:rPr>
                <w:rFonts w:ascii="Times New Roman" w:hAnsi="Times New Roman" w:cs="Times New Roman"/>
                <w:sz w:val="24"/>
                <w:szCs w:val="24"/>
                <w:lang w:val="en-US"/>
              </w:rPr>
              <w:t>26.33**</w:t>
            </w:r>
          </w:p>
        </w:tc>
        <w:tc>
          <w:tcPr>
            <w:tcW w:w="544" w:type="pct"/>
            <w:tcBorders>
              <w:top w:val="single" w:sz="4" w:space="0" w:color="auto"/>
              <w:bottom w:val="single" w:sz="4" w:space="0" w:color="auto"/>
            </w:tcBorders>
          </w:tcPr>
          <w:p w:rsidR="00ED0690" w:rsidRDefault="00ED0690" w:rsidP="002B6678">
            <w:pPr>
              <w:jc w:val="center"/>
              <w:rPr>
                <w:rFonts w:ascii="Times New Roman" w:hAnsi="Times New Roman" w:cs="Times New Roman"/>
                <w:sz w:val="24"/>
                <w:szCs w:val="24"/>
                <w:lang w:val="en-US"/>
              </w:rPr>
            </w:pPr>
            <w:r>
              <w:rPr>
                <w:rFonts w:ascii="Times New Roman" w:hAnsi="Times New Roman" w:cs="Times New Roman"/>
                <w:sz w:val="24"/>
                <w:szCs w:val="24"/>
                <w:lang w:val="en-US"/>
              </w:rPr>
              <w:t>2.30</w:t>
            </w:r>
          </w:p>
        </w:tc>
        <w:tc>
          <w:tcPr>
            <w:tcW w:w="544" w:type="pct"/>
            <w:tcBorders>
              <w:top w:val="single" w:sz="4" w:space="0" w:color="auto"/>
              <w:bottom w:val="single" w:sz="4" w:space="0" w:color="auto"/>
            </w:tcBorders>
          </w:tcPr>
          <w:p w:rsidR="00ED0690" w:rsidRDefault="00ED0690" w:rsidP="002B6678">
            <w:pPr>
              <w:jc w:val="center"/>
              <w:rPr>
                <w:rFonts w:ascii="Times New Roman" w:hAnsi="Times New Roman" w:cs="Times New Roman"/>
                <w:sz w:val="24"/>
                <w:szCs w:val="24"/>
                <w:lang w:val="en-US"/>
              </w:rPr>
            </w:pPr>
            <w:r>
              <w:rPr>
                <w:rFonts w:ascii="Times New Roman" w:hAnsi="Times New Roman" w:cs="Times New Roman"/>
                <w:sz w:val="24"/>
                <w:szCs w:val="24"/>
                <w:lang w:val="en-US"/>
              </w:rPr>
              <w:t>1856.90**</w:t>
            </w:r>
          </w:p>
        </w:tc>
        <w:tc>
          <w:tcPr>
            <w:tcW w:w="527" w:type="pct"/>
            <w:tcBorders>
              <w:top w:val="single" w:sz="4" w:space="0" w:color="auto"/>
              <w:bottom w:val="single" w:sz="4" w:space="0" w:color="auto"/>
            </w:tcBorders>
          </w:tcPr>
          <w:p w:rsidR="00ED0690" w:rsidRDefault="00ED0690" w:rsidP="002B6678">
            <w:pPr>
              <w:jc w:val="center"/>
              <w:rPr>
                <w:rFonts w:ascii="Times New Roman" w:hAnsi="Times New Roman" w:cs="Times New Roman"/>
                <w:sz w:val="24"/>
                <w:szCs w:val="24"/>
                <w:lang w:val="en-US"/>
              </w:rPr>
            </w:pPr>
            <w:r>
              <w:rPr>
                <w:rFonts w:ascii="Times New Roman" w:hAnsi="Times New Roman" w:cs="Times New Roman"/>
                <w:sz w:val="24"/>
                <w:szCs w:val="24"/>
                <w:lang w:val="en-US"/>
              </w:rPr>
              <w:t>84.00**</w:t>
            </w:r>
          </w:p>
        </w:tc>
        <w:tc>
          <w:tcPr>
            <w:tcW w:w="527" w:type="pct"/>
            <w:tcBorders>
              <w:top w:val="single" w:sz="4" w:space="0" w:color="auto"/>
              <w:bottom w:val="single" w:sz="4" w:space="0" w:color="auto"/>
            </w:tcBorders>
          </w:tcPr>
          <w:p w:rsidR="00ED0690" w:rsidRDefault="00ED0690" w:rsidP="002B6678">
            <w:pPr>
              <w:jc w:val="center"/>
              <w:rPr>
                <w:rFonts w:ascii="Times New Roman" w:hAnsi="Times New Roman" w:cs="Times New Roman"/>
                <w:sz w:val="24"/>
                <w:szCs w:val="24"/>
                <w:lang w:val="en-US"/>
              </w:rPr>
            </w:pPr>
            <w:r>
              <w:rPr>
                <w:rFonts w:ascii="Times New Roman" w:hAnsi="Times New Roman" w:cs="Times New Roman"/>
                <w:sz w:val="24"/>
                <w:szCs w:val="24"/>
                <w:lang w:val="en-US"/>
              </w:rPr>
              <w:t>285.38**</w:t>
            </w:r>
          </w:p>
        </w:tc>
        <w:tc>
          <w:tcPr>
            <w:tcW w:w="515" w:type="pct"/>
            <w:tcBorders>
              <w:top w:val="single" w:sz="4" w:space="0" w:color="auto"/>
              <w:bottom w:val="single" w:sz="4" w:space="0" w:color="auto"/>
            </w:tcBorders>
          </w:tcPr>
          <w:p w:rsidR="00ED0690" w:rsidRPr="00ED0690" w:rsidRDefault="00ED0690" w:rsidP="002B6678">
            <w:pPr>
              <w:jc w:val="center"/>
              <w:rPr>
                <w:rFonts w:ascii="Times New Roman" w:hAnsi="Times New Roman" w:cs="Times New Roman"/>
                <w:sz w:val="24"/>
                <w:szCs w:val="24"/>
                <w:lang w:val="en-US" w:eastAsia="es-ES"/>
              </w:rPr>
            </w:pPr>
            <w:r>
              <w:rPr>
                <w:rFonts w:ascii="Times New Roman" w:hAnsi="Times New Roman" w:cs="Times New Roman"/>
                <w:sz w:val="24"/>
                <w:szCs w:val="24"/>
                <w:lang w:val="en-US" w:eastAsia="es-ES"/>
              </w:rPr>
              <w:t>39.88**</w:t>
            </w:r>
          </w:p>
        </w:tc>
        <w:tc>
          <w:tcPr>
            <w:tcW w:w="515" w:type="pct"/>
            <w:tcBorders>
              <w:top w:val="single" w:sz="4" w:space="0" w:color="auto"/>
              <w:bottom w:val="single" w:sz="4" w:space="0" w:color="auto"/>
            </w:tcBorders>
          </w:tcPr>
          <w:p w:rsidR="00ED0690" w:rsidRPr="00795FA4" w:rsidRDefault="00ED0690" w:rsidP="002B6678">
            <w:pPr>
              <w:jc w:val="center"/>
              <w:rPr>
                <w:rFonts w:ascii="Symbol" w:hAnsi="Symbol"/>
                <w:sz w:val="24"/>
                <w:szCs w:val="24"/>
                <w:lang w:val="en-US" w:eastAsia="es-ES"/>
              </w:rPr>
            </w:pPr>
            <w:r>
              <w:rPr>
                <w:rFonts w:ascii="Symbol" w:hAnsi="Symbol"/>
                <w:sz w:val="24"/>
                <w:szCs w:val="24"/>
                <w:lang w:val="en-US" w:eastAsia="es-ES"/>
              </w:rPr>
              <w:t></w:t>
            </w:r>
            <w:r>
              <w:rPr>
                <w:rFonts w:ascii="Symbol" w:hAnsi="Symbol"/>
                <w:sz w:val="24"/>
                <w:szCs w:val="24"/>
                <w:lang w:val="en-US" w:eastAsia="es-ES"/>
              </w:rPr>
              <w:t></w:t>
            </w:r>
            <w:r>
              <w:rPr>
                <w:rFonts w:ascii="Symbol" w:hAnsi="Symbol"/>
                <w:sz w:val="24"/>
                <w:szCs w:val="24"/>
                <w:lang w:val="en-US" w:eastAsia="es-ES"/>
              </w:rPr>
              <w:t></w:t>
            </w:r>
            <w:r>
              <w:rPr>
                <w:rFonts w:ascii="Symbol" w:hAnsi="Symbol"/>
                <w:sz w:val="24"/>
                <w:szCs w:val="24"/>
                <w:lang w:val="en-US" w:eastAsia="es-ES"/>
              </w:rPr>
              <w:t></w:t>
            </w:r>
          </w:p>
        </w:tc>
        <w:tc>
          <w:tcPr>
            <w:tcW w:w="519" w:type="pct"/>
            <w:tcBorders>
              <w:top w:val="single" w:sz="4" w:space="0" w:color="auto"/>
              <w:bottom w:val="single" w:sz="4" w:space="0" w:color="auto"/>
            </w:tcBorders>
          </w:tcPr>
          <w:p w:rsidR="00ED0690" w:rsidRDefault="00ED0690" w:rsidP="002B6678">
            <w:pPr>
              <w:jc w:val="center"/>
              <w:rPr>
                <w:rFonts w:ascii="Times New Roman" w:hAnsi="Times New Roman" w:cs="Times New Roman"/>
                <w:sz w:val="24"/>
                <w:szCs w:val="24"/>
                <w:lang w:val="en-US"/>
              </w:rPr>
            </w:pPr>
            <w:r>
              <w:rPr>
                <w:rFonts w:ascii="Times New Roman" w:hAnsi="Times New Roman" w:cs="Times New Roman"/>
                <w:sz w:val="24"/>
                <w:szCs w:val="24"/>
                <w:lang w:val="en-US"/>
              </w:rPr>
              <w:t>0.67</w:t>
            </w:r>
          </w:p>
        </w:tc>
        <w:tc>
          <w:tcPr>
            <w:tcW w:w="794" w:type="pct"/>
            <w:tcBorders>
              <w:top w:val="single" w:sz="4" w:space="0" w:color="auto"/>
              <w:bottom w:val="single" w:sz="4" w:space="0" w:color="auto"/>
            </w:tcBorders>
          </w:tcPr>
          <w:p w:rsidR="00ED0690" w:rsidRDefault="00ED0690" w:rsidP="002B6678">
            <w:pPr>
              <w:jc w:val="center"/>
              <w:rPr>
                <w:rFonts w:ascii="Times New Roman" w:hAnsi="Times New Roman"/>
                <w:sz w:val="24"/>
                <w:szCs w:val="24"/>
                <w:lang w:val="en-US" w:eastAsia="es-ES"/>
              </w:rPr>
            </w:pPr>
            <w:r>
              <w:rPr>
                <w:rFonts w:ascii="Times New Roman" w:hAnsi="Times New Roman"/>
                <w:sz w:val="24"/>
                <w:szCs w:val="24"/>
                <w:lang w:val="en-US" w:eastAsia="es-ES"/>
              </w:rPr>
              <w:t>0.81 (0.79)</w:t>
            </w:r>
          </w:p>
        </w:tc>
      </w:tr>
    </w:tbl>
    <w:p w:rsidR="00ED0690" w:rsidRPr="00F47B45" w:rsidRDefault="00ED0690" w:rsidP="00ED0690">
      <w:pPr>
        <w:spacing w:line="240" w:lineRule="auto"/>
        <w:rPr>
          <w:rFonts w:ascii="Times New Roman" w:hAnsi="Times New Roman" w:cs="Times New Roman"/>
          <w:b/>
          <w:sz w:val="24"/>
          <w:szCs w:val="24"/>
          <w:lang w:val="en-US"/>
        </w:rPr>
      </w:pPr>
    </w:p>
    <w:p w:rsidR="00A55204" w:rsidRPr="00F47B45" w:rsidRDefault="00ED0690" w:rsidP="00ED0690">
      <w:pPr>
        <w:spacing w:after="0" w:line="240" w:lineRule="auto"/>
        <w:rPr>
          <w:rFonts w:ascii="Times New Roman" w:hAnsi="Times New Roman" w:cs="Times New Roman"/>
          <w:b/>
          <w:sz w:val="24"/>
          <w:szCs w:val="24"/>
          <w:lang w:val="en-US"/>
        </w:rPr>
      </w:pPr>
      <w:r w:rsidRPr="00F47B45">
        <w:rPr>
          <w:rFonts w:ascii="Times New Roman" w:hAnsi="Times New Roman" w:cs="Times New Roman"/>
          <w:b/>
          <w:sz w:val="24"/>
          <w:szCs w:val="24"/>
          <w:lang w:val="en-US"/>
        </w:rPr>
        <w:t xml:space="preserve"> </w:t>
      </w:r>
    </w:p>
    <w:p w:rsidR="00ED0690" w:rsidRDefault="00ED0690" w:rsidP="00F47B45">
      <w:pPr>
        <w:spacing w:after="0" w:line="240" w:lineRule="auto"/>
        <w:rPr>
          <w:rFonts w:ascii="Times New Roman" w:hAnsi="Times New Roman" w:cs="Times New Roman"/>
          <w:b/>
          <w:sz w:val="24"/>
          <w:szCs w:val="24"/>
          <w:lang w:val="en-US"/>
        </w:rPr>
        <w:sectPr w:rsidR="00ED0690" w:rsidSect="00447241">
          <w:pgSz w:w="16838" w:h="11906" w:orient="landscape"/>
          <w:pgMar w:top="1701" w:right="1418" w:bottom="1701" w:left="1418" w:header="709" w:footer="709" w:gutter="0"/>
          <w:cols w:space="708"/>
          <w:docGrid w:linePitch="360"/>
        </w:sectPr>
      </w:pPr>
    </w:p>
    <w:p w:rsidR="00481C31" w:rsidRPr="00F47B45" w:rsidRDefault="00481C31" w:rsidP="00F47B45">
      <w:pPr>
        <w:spacing w:after="0" w:line="240" w:lineRule="auto"/>
        <w:rPr>
          <w:rFonts w:ascii="Times New Roman" w:hAnsi="Times New Roman" w:cs="Times New Roman"/>
          <w:b/>
          <w:sz w:val="24"/>
          <w:szCs w:val="24"/>
          <w:lang w:val="en-US"/>
        </w:rPr>
      </w:pPr>
      <w:bookmarkStart w:id="0" w:name="_GoBack"/>
      <w:bookmarkEnd w:id="0"/>
    </w:p>
    <w:p w:rsidR="00370C94" w:rsidRPr="00F47B45" w:rsidRDefault="00B37E87" w:rsidP="00F47B45">
      <w:pPr>
        <w:spacing w:line="240" w:lineRule="auto"/>
        <w:rPr>
          <w:rFonts w:ascii="Times New Roman" w:hAnsi="Times New Roman" w:cs="Times New Roman"/>
          <w:sz w:val="24"/>
          <w:szCs w:val="24"/>
          <w:lang w:val="en-US"/>
        </w:rPr>
      </w:pPr>
      <w:r w:rsidRPr="00F47B45">
        <w:rPr>
          <w:rFonts w:ascii="Times New Roman" w:hAnsi="Times New Roman" w:cs="Times New Roman"/>
          <w:sz w:val="24"/>
          <w:szCs w:val="24"/>
          <w:lang w:val="en-US"/>
        </w:rPr>
        <w:object w:dxaOrig="9266" w:dyaOrig="12754" w14:anchorId="43BC2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561pt" o:ole="">
            <v:imagedata r:id="rId9" o:title=""/>
          </v:shape>
          <o:OLEObject Type="Embed" ProgID="SigmaPlotGraphicObject.9" ShapeID="_x0000_i1025" DrawAspect="Content" ObjectID="_1601211276" r:id="rId10"/>
        </w:object>
      </w:r>
    </w:p>
    <w:p w:rsidR="00191421" w:rsidRPr="00F47B45" w:rsidRDefault="00B37E87" w:rsidP="00F47B45">
      <w:pPr>
        <w:spacing w:line="240" w:lineRule="auto"/>
        <w:rPr>
          <w:rFonts w:ascii="Times New Roman" w:hAnsi="Times New Roman" w:cs="Times New Roman"/>
          <w:sz w:val="24"/>
          <w:szCs w:val="24"/>
          <w:lang w:val="en-US"/>
        </w:rPr>
      </w:pPr>
      <w:r w:rsidRPr="00F47B45">
        <w:rPr>
          <w:rFonts w:ascii="Times New Roman" w:hAnsi="Times New Roman" w:cs="Times New Roman"/>
          <w:b/>
          <w:sz w:val="24"/>
          <w:szCs w:val="24"/>
          <w:lang w:val="en-US"/>
        </w:rPr>
        <w:t>Figure S</w:t>
      </w:r>
      <w:r w:rsidR="00191421" w:rsidRPr="00F47B45">
        <w:rPr>
          <w:rFonts w:ascii="Times New Roman" w:hAnsi="Times New Roman" w:cs="Times New Roman"/>
          <w:b/>
          <w:sz w:val="24"/>
          <w:szCs w:val="24"/>
          <w:lang w:val="en-US"/>
        </w:rPr>
        <w:t>1</w:t>
      </w:r>
      <w:r w:rsidRPr="00F47B45">
        <w:rPr>
          <w:rFonts w:ascii="Times New Roman" w:hAnsi="Times New Roman" w:cs="Times New Roman"/>
          <w:b/>
          <w:sz w:val="24"/>
          <w:szCs w:val="24"/>
          <w:lang w:val="en-US"/>
        </w:rPr>
        <w:t>.</w:t>
      </w:r>
      <w:r w:rsidRPr="00F47B45">
        <w:rPr>
          <w:rFonts w:ascii="Times New Roman" w:hAnsi="Times New Roman" w:cs="Times New Roman"/>
          <w:sz w:val="24"/>
          <w:szCs w:val="24"/>
          <w:lang w:val="en-US"/>
        </w:rPr>
        <w:t xml:space="preserve"> </w:t>
      </w:r>
      <w:r w:rsidR="0062512C" w:rsidRPr="00F47B45">
        <w:rPr>
          <w:rFonts w:ascii="Times New Roman" w:hAnsi="Times New Roman" w:cs="Times New Roman"/>
          <w:sz w:val="24"/>
          <w:szCs w:val="24"/>
          <w:lang w:val="en-US"/>
        </w:rPr>
        <w:t>Recruitment of woody plant species in areas with or without die-off three (2015), four (2016) and five (2017) years after the drought-induced die-off episode (2012) in the studied silver fir and Scots pine forests.</w:t>
      </w:r>
    </w:p>
    <w:p w:rsidR="00191421" w:rsidRDefault="00191421" w:rsidP="00F47B45">
      <w:pPr>
        <w:spacing w:line="240" w:lineRule="auto"/>
        <w:rPr>
          <w:rFonts w:ascii="Times New Roman" w:hAnsi="Times New Roman" w:cs="Times New Roman"/>
          <w:sz w:val="24"/>
          <w:szCs w:val="24"/>
          <w:lang w:val="en-US"/>
        </w:rPr>
      </w:pPr>
      <w:r w:rsidRPr="00F47B45">
        <w:rPr>
          <w:rFonts w:ascii="Times New Roman" w:hAnsi="Times New Roman" w:cs="Times New Roman"/>
          <w:sz w:val="24"/>
          <w:szCs w:val="24"/>
          <w:lang w:val="en-US"/>
        </w:rPr>
        <w:br w:type="page"/>
      </w:r>
    </w:p>
    <w:p w:rsidR="00E11206" w:rsidRPr="00F47B45" w:rsidRDefault="00E11206" w:rsidP="00F47B45">
      <w:pPr>
        <w:spacing w:line="240" w:lineRule="auto"/>
        <w:rPr>
          <w:rFonts w:ascii="Times New Roman" w:hAnsi="Times New Roman" w:cs="Times New Roman"/>
          <w:sz w:val="24"/>
          <w:szCs w:val="24"/>
          <w:lang w:val="en-US"/>
        </w:rPr>
      </w:pPr>
    </w:p>
    <w:p w:rsidR="006F1954" w:rsidRDefault="006F1954" w:rsidP="00F47B45">
      <w:pPr>
        <w:spacing w:after="0" w:line="240" w:lineRule="auto"/>
        <w:rPr>
          <w:rFonts w:ascii="Times New Roman" w:hAnsi="Times New Roman" w:cs="Times New Roman"/>
          <w:b/>
          <w:sz w:val="24"/>
          <w:szCs w:val="24"/>
          <w:lang w:val="en-GB"/>
        </w:rPr>
      </w:pPr>
      <w:r>
        <w:rPr>
          <w:noProof/>
          <w:lang w:eastAsia="es-ES"/>
        </w:rPr>
        <w:drawing>
          <wp:inline distT="0" distB="0" distL="0" distR="0" wp14:anchorId="02766BD2" wp14:editId="729A8CFA">
            <wp:extent cx="4867275" cy="46863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67275" cy="4686300"/>
                    </a:xfrm>
                    <a:prstGeom prst="rect">
                      <a:avLst/>
                    </a:prstGeom>
                  </pic:spPr>
                </pic:pic>
              </a:graphicData>
            </a:graphic>
          </wp:inline>
        </w:drawing>
      </w:r>
    </w:p>
    <w:p w:rsidR="00A90067" w:rsidRDefault="00A90067" w:rsidP="00F47B45">
      <w:pPr>
        <w:spacing w:after="0" w:line="240" w:lineRule="auto"/>
        <w:rPr>
          <w:rFonts w:ascii="Times New Roman" w:hAnsi="Times New Roman" w:cs="Times New Roman"/>
          <w:b/>
          <w:sz w:val="24"/>
          <w:szCs w:val="24"/>
          <w:lang w:val="en-GB"/>
        </w:rPr>
      </w:pPr>
    </w:p>
    <w:p w:rsidR="006F1954" w:rsidRPr="00447241" w:rsidRDefault="006F1954" w:rsidP="00F47B45">
      <w:pPr>
        <w:spacing w:after="0" w:line="240" w:lineRule="auto"/>
        <w:rPr>
          <w:rFonts w:ascii="Times New Roman" w:hAnsi="Times New Roman" w:cs="Times New Roman"/>
          <w:sz w:val="24"/>
          <w:szCs w:val="24"/>
          <w:lang w:val="en-GB"/>
        </w:rPr>
      </w:pPr>
      <w:r>
        <w:rPr>
          <w:rFonts w:ascii="Times New Roman" w:hAnsi="Times New Roman" w:cs="Times New Roman"/>
          <w:b/>
          <w:sz w:val="24"/>
          <w:szCs w:val="24"/>
          <w:lang w:val="en-GB"/>
        </w:rPr>
        <w:t xml:space="preserve">Figure S2. </w:t>
      </w:r>
      <w:r>
        <w:rPr>
          <w:rFonts w:ascii="Times New Roman" w:hAnsi="Times New Roman" w:cs="Times New Roman"/>
          <w:sz w:val="24"/>
          <w:szCs w:val="24"/>
          <w:lang w:val="en-GB"/>
        </w:rPr>
        <w:t>Partial effect</w:t>
      </w:r>
      <w:r w:rsidR="00A90067">
        <w:rPr>
          <w:rFonts w:ascii="Times New Roman" w:hAnsi="Times New Roman" w:cs="Times New Roman"/>
          <w:sz w:val="24"/>
          <w:szCs w:val="24"/>
          <w:lang w:val="en-GB"/>
        </w:rPr>
        <w:t>s</w:t>
      </w:r>
      <w:r>
        <w:rPr>
          <w:rFonts w:ascii="Times New Roman" w:hAnsi="Times New Roman" w:cs="Times New Roman"/>
          <w:sz w:val="24"/>
          <w:szCs w:val="24"/>
          <w:lang w:val="en-GB"/>
        </w:rPr>
        <w:t xml:space="preserve"> of year on the growth (BAI) of each </w:t>
      </w:r>
      <w:r w:rsidR="00A90067">
        <w:rPr>
          <w:rFonts w:ascii="Times New Roman" w:hAnsi="Times New Roman" w:cs="Times New Roman"/>
          <w:sz w:val="24"/>
          <w:szCs w:val="24"/>
          <w:lang w:val="en-GB"/>
        </w:rPr>
        <w:t xml:space="preserve">tree </w:t>
      </w:r>
      <w:r>
        <w:rPr>
          <w:rFonts w:ascii="Times New Roman" w:hAnsi="Times New Roman" w:cs="Times New Roman"/>
          <w:sz w:val="24"/>
          <w:szCs w:val="24"/>
          <w:lang w:val="en-GB"/>
        </w:rPr>
        <w:t>species according to the post-hoc analyse</w:t>
      </w:r>
      <w:r w:rsidR="00A90067">
        <w:rPr>
          <w:rFonts w:ascii="Times New Roman" w:hAnsi="Times New Roman" w:cs="Times New Roman"/>
          <w:sz w:val="24"/>
          <w:szCs w:val="24"/>
          <w:lang w:val="en-GB"/>
        </w:rPr>
        <w:t>s</w:t>
      </w:r>
      <w:r>
        <w:rPr>
          <w:rFonts w:ascii="Times New Roman" w:hAnsi="Times New Roman" w:cs="Times New Roman"/>
          <w:sz w:val="24"/>
          <w:szCs w:val="24"/>
          <w:lang w:val="en-GB"/>
        </w:rPr>
        <w:t xml:space="preserve"> performed after the </w:t>
      </w:r>
      <w:r w:rsidR="00A90067">
        <w:rPr>
          <w:rFonts w:ascii="Times New Roman" w:hAnsi="Times New Roman" w:cs="Times New Roman"/>
          <w:sz w:val="24"/>
          <w:szCs w:val="24"/>
          <w:lang w:val="en-GB"/>
        </w:rPr>
        <w:t xml:space="preserve">linear </w:t>
      </w:r>
      <w:r>
        <w:rPr>
          <w:rFonts w:ascii="Times New Roman" w:hAnsi="Times New Roman" w:cs="Times New Roman"/>
          <w:sz w:val="24"/>
          <w:szCs w:val="24"/>
          <w:lang w:val="en-GB"/>
        </w:rPr>
        <w:t>mixed-effect model including all species together (see Table S2). For each species, the bars represent the trend in growth per year and the segments the standard error for the effect. Different numbers indicate the existence of significant (</w:t>
      </w:r>
      <w:r w:rsidR="00A90067">
        <w:rPr>
          <w:rFonts w:ascii="Times New Roman" w:hAnsi="Times New Roman" w:cs="Times New Roman"/>
          <w:i/>
          <w:sz w:val="24"/>
          <w:szCs w:val="24"/>
          <w:lang w:val="en-GB"/>
        </w:rPr>
        <w:t>p</w:t>
      </w:r>
      <w:r w:rsidRPr="00447241">
        <w:rPr>
          <w:rFonts w:ascii="Times New Roman" w:hAnsi="Times New Roman" w:cs="Times New Roman"/>
          <w:i/>
          <w:sz w:val="24"/>
          <w:szCs w:val="24"/>
          <w:lang w:val="en-GB"/>
        </w:rPr>
        <w:t xml:space="preserve"> </w:t>
      </w:r>
      <w:r w:rsidRPr="00A90067">
        <w:rPr>
          <w:rFonts w:ascii="Times New Roman" w:hAnsi="Times New Roman" w:cs="Times New Roman"/>
          <w:sz w:val="24"/>
          <w:szCs w:val="24"/>
          <w:lang w:val="en-GB"/>
        </w:rPr>
        <w:t>&lt; 0.05</w:t>
      </w:r>
      <w:r>
        <w:rPr>
          <w:rFonts w:ascii="Times New Roman" w:hAnsi="Times New Roman" w:cs="Times New Roman"/>
          <w:sz w:val="24"/>
          <w:szCs w:val="24"/>
          <w:lang w:val="en-GB"/>
        </w:rPr>
        <w:t xml:space="preserve">) differences in growth trend between species. </w:t>
      </w:r>
    </w:p>
    <w:p w:rsidR="006F1954" w:rsidRDefault="006F1954">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191421" w:rsidRPr="00F47B45" w:rsidRDefault="00191421" w:rsidP="00F47B45">
      <w:pPr>
        <w:spacing w:after="0" w:line="240" w:lineRule="auto"/>
        <w:rPr>
          <w:rFonts w:ascii="Times New Roman" w:hAnsi="Times New Roman" w:cs="Times New Roman"/>
          <w:b/>
          <w:sz w:val="24"/>
          <w:szCs w:val="24"/>
          <w:lang w:val="en-GB"/>
        </w:rPr>
      </w:pPr>
    </w:p>
    <w:p w:rsidR="00191421" w:rsidRPr="00F47B45" w:rsidRDefault="00713753" w:rsidP="00F47B45">
      <w:pPr>
        <w:spacing w:line="240" w:lineRule="auto"/>
        <w:jc w:val="center"/>
        <w:rPr>
          <w:rFonts w:ascii="Times New Roman" w:hAnsi="Times New Roman" w:cs="Times New Roman"/>
          <w:sz w:val="24"/>
          <w:szCs w:val="24"/>
          <w:lang w:val="en-GB"/>
        </w:rPr>
      </w:pPr>
      <w:r>
        <w:rPr>
          <w:rFonts w:ascii="Times New Roman" w:hAnsi="Times New Roman" w:cs="Times New Roman"/>
          <w:b/>
          <w:noProof/>
          <w:sz w:val="24"/>
          <w:szCs w:val="24"/>
          <w:lang w:val="en-US"/>
        </w:rPr>
        <w:pict w14:anchorId="01F4EA2C">
          <v:shapetype id="_x0000_t202" coordsize="21600,21600" o:spt="202" path="m,l,21600r21600,l21600,xe">
            <v:stroke joinstyle="miter"/>
            <v:path gradientshapeok="t" o:connecttype="rect"/>
          </v:shapetype>
          <v:shape id="_x0000_s1036" type="#_x0000_t202" style="position:absolute;left:0;text-align:left;margin-left:134.1pt;margin-top:14.85pt;width:35.65pt;height:21.9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" stroked="f">
            <v:textbox>
              <w:txbxContent>
                <w:p w:rsidR="00317C53" w:rsidRPr="00191421" w:rsidRDefault="00317C53" w:rsidP="00191421">
                  <w:pPr>
                    <w:jc w:val="center"/>
                    <w:rPr>
                      <w:rFonts w:ascii="Arial" w:hAnsi="Arial" w:cs="Arial"/>
                      <w:sz w:val="20"/>
                      <w:szCs w:val="20"/>
                    </w:rPr>
                  </w:pPr>
                  <w:r w:rsidRPr="00191421">
                    <w:rPr>
                      <w:rFonts w:ascii="Arial" w:hAnsi="Arial" w:cs="Arial"/>
                      <w:sz w:val="20"/>
                      <w:szCs w:val="20"/>
                    </w:rPr>
                    <w:t>(</w:t>
                  </w:r>
                  <w:r>
                    <w:rPr>
                      <w:rFonts w:ascii="Arial" w:hAnsi="Arial" w:cs="Arial"/>
                      <w:sz w:val="20"/>
                      <w:szCs w:val="20"/>
                    </w:rPr>
                    <w:t>a</w:t>
                  </w:r>
                  <w:r w:rsidRPr="00191421">
                    <w:rPr>
                      <w:rFonts w:ascii="Arial" w:hAnsi="Arial" w:cs="Arial"/>
                      <w:sz w:val="20"/>
                      <w:szCs w:val="20"/>
                    </w:rPr>
                    <w:t>)</w:t>
                  </w:r>
                </w:p>
              </w:txbxContent>
            </v:textbox>
          </v:shape>
        </w:pict>
      </w:r>
      <w:r>
        <w:rPr>
          <w:rFonts w:ascii="Times New Roman" w:hAnsi="Times New Roman" w:cs="Times New Roman"/>
          <w:b/>
          <w:noProof/>
          <w:sz w:val="24"/>
          <w:szCs w:val="24"/>
          <w:lang w:val="en-US"/>
        </w:rPr>
        <w:pict w14:anchorId="0671F642">
          <v:shape id="_x0000_s1037" type="#_x0000_t202" style="position:absolute;left:0;text-align:left;margin-left:134.65pt;margin-top:148.15pt;width:35.65pt;height:21.9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" stroked="f">
            <v:textbox>
              <w:txbxContent>
                <w:p w:rsidR="00317C53" w:rsidRPr="00191421" w:rsidRDefault="00317C53" w:rsidP="00191421">
                  <w:pPr>
                    <w:jc w:val="center"/>
                    <w:rPr>
                      <w:rFonts w:ascii="Arial" w:hAnsi="Arial" w:cs="Arial"/>
                      <w:sz w:val="20"/>
                      <w:szCs w:val="20"/>
                    </w:rPr>
                  </w:pPr>
                  <w:r w:rsidRPr="00191421">
                    <w:rPr>
                      <w:rFonts w:ascii="Arial" w:hAnsi="Arial" w:cs="Arial"/>
                      <w:sz w:val="20"/>
                      <w:szCs w:val="20"/>
                    </w:rPr>
                    <w:t>(b)</w:t>
                  </w:r>
                </w:p>
              </w:txbxContent>
            </v:textbox>
          </v:shape>
        </w:pict>
      </w:r>
      <w:r w:rsidR="00191421" w:rsidRPr="00F47B45">
        <w:rPr>
          <w:rFonts w:ascii="Times New Roman" w:hAnsi="Times New Roman" w:cs="Times New Roman"/>
          <w:noProof/>
          <w:sz w:val="24"/>
          <w:szCs w:val="24"/>
          <w:lang w:eastAsia="es-ES"/>
        </w:rPr>
        <w:drawing>
          <wp:inline distT="0" distB="0" distL="0" distR="0">
            <wp:extent cx="3124308" cy="356965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143666" cy="3591776"/>
                    </a:xfrm>
                    <a:prstGeom prst="rect">
                      <a:avLst/>
                    </a:prstGeom>
                  </pic:spPr>
                </pic:pic>
              </a:graphicData>
            </a:graphic>
          </wp:inline>
        </w:drawing>
      </w:r>
    </w:p>
    <w:p w:rsidR="00191421" w:rsidRPr="00F47B45" w:rsidRDefault="00191421" w:rsidP="00F47B45">
      <w:pPr>
        <w:spacing w:after="0" w:line="240" w:lineRule="auto"/>
        <w:rPr>
          <w:rFonts w:ascii="Times New Roman" w:hAnsi="Times New Roman" w:cs="Times New Roman"/>
          <w:b/>
          <w:sz w:val="24"/>
          <w:szCs w:val="24"/>
          <w:lang w:val="en-GB"/>
        </w:rPr>
      </w:pPr>
    </w:p>
    <w:p w:rsidR="00B37E87" w:rsidRPr="00F47B45" w:rsidRDefault="00191421" w:rsidP="00F47B45">
      <w:pPr>
        <w:spacing w:line="240" w:lineRule="auto"/>
        <w:rPr>
          <w:rFonts w:ascii="Times New Roman" w:hAnsi="Times New Roman" w:cs="Times New Roman"/>
          <w:sz w:val="24"/>
          <w:szCs w:val="24"/>
          <w:lang w:val="en-US"/>
        </w:rPr>
      </w:pPr>
      <w:r w:rsidRPr="00F47B45">
        <w:rPr>
          <w:rFonts w:ascii="Times New Roman" w:hAnsi="Times New Roman" w:cs="Times New Roman"/>
          <w:b/>
          <w:sz w:val="24"/>
          <w:szCs w:val="24"/>
          <w:lang w:val="en-GB"/>
        </w:rPr>
        <w:t xml:space="preserve">Figure </w:t>
      </w:r>
      <w:r w:rsidR="006F1954" w:rsidRPr="00F47B45">
        <w:rPr>
          <w:rFonts w:ascii="Times New Roman" w:hAnsi="Times New Roman" w:cs="Times New Roman"/>
          <w:b/>
          <w:sz w:val="24"/>
          <w:szCs w:val="24"/>
          <w:lang w:val="en-GB"/>
        </w:rPr>
        <w:t>S</w:t>
      </w:r>
      <w:r w:rsidR="006F1954">
        <w:rPr>
          <w:rFonts w:ascii="Times New Roman" w:hAnsi="Times New Roman" w:cs="Times New Roman"/>
          <w:b/>
          <w:sz w:val="24"/>
          <w:szCs w:val="24"/>
          <w:lang w:val="en-GB"/>
        </w:rPr>
        <w:t>3</w:t>
      </w:r>
      <w:r w:rsidRPr="00F47B45">
        <w:rPr>
          <w:rFonts w:ascii="Times New Roman" w:hAnsi="Times New Roman" w:cs="Times New Roman"/>
          <w:b/>
          <w:sz w:val="24"/>
          <w:szCs w:val="24"/>
          <w:lang w:val="en-GB"/>
        </w:rPr>
        <w:t xml:space="preserve">. </w:t>
      </w:r>
      <w:r w:rsidRPr="00F47B45">
        <w:rPr>
          <w:rFonts w:ascii="Times New Roman" w:hAnsi="Times New Roman" w:cs="Times New Roman"/>
          <w:sz w:val="24"/>
          <w:szCs w:val="24"/>
          <w:lang w:val="en-GB"/>
        </w:rPr>
        <w:t xml:space="preserve">Annual values of </w:t>
      </w:r>
      <w:r w:rsidRPr="00F47B45">
        <w:rPr>
          <w:rFonts w:ascii="Times New Roman" w:hAnsi="Times New Roman" w:cs="Times New Roman"/>
          <w:sz w:val="24"/>
          <w:szCs w:val="24"/>
          <w:lang w:val="en-US"/>
        </w:rPr>
        <w:t>Normalized Difference Vegetation Index</w:t>
      </w:r>
      <w:r w:rsidRPr="00F47B45">
        <w:rPr>
          <w:rFonts w:ascii="Times New Roman" w:hAnsi="Times New Roman" w:cs="Times New Roman"/>
          <w:sz w:val="24"/>
          <w:szCs w:val="24"/>
          <w:lang w:val="en-GB"/>
        </w:rPr>
        <w:t xml:space="preserve"> (NDVI) calculated for the period 1982-2014 in the studied (a) Scots pine and (b) silver fir forests. The black lines represent the observed NDVI values and the red lines show the predicted trend according to the fitted Generalized Additive Mixed Models.</w:t>
      </w:r>
    </w:p>
    <w:sectPr w:rsidR="00B37E87" w:rsidRPr="00F47B45" w:rsidSect="0044724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753" w:rsidRDefault="00713753" w:rsidP="00655933">
      <w:pPr>
        <w:spacing w:after="0" w:line="240" w:lineRule="auto"/>
      </w:pPr>
      <w:r>
        <w:separator/>
      </w:r>
    </w:p>
  </w:endnote>
  <w:endnote w:type="continuationSeparator" w:id="0">
    <w:p w:rsidR="00713753" w:rsidRDefault="00713753" w:rsidP="00655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454553"/>
      <w:docPartObj>
        <w:docPartGallery w:val="Page Numbers (Bottom of Page)"/>
        <w:docPartUnique/>
      </w:docPartObj>
    </w:sdtPr>
    <w:sdtEndPr/>
    <w:sdtContent>
      <w:p w:rsidR="00317C53" w:rsidRDefault="003B27BF">
        <w:pPr>
          <w:pStyle w:val="Footer"/>
          <w:jc w:val="right"/>
        </w:pPr>
        <w:r>
          <w:fldChar w:fldCharType="begin"/>
        </w:r>
        <w:r w:rsidR="00317C53">
          <w:instrText>PAGE   \* MERGEFORMAT</w:instrText>
        </w:r>
        <w:r>
          <w:fldChar w:fldCharType="separate"/>
        </w:r>
        <w:r w:rsidR="00A90067">
          <w:rPr>
            <w:noProof/>
          </w:rPr>
          <w:t>5</w:t>
        </w:r>
        <w:r>
          <w:rPr>
            <w:noProof/>
          </w:rPr>
          <w:fldChar w:fldCharType="end"/>
        </w:r>
      </w:p>
    </w:sdtContent>
  </w:sdt>
  <w:p w:rsidR="00317C53" w:rsidRDefault="00317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753" w:rsidRDefault="00713753" w:rsidP="00655933">
      <w:pPr>
        <w:spacing w:after="0" w:line="240" w:lineRule="auto"/>
      </w:pPr>
      <w:r>
        <w:separator/>
      </w:r>
    </w:p>
  </w:footnote>
  <w:footnote w:type="continuationSeparator" w:id="0">
    <w:p w:rsidR="00713753" w:rsidRDefault="00713753" w:rsidP="00655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06F17"/>
    <w:multiLevelType w:val="hybridMultilevel"/>
    <w:tmpl w:val="587C2804"/>
    <w:lvl w:ilvl="0" w:tplc="B606A25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5AB2BA2"/>
    <w:multiLevelType w:val="hybridMultilevel"/>
    <w:tmpl w:val="7D326F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79D4"/>
    <w:rsid w:val="00032FA6"/>
    <w:rsid w:val="00033071"/>
    <w:rsid w:val="00034533"/>
    <w:rsid w:val="000352AA"/>
    <w:rsid w:val="00042504"/>
    <w:rsid w:val="00042AEC"/>
    <w:rsid w:val="00047231"/>
    <w:rsid w:val="00054E97"/>
    <w:rsid w:val="0006492C"/>
    <w:rsid w:val="00071092"/>
    <w:rsid w:val="000760B1"/>
    <w:rsid w:val="0008055B"/>
    <w:rsid w:val="00083BF1"/>
    <w:rsid w:val="00087228"/>
    <w:rsid w:val="00091FDE"/>
    <w:rsid w:val="00095B8C"/>
    <w:rsid w:val="000A1CB9"/>
    <w:rsid w:val="000B3F02"/>
    <w:rsid w:val="000B6137"/>
    <w:rsid w:val="000C0129"/>
    <w:rsid w:val="000D5332"/>
    <w:rsid w:val="000E1EBD"/>
    <w:rsid w:val="000E23EA"/>
    <w:rsid w:val="000F2725"/>
    <w:rsid w:val="00100C7B"/>
    <w:rsid w:val="001028E4"/>
    <w:rsid w:val="00104E94"/>
    <w:rsid w:val="0011518C"/>
    <w:rsid w:val="0014059D"/>
    <w:rsid w:val="00146431"/>
    <w:rsid w:val="001504F5"/>
    <w:rsid w:val="00150E74"/>
    <w:rsid w:val="0015341B"/>
    <w:rsid w:val="001843B1"/>
    <w:rsid w:val="001843D1"/>
    <w:rsid w:val="00191421"/>
    <w:rsid w:val="00191F98"/>
    <w:rsid w:val="001A0B71"/>
    <w:rsid w:val="001B6C43"/>
    <w:rsid w:val="001C27A9"/>
    <w:rsid w:val="001C6B9B"/>
    <w:rsid w:val="001C6DFD"/>
    <w:rsid w:val="001D49A5"/>
    <w:rsid w:val="001D693D"/>
    <w:rsid w:val="001E654C"/>
    <w:rsid w:val="001F2129"/>
    <w:rsid w:val="00205495"/>
    <w:rsid w:val="00206BAC"/>
    <w:rsid w:val="00206D83"/>
    <w:rsid w:val="00207E4E"/>
    <w:rsid w:val="0021374B"/>
    <w:rsid w:val="00222503"/>
    <w:rsid w:val="00234E7E"/>
    <w:rsid w:val="00251034"/>
    <w:rsid w:val="002567E1"/>
    <w:rsid w:val="00264A39"/>
    <w:rsid w:val="00266F16"/>
    <w:rsid w:val="002708FD"/>
    <w:rsid w:val="002902D0"/>
    <w:rsid w:val="002A3BDF"/>
    <w:rsid w:val="002B579A"/>
    <w:rsid w:val="002C0396"/>
    <w:rsid w:val="002C148B"/>
    <w:rsid w:val="002C71DC"/>
    <w:rsid w:val="002E34C3"/>
    <w:rsid w:val="002E356D"/>
    <w:rsid w:val="002E5CA1"/>
    <w:rsid w:val="00303DCA"/>
    <w:rsid w:val="003059EB"/>
    <w:rsid w:val="00305BB7"/>
    <w:rsid w:val="00317C53"/>
    <w:rsid w:val="0033349A"/>
    <w:rsid w:val="00341F7C"/>
    <w:rsid w:val="00370C94"/>
    <w:rsid w:val="003712DD"/>
    <w:rsid w:val="00372B3F"/>
    <w:rsid w:val="0037385C"/>
    <w:rsid w:val="00380535"/>
    <w:rsid w:val="00383995"/>
    <w:rsid w:val="00393E46"/>
    <w:rsid w:val="003B0DBF"/>
    <w:rsid w:val="003B14F4"/>
    <w:rsid w:val="003B27BF"/>
    <w:rsid w:val="003C6AA6"/>
    <w:rsid w:val="003E73C6"/>
    <w:rsid w:val="003F65E2"/>
    <w:rsid w:val="003F7631"/>
    <w:rsid w:val="00402A17"/>
    <w:rsid w:val="004053C6"/>
    <w:rsid w:val="00405728"/>
    <w:rsid w:val="0041392E"/>
    <w:rsid w:val="00413BB6"/>
    <w:rsid w:val="00425142"/>
    <w:rsid w:val="00425313"/>
    <w:rsid w:val="00425C8F"/>
    <w:rsid w:val="004464BF"/>
    <w:rsid w:val="00447241"/>
    <w:rsid w:val="0045055A"/>
    <w:rsid w:val="004546FA"/>
    <w:rsid w:val="00461DC0"/>
    <w:rsid w:val="004657FE"/>
    <w:rsid w:val="00480749"/>
    <w:rsid w:val="00481C31"/>
    <w:rsid w:val="004910C9"/>
    <w:rsid w:val="004B7C30"/>
    <w:rsid w:val="004C4975"/>
    <w:rsid w:val="004C4EB3"/>
    <w:rsid w:val="004C5004"/>
    <w:rsid w:val="004D1ADB"/>
    <w:rsid w:val="005012F7"/>
    <w:rsid w:val="00504A12"/>
    <w:rsid w:val="0050500A"/>
    <w:rsid w:val="00507919"/>
    <w:rsid w:val="00516B85"/>
    <w:rsid w:val="005233FA"/>
    <w:rsid w:val="00526C4A"/>
    <w:rsid w:val="00527EEE"/>
    <w:rsid w:val="005327ED"/>
    <w:rsid w:val="00536950"/>
    <w:rsid w:val="00545822"/>
    <w:rsid w:val="005563D0"/>
    <w:rsid w:val="00557871"/>
    <w:rsid w:val="00557886"/>
    <w:rsid w:val="005579D4"/>
    <w:rsid w:val="005624AA"/>
    <w:rsid w:val="005713A6"/>
    <w:rsid w:val="00581A7C"/>
    <w:rsid w:val="005857D5"/>
    <w:rsid w:val="00585B20"/>
    <w:rsid w:val="00587076"/>
    <w:rsid w:val="0059160C"/>
    <w:rsid w:val="00594C1E"/>
    <w:rsid w:val="00595FD2"/>
    <w:rsid w:val="005A00A5"/>
    <w:rsid w:val="005A4FE8"/>
    <w:rsid w:val="005A6A47"/>
    <w:rsid w:val="005B33F5"/>
    <w:rsid w:val="005B64E5"/>
    <w:rsid w:val="005C3196"/>
    <w:rsid w:val="005D1193"/>
    <w:rsid w:val="005D251C"/>
    <w:rsid w:val="005E02F9"/>
    <w:rsid w:val="006017F3"/>
    <w:rsid w:val="00601F00"/>
    <w:rsid w:val="006021E2"/>
    <w:rsid w:val="0060512B"/>
    <w:rsid w:val="00611454"/>
    <w:rsid w:val="00615DB4"/>
    <w:rsid w:val="006226E7"/>
    <w:rsid w:val="0062512C"/>
    <w:rsid w:val="00630BD1"/>
    <w:rsid w:val="00632627"/>
    <w:rsid w:val="00634F59"/>
    <w:rsid w:val="00637225"/>
    <w:rsid w:val="00640A39"/>
    <w:rsid w:val="0065166B"/>
    <w:rsid w:val="00655933"/>
    <w:rsid w:val="00656E49"/>
    <w:rsid w:val="00657475"/>
    <w:rsid w:val="00661D8F"/>
    <w:rsid w:val="0066260C"/>
    <w:rsid w:val="00664730"/>
    <w:rsid w:val="00665138"/>
    <w:rsid w:val="006765FE"/>
    <w:rsid w:val="006814E5"/>
    <w:rsid w:val="006819F0"/>
    <w:rsid w:val="006917EA"/>
    <w:rsid w:val="00691CA4"/>
    <w:rsid w:val="006A1356"/>
    <w:rsid w:val="006A1E7B"/>
    <w:rsid w:val="006A2082"/>
    <w:rsid w:val="006B04D5"/>
    <w:rsid w:val="006B09F6"/>
    <w:rsid w:val="006B5680"/>
    <w:rsid w:val="006C1890"/>
    <w:rsid w:val="006D0E93"/>
    <w:rsid w:val="006D5B8B"/>
    <w:rsid w:val="006E0DC9"/>
    <w:rsid w:val="006E5CBD"/>
    <w:rsid w:val="006F059D"/>
    <w:rsid w:val="006F1954"/>
    <w:rsid w:val="006F2ECA"/>
    <w:rsid w:val="006F67F2"/>
    <w:rsid w:val="00706A6D"/>
    <w:rsid w:val="00710320"/>
    <w:rsid w:val="00713753"/>
    <w:rsid w:val="00730D7A"/>
    <w:rsid w:val="007361CD"/>
    <w:rsid w:val="0073796F"/>
    <w:rsid w:val="007404E6"/>
    <w:rsid w:val="00744212"/>
    <w:rsid w:val="00752F05"/>
    <w:rsid w:val="00753D8D"/>
    <w:rsid w:val="0076351F"/>
    <w:rsid w:val="00773CE3"/>
    <w:rsid w:val="00783BDB"/>
    <w:rsid w:val="007853F6"/>
    <w:rsid w:val="00795BD1"/>
    <w:rsid w:val="007A50BC"/>
    <w:rsid w:val="007A6204"/>
    <w:rsid w:val="007B6C57"/>
    <w:rsid w:val="007C0E24"/>
    <w:rsid w:val="007C2CDE"/>
    <w:rsid w:val="007C342C"/>
    <w:rsid w:val="007C5FE2"/>
    <w:rsid w:val="007D0B3B"/>
    <w:rsid w:val="007D0FE1"/>
    <w:rsid w:val="007D7BCE"/>
    <w:rsid w:val="007F3C7F"/>
    <w:rsid w:val="00803D48"/>
    <w:rsid w:val="008048D0"/>
    <w:rsid w:val="0080660E"/>
    <w:rsid w:val="00811A98"/>
    <w:rsid w:val="008129E8"/>
    <w:rsid w:val="00822C81"/>
    <w:rsid w:val="00826759"/>
    <w:rsid w:val="008323FB"/>
    <w:rsid w:val="00832B17"/>
    <w:rsid w:val="00836B79"/>
    <w:rsid w:val="008432CC"/>
    <w:rsid w:val="00844ADB"/>
    <w:rsid w:val="008561A4"/>
    <w:rsid w:val="00870845"/>
    <w:rsid w:val="008A031D"/>
    <w:rsid w:val="008A3341"/>
    <w:rsid w:val="008A7BF1"/>
    <w:rsid w:val="008B3D29"/>
    <w:rsid w:val="008C3079"/>
    <w:rsid w:val="008F0AEF"/>
    <w:rsid w:val="008F22DF"/>
    <w:rsid w:val="008F33A0"/>
    <w:rsid w:val="008F6677"/>
    <w:rsid w:val="00901BD3"/>
    <w:rsid w:val="009048CA"/>
    <w:rsid w:val="0090678D"/>
    <w:rsid w:val="009174DF"/>
    <w:rsid w:val="00926960"/>
    <w:rsid w:val="00932533"/>
    <w:rsid w:val="00937664"/>
    <w:rsid w:val="00941780"/>
    <w:rsid w:val="00945407"/>
    <w:rsid w:val="009461CA"/>
    <w:rsid w:val="009511DE"/>
    <w:rsid w:val="00954C99"/>
    <w:rsid w:val="0096213D"/>
    <w:rsid w:val="009636CD"/>
    <w:rsid w:val="00967778"/>
    <w:rsid w:val="0097296D"/>
    <w:rsid w:val="00982608"/>
    <w:rsid w:val="00983387"/>
    <w:rsid w:val="00995834"/>
    <w:rsid w:val="009B7CFA"/>
    <w:rsid w:val="009C38B5"/>
    <w:rsid w:val="009C38F7"/>
    <w:rsid w:val="009D14F3"/>
    <w:rsid w:val="009D2F7B"/>
    <w:rsid w:val="009E2CB1"/>
    <w:rsid w:val="009E40D4"/>
    <w:rsid w:val="009F1C55"/>
    <w:rsid w:val="009F2D82"/>
    <w:rsid w:val="00A00C8E"/>
    <w:rsid w:val="00A07716"/>
    <w:rsid w:val="00A1781B"/>
    <w:rsid w:val="00A17908"/>
    <w:rsid w:val="00A315FE"/>
    <w:rsid w:val="00A35F78"/>
    <w:rsid w:val="00A4671A"/>
    <w:rsid w:val="00A55204"/>
    <w:rsid w:val="00A6764F"/>
    <w:rsid w:val="00A74FD1"/>
    <w:rsid w:val="00A7738F"/>
    <w:rsid w:val="00A8243C"/>
    <w:rsid w:val="00A853D8"/>
    <w:rsid w:val="00A85443"/>
    <w:rsid w:val="00A87011"/>
    <w:rsid w:val="00A87B4F"/>
    <w:rsid w:val="00A90067"/>
    <w:rsid w:val="00AB397C"/>
    <w:rsid w:val="00AD38F6"/>
    <w:rsid w:val="00AE0523"/>
    <w:rsid w:val="00AE0BEC"/>
    <w:rsid w:val="00AF6A7C"/>
    <w:rsid w:val="00B2179D"/>
    <w:rsid w:val="00B27DE5"/>
    <w:rsid w:val="00B34AF1"/>
    <w:rsid w:val="00B37E87"/>
    <w:rsid w:val="00B464CE"/>
    <w:rsid w:val="00B51EDA"/>
    <w:rsid w:val="00B534D8"/>
    <w:rsid w:val="00B54F57"/>
    <w:rsid w:val="00B61668"/>
    <w:rsid w:val="00B64E65"/>
    <w:rsid w:val="00B70DEA"/>
    <w:rsid w:val="00B716C3"/>
    <w:rsid w:val="00B72DD0"/>
    <w:rsid w:val="00B83329"/>
    <w:rsid w:val="00B847F2"/>
    <w:rsid w:val="00BB36D3"/>
    <w:rsid w:val="00BD2DC7"/>
    <w:rsid w:val="00BE0AC7"/>
    <w:rsid w:val="00BF78E5"/>
    <w:rsid w:val="00C014EA"/>
    <w:rsid w:val="00C01522"/>
    <w:rsid w:val="00C058EC"/>
    <w:rsid w:val="00C12EF8"/>
    <w:rsid w:val="00C25658"/>
    <w:rsid w:val="00C26FB5"/>
    <w:rsid w:val="00C3016C"/>
    <w:rsid w:val="00C457E5"/>
    <w:rsid w:val="00C45E99"/>
    <w:rsid w:val="00C475F7"/>
    <w:rsid w:val="00C54752"/>
    <w:rsid w:val="00C6039E"/>
    <w:rsid w:val="00C7009C"/>
    <w:rsid w:val="00C7260A"/>
    <w:rsid w:val="00C77537"/>
    <w:rsid w:val="00C8512C"/>
    <w:rsid w:val="00C8557C"/>
    <w:rsid w:val="00CA0D61"/>
    <w:rsid w:val="00CA4591"/>
    <w:rsid w:val="00CB0E3A"/>
    <w:rsid w:val="00CB2519"/>
    <w:rsid w:val="00CC1D10"/>
    <w:rsid w:val="00CC2892"/>
    <w:rsid w:val="00CC5598"/>
    <w:rsid w:val="00CD25C1"/>
    <w:rsid w:val="00CE29E1"/>
    <w:rsid w:val="00CE686B"/>
    <w:rsid w:val="00CF068A"/>
    <w:rsid w:val="00CF6469"/>
    <w:rsid w:val="00CF746C"/>
    <w:rsid w:val="00D01788"/>
    <w:rsid w:val="00D07E24"/>
    <w:rsid w:val="00D16188"/>
    <w:rsid w:val="00D230D1"/>
    <w:rsid w:val="00D23A59"/>
    <w:rsid w:val="00D24FEF"/>
    <w:rsid w:val="00D263A1"/>
    <w:rsid w:val="00D34C71"/>
    <w:rsid w:val="00D44AF4"/>
    <w:rsid w:val="00D47D7C"/>
    <w:rsid w:val="00D52FC3"/>
    <w:rsid w:val="00D555D2"/>
    <w:rsid w:val="00D56C49"/>
    <w:rsid w:val="00D65DDD"/>
    <w:rsid w:val="00D806D5"/>
    <w:rsid w:val="00D87754"/>
    <w:rsid w:val="00D87C68"/>
    <w:rsid w:val="00D91608"/>
    <w:rsid w:val="00D9664D"/>
    <w:rsid w:val="00DA04B1"/>
    <w:rsid w:val="00DA6F57"/>
    <w:rsid w:val="00DB1C0A"/>
    <w:rsid w:val="00DB2E3F"/>
    <w:rsid w:val="00DE53E4"/>
    <w:rsid w:val="00DE557B"/>
    <w:rsid w:val="00E00641"/>
    <w:rsid w:val="00E11206"/>
    <w:rsid w:val="00E170EF"/>
    <w:rsid w:val="00E347D1"/>
    <w:rsid w:val="00E36088"/>
    <w:rsid w:val="00E36264"/>
    <w:rsid w:val="00E4495F"/>
    <w:rsid w:val="00E50C81"/>
    <w:rsid w:val="00E53397"/>
    <w:rsid w:val="00E62DBB"/>
    <w:rsid w:val="00E65AEA"/>
    <w:rsid w:val="00E769C0"/>
    <w:rsid w:val="00E7712C"/>
    <w:rsid w:val="00E80CA6"/>
    <w:rsid w:val="00E87421"/>
    <w:rsid w:val="00E9248F"/>
    <w:rsid w:val="00E93643"/>
    <w:rsid w:val="00E96CE7"/>
    <w:rsid w:val="00EA6B0E"/>
    <w:rsid w:val="00EB02CF"/>
    <w:rsid w:val="00EB1024"/>
    <w:rsid w:val="00EB38E1"/>
    <w:rsid w:val="00EB59D7"/>
    <w:rsid w:val="00EC4326"/>
    <w:rsid w:val="00EC684B"/>
    <w:rsid w:val="00ED0690"/>
    <w:rsid w:val="00ED7CE5"/>
    <w:rsid w:val="00F06244"/>
    <w:rsid w:val="00F07991"/>
    <w:rsid w:val="00F128DA"/>
    <w:rsid w:val="00F13C38"/>
    <w:rsid w:val="00F148B9"/>
    <w:rsid w:val="00F20AC7"/>
    <w:rsid w:val="00F26584"/>
    <w:rsid w:val="00F40EFC"/>
    <w:rsid w:val="00F47B45"/>
    <w:rsid w:val="00F512DA"/>
    <w:rsid w:val="00F6181C"/>
    <w:rsid w:val="00F61880"/>
    <w:rsid w:val="00F7617A"/>
    <w:rsid w:val="00F761CA"/>
    <w:rsid w:val="00F77EF2"/>
    <w:rsid w:val="00F831BC"/>
    <w:rsid w:val="00F974BE"/>
    <w:rsid w:val="00FA5103"/>
    <w:rsid w:val="00FB6A29"/>
    <w:rsid w:val="00FC0DE9"/>
    <w:rsid w:val="00FC12C2"/>
    <w:rsid w:val="00FC1D7C"/>
    <w:rsid w:val="00FC6CCF"/>
    <w:rsid w:val="00FC71C6"/>
    <w:rsid w:val="00FE1229"/>
    <w:rsid w:val="00FE2438"/>
    <w:rsid w:val="00FE6BB5"/>
    <w:rsid w:val="00FE7F5E"/>
    <w:rsid w:val="00FF04FB"/>
    <w:rsid w:val="00FF4F05"/>
    <w:rsid w:val="00FF73DF"/>
    <w:rsid w:val="00FF776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C53B7C67-3341-4222-AB04-241CDAF3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5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004"/>
    <w:rPr>
      <w:rFonts w:ascii="Tahoma" w:hAnsi="Tahoma" w:cs="Tahoma"/>
      <w:sz w:val="16"/>
      <w:szCs w:val="16"/>
    </w:rPr>
  </w:style>
  <w:style w:type="character" w:styleId="PlaceholderText">
    <w:name w:val="Placeholder Text"/>
    <w:basedOn w:val="DefaultParagraphFont"/>
    <w:uiPriority w:val="99"/>
    <w:semiHidden/>
    <w:rsid w:val="004C5004"/>
    <w:rPr>
      <w:color w:val="808080"/>
    </w:rPr>
  </w:style>
  <w:style w:type="paragraph" w:styleId="Header">
    <w:name w:val="header"/>
    <w:basedOn w:val="Normal"/>
    <w:link w:val="HeaderChar"/>
    <w:uiPriority w:val="99"/>
    <w:unhideWhenUsed/>
    <w:rsid w:val="00655933"/>
    <w:pPr>
      <w:tabs>
        <w:tab w:val="center" w:pos="4252"/>
        <w:tab w:val="right" w:pos="8504"/>
      </w:tabs>
      <w:spacing w:after="0" w:line="240" w:lineRule="auto"/>
    </w:pPr>
  </w:style>
  <w:style w:type="character" w:customStyle="1" w:styleId="HeaderChar">
    <w:name w:val="Header Char"/>
    <w:basedOn w:val="DefaultParagraphFont"/>
    <w:link w:val="Header"/>
    <w:uiPriority w:val="99"/>
    <w:rsid w:val="00655933"/>
  </w:style>
  <w:style w:type="paragraph" w:styleId="Footer">
    <w:name w:val="footer"/>
    <w:basedOn w:val="Normal"/>
    <w:link w:val="FooterChar"/>
    <w:uiPriority w:val="99"/>
    <w:unhideWhenUsed/>
    <w:rsid w:val="00655933"/>
    <w:pPr>
      <w:tabs>
        <w:tab w:val="center" w:pos="4252"/>
        <w:tab w:val="right" w:pos="8504"/>
      </w:tabs>
      <w:spacing w:after="0" w:line="240" w:lineRule="auto"/>
    </w:pPr>
  </w:style>
  <w:style w:type="character" w:customStyle="1" w:styleId="FooterChar">
    <w:name w:val="Footer Char"/>
    <w:basedOn w:val="DefaultParagraphFont"/>
    <w:link w:val="Footer"/>
    <w:uiPriority w:val="99"/>
    <w:rsid w:val="00655933"/>
  </w:style>
  <w:style w:type="character" w:styleId="Hyperlink">
    <w:name w:val="Hyperlink"/>
    <w:rsid w:val="0050500A"/>
    <w:rPr>
      <w:color w:val="0000FF"/>
      <w:u w:val="single"/>
    </w:rPr>
  </w:style>
  <w:style w:type="paragraph" w:styleId="NormalWeb">
    <w:name w:val="Normal (Web)"/>
    <w:basedOn w:val="Normal"/>
    <w:uiPriority w:val="99"/>
    <w:unhideWhenUsed/>
    <w:rsid w:val="006B04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D23A59"/>
    <w:rPr>
      <w:sz w:val="16"/>
      <w:szCs w:val="16"/>
    </w:rPr>
  </w:style>
  <w:style w:type="paragraph" w:styleId="CommentText">
    <w:name w:val="annotation text"/>
    <w:basedOn w:val="Normal"/>
    <w:link w:val="CommentTextChar"/>
    <w:uiPriority w:val="99"/>
    <w:semiHidden/>
    <w:unhideWhenUsed/>
    <w:rsid w:val="00D23A59"/>
    <w:pPr>
      <w:spacing w:line="240" w:lineRule="auto"/>
    </w:pPr>
    <w:rPr>
      <w:sz w:val="20"/>
      <w:szCs w:val="20"/>
    </w:rPr>
  </w:style>
  <w:style w:type="character" w:customStyle="1" w:styleId="CommentTextChar">
    <w:name w:val="Comment Text Char"/>
    <w:basedOn w:val="DefaultParagraphFont"/>
    <w:link w:val="CommentText"/>
    <w:uiPriority w:val="99"/>
    <w:semiHidden/>
    <w:rsid w:val="00D23A59"/>
    <w:rPr>
      <w:sz w:val="20"/>
      <w:szCs w:val="20"/>
    </w:rPr>
  </w:style>
  <w:style w:type="paragraph" w:styleId="CommentSubject">
    <w:name w:val="annotation subject"/>
    <w:basedOn w:val="CommentText"/>
    <w:next w:val="CommentText"/>
    <w:link w:val="CommentSubjectChar"/>
    <w:uiPriority w:val="99"/>
    <w:semiHidden/>
    <w:unhideWhenUsed/>
    <w:rsid w:val="00D23A59"/>
    <w:rPr>
      <w:b/>
      <w:bCs/>
    </w:rPr>
  </w:style>
  <w:style w:type="character" w:customStyle="1" w:styleId="CommentSubjectChar">
    <w:name w:val="Comment Subject Char"/>
    <w:basedOn w:val="CommentTextChar"/>
    <w:link w:val="CommentSubject"/>
    <w:uiPriority w:val="99"/>
    <w:semiHidden/>
    <w:rsid w:val="00D23A59"/>
    <w:rPr>
      <w:b/>
      <w:bCs/>
      <w:sz w:val="20"/>
      <w:szCs w:val="20"/>
    </w:rPr>
  </w:style>
  <w:style w:type="paragraph" w:styleId="ListParagraph">
    <w:name w:val="List Paragraph"/>
    <w:basedOn w:val="Normal"/>
    <w:uiPriority w:val="34"/>
    <w:qFormat/>
    <w:rsid w:val="00594C1E"/>
    <w:pPr>
      <w:ind w:left="720"/>
      <w:contextualSpacing/>
    </w:pPr>
  </w:style>
  <w:style w:type="character" w:styleId="LineNumber">
    <w:name w:val="line number"/>
    <w:basedOn w:val="DefaultParagraphFont"/>
    <w:uiPriority w:val="99"/>
    <w:semiHidden/>
    <w:unhideWhenUsed/>
    <w:rsid w:val="00F47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24606-4953-47AD-8E9B-ED5632DA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392</Words>
  <Characters>2238</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Julio Camarero Martínez</dc:creator>
  <cp:keywords/>
  <dc:description/>
  <cp:lastModifiedBy>Ana Parra Munoz</cp:lastModifiedBy>
  <cp:revision>2</cp:revision>
  <dcterms:created xsi:type="dcterms:W3CDTF">2018-10-16T14:08:00Z</dcterms:created>
  <dcterms:modified xsi:type="dcterms:W3CDTF">2018-10-16T14:08:00Z</dcterms:modified>
</cp:coreProperties>
</file>