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52EA" w14:textId="4079B061" w:rsidR="00C14B3A" w:rsidRPr="007807D7" w:rsidRDefault="00C4331D" w:rsidP="00BA2850">
      <w:pPr>
        <w:spacing w:after="0" w:line="240" w:lineRule="auto"/>
        <w:rPr>
          <w:rFonts w:ascii="Times New Roman" w:hAnsi="Times New Roman"/>
          <w:b/>
          <w:sz w:val="32"/>
          <w:szCs w:val="24"/>
          <w:lang w:val="en-US"/>
        </w:rPr>
      </w:pPr>
      <w:r w:rsidRPr="007807D7">
        <w:rPr>
          <w:rFonts w:ascii="Times New Roman" w:hAnsi="Times New Roman"/>
          <w:b/>
          <w:sz w:val="32"/>
          <w:szCs w:val="24"/>
          <w:lang w:val="en-US"/>
        </w:rPr>
        <w:t>Supplement</w:t>
      </w:r>
      <w:r w:rsidR="00BA2850">
        <w:rPr>
          <w:rFonts w:ascii="Times New Roman" w:hAnsi="Times New Roman"/>
          <w:b/>
          <w:sz w:val="32"/>
          <w:szCs w:val="24"/>
          <w:lang w:val="en-US"/>
        </w:rPr>
        <w:t>al material</w:t>
      </w:r>
    </w:p>
    <w:p w14:paraId="1854907A" w14:textId="4C55C049" w:rsidR="00C14B3A" w:rsidRPr="00BA2850" w:rsidRDefault="00C14B3A" w:rsidP="00BA2850">
      <w:pPr>
        <w:spacing w:after="0" w:line="240" w:lineRule="auto"/>
        <w:rPr>
          <w:rFonts w:ascii="Times New Roman" w:hAnsi="Times New Roman"/>
          <w:b/>
          <w:sz w:val="24"/>
          <w:szCs w:val="24"/>
          <w:lang w:val="en-US"/>
        </w:rPr>
      </w:pPr>
      <w:r w:rsidRPr="00BA2850">
        <w:rPr>
          <w:rFonts w:ascii="Times New Roman" w:hAnsi="Times New Roman"/>
          <w:b/>
          <w:sz w:val="24"/>
          <w:szCs w:val="24"/>
          <w:lang w:val="en-US"/>
        </w:rPr>
        <w:t xml:space="preserve">On the neural mechanisms underlying the adaptability to varying cognitive </w:t>
      </w:r>
      <w:r w:rsidR="00C4331D" w:rsidRPr="00BA2850">
        <w:rPr>
          <w:rFonts w:ascii="Times New Roman" w:hAnsi="Times New Roman"/>
          <w:b/>
          <w:sz w:val="24"/>
          <w:szCs w:val="24"/>
          <w:lang w:val="en-US"/>
        </w:rPr>
        <w:t>c</w:t>
      </w:r>
      <w:r w:rsidR="00BA2850">
        <w:rPr>
          <w:rFonts w:ascii="Times New Roman" w:hAnsi="Times New Roman"/>
          <w:b/>
          <w:sz w:val="24"/>
          <w:szCs w:val="24"/>
          <w:lang w:val="en-US"/>
        </w:rPr>
        <w:t xml:space="preserve">ontrol </w:t>
      </w:r>
      <w:r w:rsidRPr="00BA2850">
        <w:rPr>
          <w:rFonts w:ascii="Times New Roman" w:hAnsi="Times New Roman"/>
          <w:b/>
          <w:sz w:val="24"/>
          <w:szCs w:val="24"/>
          <w:lang w:val="en-US"/>
        </w:rPr>
        <w:t>demands</w:t>
      </w:r>
    </w:p>
    <w:p w14:paraId="7F375E00" w14:textId="591DA039" w:rsidR="00C14B3A" w:rsidRPr="00266A79" w:rsidRDefault="00C4331D" w:rsidP="00BA2850">
      <w:pPr>
        <w:spacing w:after="0" w:line="240" w:lineRule="auto"/>
        <w:rPr>
          <w:rFonts w:ascii="Times New Roman" w:hAnsi="Times New Roman"/>
          <w:sz w:val="24"/>
          <w:szCs w:val="24"/>
          <w:lang w:val="en-US"/>
        </w:rPr>
      </w:pPr>
      <w:r>
        <w:rPr>
          <w:rFonts w:ascii="Times New Roman" w:hAnsi="Times New Roman"/>
          <w:sz w:val="24"/>
          <w:szCs w:val="24"/>
          <w:lang w:val="en-US"/>
        </w:rPr>
        <w:t>Zink N, Stock AK, Vahid A, Beste C</w:t>
      </w:r>
    </w:p>
    <w:p w14:paraId="58752CDB" w14:textId="3FFB388C" w:rsidR="00C4331D" w:rsidRDefault="00C4331D" w:rsidP="00BA2850">
      <w:pPr>
        <w:spacing w:after="0" w:line="240" w:lineRule="auto"/>
        <w:jc w:val="both"/>
        <w:rPr>
          <w:rFonts w:ascii="Times New Roman" w:hAnsi="Times New Roman"/>
          <w:sz w:val="24"/>
          <w:szCs w:val="24"/>
          <w:lang w:val="en-US"/>
        </w:rPr>
      </w:pPr>
    </w:p>
    <w:p w14:paraId="76C6D742" w14:textId="77777777" w:rsidR="00CC368F" w:rsidRPr="00966BD1" w:rsidRDefault="00CC368F" w:rsidP="00BA2850">
      <w:pPr>
        <w:spacing w:after="0" w:line="240" w:lineRule="auto"/>
        <w:jc w:val="both"/>
        <w:rPr>
          <w:rFonts w:ascii="Times New Roman" w:hAnsi="Times New Roman"/>
          <w:i/>
          <w:sz w:val="24"/>
          <w:szCs w:val="24"/>
          <w:lang w:val="en-US"/>
        </w:rPr>
      </w:pPr>
      <w:r w:rsidRPr="00966BD1">
        <w:rPr>
          <w:rFonts w:ascii="Times New Roman" w:hAnsi="Times New Roman"/>
          <w:i/>
          <w:sz w:val="24"/>
          <w:szCs w:val="24"/>
          <w:lang w:val="en-US"/>
        </w:rPr>
        <w:t>Behavioral data</w:t>
      </w:r>
    </w:p>
    <w:p w14:paraId="78CCE4AF" w14:textId="77777777" w:rsidR="00CC368F" w:rsidRPr="00CC368F" w:rsidRDefault="00CC368F" w:rsidP="00BA2850">
      <w:pPr>
        <w:spacing w:after="0" w:line="240" w:lineRule="auto"/>
        <w:jc w:val="both"/>
        <w:rPr>
          <w:rFonts w:ascii="Times New Roman" w:hAnsi="Times New Roman"/>
          <w:sz w:val="24"/>
          <w:szCs w:val="24"/>
          <w:lang w:val="en-US"/>
        </w:rPr>
      </w:pPr>
      <w:r w:rsidRPr="00CC368F">
        <w:rPr>
          <w:rFonts w:ascii="Times New Roman" w:hAnsi="Times New Roman"/>
          <w:sz w:val="24"/>
          <w:szCs w:val="24"/>
          <w:lang w:val="en-US"/>
        </w:rPr>
        <w:t>The analysis of the hit RT revealed a main effect of task (</w:t>
      </w:r>
      <w:proofErr w:type="gramStart"/>
      <w:r w:rsidRPr="00CC368F">
        <w:rPr>
          <w:rFonts w:ascii="Times New Roman" w:hAnsi="Times New Roman"/>
          <w:i/>
          <w:sz w:val="24"/>
          <w:szCs w:val="24"/>
          <w:lang w:val="en-US"/>
        </w:rPr>
        <w:t>F</w:t>
      </w:r>
      <w:r w:rsidRPr="00CC368F">
        <w:rPr>
          <w:rFonts w:ascii="Times New Roman" w:hAnsi="Times New Roman"/>
          <w:sz w:val="24"/>
          <w:szCs w:val="24"/>
          <w:lang w:val="en-US"/>
        </w:rPr>
        <w:t>(</w:t>
      </w:r>
      <w:proofErr w:type="gramEnd"/>
      <w:r w:rsidRPr="00CC368F">
        <w:rPr>
          <w:rFonts w:ascii="Times New Roman" w:hAnsi="Times New Roman"/>
          <w:sz w:val="24"/>
          <w:szCs w:val="24"/>
          <w:lang w:val="en-US"/>
        </w:rPr>
        <w:t xml:space="preserve">1,225) = 2533.49;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w:t>
      </w:r>
      <m:oMath>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p</m:t>
            </m:r>
          </m:sub>
          <m:sup>
            <m:r>
              <w:rPr>
                <w:rFonts w:ascii="Cambria Math" w:hAnsi="Cambria Math"/>
                <w:sz w:val="24"/>
                <w:szCs w:val="24"/>
                <w:lang w:val="en-US"/>
              </w:rPr>
              <m:t>2</m:t>
            </m:r>
          </m:sup>
        </m:sSubSup>
      </m:oMath>
      <w:r w:rsidRPr="00CC368F">
        <w:rPr>
          <w:rFonts w:ascii="Times New Roman" w:hAnsi="Times New Roman"/>
          <w:sz w:val="24"/>
          <w:szCs w:val="24"/>
          <w:lang w:val="en-US"/>
        </w:rPr>
        <w:t xml:space="preserve"> = .918), with higher RTs in the hard task (682 ± 7) compared to the easy task (467 ± 4). Furthermore, there was an task*group interaction (</w:t>
      </w:r>
      <w:proofErr w:type="gramStart"/>
      <w:r w:rsidRPr="00CC368F">
        <w:rPr>
          <w:rFonts w:ascii="Times New Roman" w:hAnsi="Times New Roman"/>
          <w:i/>
          <w:sz w:val="24"/>
          <w:szCs w:val="24"/>
          <w:lang w:val="en-US"/>
        </w:rPr>
        <w:t>F</w:t>
      </w:r>
      <w:r w:rsidRPr="00CC368F">
        <w:rPr>
          <w:rFonts w:ascii="Times New Roman" w:hAnsi="Times New Roman"/>
          <w:sz w:val="24"/>
          <w:szCs w:val="24"/>
          <w:lang w:val="en-US"/>
        </w:rPr>
        <w:t>(</w:t>
      </w:r>
      <w:proofErr w:type="gramEnd"/>
      <w:r w:rsidRPr="00CC368F">
        <w:rPr>
          <w:rFonts w:ascii="Times New Roman" w:hAnsi="Times New Roman"/>
          <w:sz w:val="24"/>
          <w:szCs w:val="24"/>
          <w:lang w:val="en-US"/>
        </w:rPr>
        <w:t xml:space="preserve">1,225) = 56.11;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w:t>
      </w:r>
      <m:oMath>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p</m:t>
            </m:r>
          </m:sub>
          <m:sup>
            <m:r>
              <w:rPr>
                <w:rFonts w:ascii="Cambria Math" w:hAnsi="Cambria Math"/>
                <w:sz w:val="24"/>
                <w:szCs w:val="24"/>
                <w:lang w:val="en-US"/>
              </w:rPr>
              <m:t>2</m:t>
            </m:r>
          </m:sup>
        </m:sSubSup>
      </m:oMath>
      <w:r w:rsidRPr="00CC368F">
        <w:rPr>
          <w:rFonts w:ascii="Times New Roman" w:hAnsi="Times New Roman"/>
          <w:sz w:val="24"/>
          <w:szCs w:val="24"/>
          <w:lang w:val="en-US"/>
        </w:rPr>
        <w:t xml:space="preserve"> = .200). Further post-hoc t test showed that RT only differed between the groups in the easy task, with higher RTs in the low adaptability group (498 ± 6) than the high adaptability group (436 ± 6; </w:t>
      </w:r>
      <w:proofErr w:type="gramStart"/>
      <w:r w:rsidRPr="00CC368F">
        <w:rPr>
          <w:rFonts w:ascii="Times New Roman" w:hAnsi="Times New Roman"/>
          <w:i/>
          <w:sz w:val="24"/>
          <w:szCs w:val="24"/>
          <w:lang w:val="en-US"/>
        </w:rPr>
        <w:t>t</w:t>
      </w:r>
      <w:r w:rsidRPr="00CC368F">
        <w:rPr>
          <w:rFonts w:ascii="Times New Roman" w:hAnsi="Times New Roman"/>
          <w:sz w:val="24"/>
          <w:szCs w:val="24"/>
          <w:lang w:val="en-US"/>
        </w:rPr>
        <w:t>(</w:t>
      </w:r>
      <w:proofErr w:type="gramEnd"/>
      <w:r w:rsidRPr="00CC368F">
        <w:rPr>
          <w:rFonts w:ascii="Times New Roman" w:hAnsi="Times New Roman"/>
          <w:sz w:val="24"/>
          <w:szCs w:val="24"/>
          <w:lang w:val="en-US"/>
        </w:rPr>
        <w:t xml:space="preserve">225) = 7.86,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but not in the hard task (</w:t>
      </w:r>
      <w:r w:rsidRPr="00CC368F">
        <w:rPr>
          <w:rFonts w:ascii="Times New Roman" w:hAnsi="Times New Roman"/>
          <w:i/>
          <w:sz w:val="24"/>
          <w:szCs w:val="24"/>
          <w:lang w:val="en-US"/>
        </w:rPr>
        <w:t>t</w:t>
      </w:r>
      <w:r w:rsidRPr="00CC368F">
        <w:rPr>
          <w:rFonts w:ascii="Times New Roman" w:hAnsi="Times New Roman"/>
          <w:sz w:val="24"/>
          <w:szCs w:val="24"/>
          <w:lang w:val="en-US"/>
        </w:rPr>
        <w:t xml:space="preserve">(225) = -0.10,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 .921). As not all of the values were normally distributed in both groups, we additionally conducted non-parametric post-hoc tests (Mann-Whitney-U tests). They confirmed the findings of the post-hoc t-tests and also showed significant group differences for the easy task (p &lt; .001), but not for the hard task condition (p = .838).</w:t>
      </w:r>
    </w:p>
    <w:p w14:paraId="676E08D4" w14:textId="77777777" w:rsidR="00CC368F" w:rsidRDefault="00CC368F" w:rsidP="00BA2850">
      <w:pPr>
        <w:spacing w:after="0" w:line="240" w:lineRule="auto"/>
        <w:jc w:val="both"/>
        <w:rPr>
          <w:rFonts w:ascii="Times New Roman" w:hAnsi="Times New Roman"/>
          <w:sz w:val="24"/>
          <w:szCs w:val="24"/>
          <w:lang w:val="en-US"/>
        </w:rPr>
      </w:pPr>
      <w:r w:rsidRPr="00CC368F">
        <w:rPr>
          <w:rFonts w:ascii="Times New Roman" w:hAnsi="Times New Roman"/>
          <w:sz w:val="24"/>
          <w:szCs w:val="24"/>
          <w:lang w:val="en-US"/>
        </w:rPr>
        <w:t>The analysis of the</w:t>
      </w:r>
      <w:bookmarkStart w:id="0" w:name="_GoBack"/>
      <w:bookmarkEnd w:id="0"/>
      <w:r w:rsidRPr="00CC368F">
        <w:rPr>
          <w:rFonts w:ascii="Times New Roman" w:hAnsi="Times New Roman"/>
          <w:sz w:val="24"/>
          <w:szCs w:val="24"/>
          <w:lang w:val="en-US"/>
        </w:rPr>
        <w:t xml:space="preserve"> accuracy revealed a main effect of task (</w:t>
      </w:r>
      <w:proofErr w:type="gramStart"/>
      <w:r w:rsidRPr="00CC368F">
        <w:rPr>
          <w:rFonts w:ascii="Times New Roman" w:hAnsi="Times New Roman"/>
          <w:i/>
          <w:sz w:val="24"/>
          <w:szCs w:val="24"/>
          <w:lang w:val="en-US"/>
        </w:rPr>
        <w:t>F</w:t>
      </w:r>
      <w:r w:rsidRPr="00CC368F">
        <w:rPr>
          <w:rFonts w:ascii="Times New Roman" w:hAnsi="Times New Roman"/>
          <w:sz w:val="24"/>
          <w:szCs w:val="24"/>
          <w:lang w:val="en-US"/>
        </w:rPr>
        <w:t>(</w:t>
      </w:r>
      <w:proofErr w:type="gramEnd"/>
      <w:r w:rsidRPr="00CC368F">
        <w:rPr>
          <w:rFonts w:ascii="Times New Roman" w:hAnsi="Times New Roman"/>
          <w:sz w:val="24"/>
          <w:szCs w:val="24"/>
          <w:lang w:val="en-US"/>
        </w:rPr>
        <w:t xml:space="preserve">1,225) = 332.02;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w:t>
      </w:r>
      <m:oMath>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p</m:t>
            </m:r>
          </m:sub>
          <m:sup>
            <m:r>
              <w:rPr>
                <w:rFonts w:ascii="Cambria Math" w:hAnsi="Cambria Math"/>
                <w:sz w:val="24"/>
                <w:szCs w:val="24"/>
                <w:lang w:val="en-US"/>
              </w:rPr>
              <m:t>2</m:t>
            </m:r>
          </m:sup>
        </m:sSubSup>
      </m:oMath>
      <w:r w:rsidRPr="00CC368F">
        <w:rPr>
          <w:rFonts w:ascii="Times New Roman" w:hAnsi="Times New Roman"/>
          <w:sz w:val="24"/>
          <w:szCs w:val="24"/>
          <w:lang w:val="en-US"/>
        </w:rPr>
        <w:t xml:space="preserve"> = .596), with higher accuracy in the easy task (97.10 ± 0.17) compared to the hard task (93.06 ± 0.30). Furthermore, there was an task*group interaction (</w:t>
      </w:r>
      <w:proofErr w:type="gramStart"/>
      <w:r w:rsidRPr="00CC368F">
        <w:rPr>
          <w:rFonts w:ascii="Times New Roman" w:hAnsi="Times New Roman"/>
          <w:i/>
          <w:sz w:val="24"/>
          <w:szCs w:val="24"/>
          <w:lang w:val="en-US"/>
        </w:rPr>
        <w:t>F</w:t>
      </w:r>
      <w:r w:rsidRPr="00CC368F">
        <w:rPr>
          <w:rFonts w:ascii="Times New Roman" w:hAnsi="Times New Roman"/>
          <w:sz w:val="24"/>
          <w:szCs w:val="24"/>
          <w:lang w:val="en-US"/>
        </w:rPr>
        <w:t>(</w:t>
      </w:r>
      <w:proofErr w:type="gramEnd"/>
      <w:r w:rsidRPr="00CC368F">
        <w:rPr>
          <w:rFonts w:ascii="Times New Roman" w:hAnsi="Times New Roman"/>
          <w:sz w:val="24"/>
          <w:szCs w:val="24"/>
          <w:lang w:val="en-US"/>
        </w:rPr>
        <w:t xml:space="preserve">1,225) = 28.30;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w:t>
      </w:r>
      <m:oMath>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p</m:t>
            </m:r>
          </m:sub>
          <m:sup>
            <m:r>
              <w:rPr>
                <w:rFonts w:ascii="Cambria Math" w:hAnsi="Cambria Math"/>
                <w:sz w:val="24"/>
                <w:szCs w:val="24"/>
                <w:lang w:val="en-US"/>
              </w:rPr>
              <m:t>2</m:t>
            </m:r>
          </m:sup>
        </m:sSubSup>
      </m:oMath>
      <w:r w:rsidRPr="00CC368F">
        <w:rPr>
          <w:rFonts w:ascii="Times New Roman" w:hAnsi="Times New Roman"/>
          <w:sz w:val="24"/>
          <w:szCs w:val="24"/>
          <w:lang w:val="en-US"/>
        </w:rPr>
        <w:t xml:space="preserve"> = .112).  Further post-hoc t test showed that accuracy differences between high and easy task were larger for the high adaptability group (498 ± 6) compared to the low adaptability </w:t>
      </w:r>
      <w:proofErr w:type="gramStart"/>
      <w:r w:rsidRPr="00CC368F">
        <w:rPr>
          <w:rFonts w:ascii="Times New Roman" w:hAnsi="Times New Roman"/>
          <w:sz w:val="24"/>
          <w:szCs w:val="24"/>
          <w:lang w:val="en-US"/>
        </w:rPr>
        <w:t>group  (</w:t>
      </w:r>
      <w:proofErr w:type="gramEnd"/>
      <w:r w:rsidRPr="00CC368F">
        <w:rPr>
          <w:rFonts w:ascii="Times New Roman" w:hAnsi="Times New Roman"/>
          <w:sz w:val="24"/>
          <w:szCs w:val="24"/>
          <w:lang w:val="en-US"/>
        </w:rPr>
        <w:t xml:space="preserve">436 ± 6; </w:t>
      </w:r>
      <w:r w:rsidRPr="00CC368F">
        <w:rPr>
          <w:rFonts w:ascii="Times New Roman" w:hAnsi="Times New Roman"/>
          <w:i/>
          <w:sz w:val="24"/>
          <w:szCs w:val="24"/>
          <w:lang w:val="en-US"/>
        </w:rPr>
        <w:t>t</w:t>
      </w:r>
      <w:r w:rsidRPr="00CC368F">
        <w:rPr>
          <w:rFonts w:ascii="Times New Roman" w:hAnsi="Times New Roman"/>
          <w:sz w:val="24"/>
          <w:szCs w:val="24"/>
          <w:lang w:val="en-US"/>
        </w:rPr>
        <w:t xml:space="preserve">(225) = 7.86, </w:t>
      </w:r>
      <w:r w:rsidRPr="00CC368F">
        <w:rPr>
          <w:rFonts w:ascii="Times New Roman" w:hAnsi="Times New Roman"/>
          <w:i/>
          <w:sz w:val="24"/>
          <w:szCs w:val="24"/>
          <w:lang w:val="en-US"/>
        </w:rPr>
        <w:t>p</w:t>
      </w:r>
      <w:r w:rsidRPr="00CC368F">
        <w:rPr>
          <w:rFonts w:ascii="Times New Roman" w:hAnsi="Times New Roman"/>
          <w:sz w:val="24"/>
          <w:szCs w:val="24"/>
          <w:lang w:val="en-US"/>
        </w:rPr>
        <w:t xml:space="preserve"> &lt; .001). As not all of the values were normally distributed in both groups, additionally conducted non-parametric post-hoc tests confirmed the findings of the post-hoc t-tests and also showed differences in the effect size of the accuracy differences between the tasks (p &lt; .001).</w:t>
      </w:r>
    </w:p>
    <w:p w14:paraId="0C1E4A6E" w14:textId="448C4DE7" w:rsidR="00CC368F" w:rsidRDefault="00CC368F" w:rsidP="00BA2850">
      <w:pPr>
        <w:spacing w:after="0" w:line="240" w:lineRule="auto"/>
        <w:jc w:val="both"/>
        <w:rPr>
          <w:rFonts w:ascii="Times New Roman" w:hAnsi="Times New Roman"/>
          <w:sz w:val="24"/>
          <w:szCs w:val="24"/>
          <w:lang w:val="en-US"/>
        </w:rPr>
      </w:pPr>
    </w:p>
    <w:p w14:paraId="2699FDBB" w14:textId="77777777" w:rsidR="00CC368F" w:rsidRDefault="00CC368F" w:rsidP="00BA2850">
      <w:pPr>
        <w:spacing w:after="0" w:line="240" w:lineRule="auto"/>
        <w:rPr>
          <w:rFonts w:ascii="Times New Roman" w:hAnsi="Times New Roman"/>
          <w:i/>
          <w:sz w:val="24"/>
          <w:szCs w:val="24"/>
          <w:lang w:val="en-US"/>
        </w:rPr>
      </w:pPr>
      <w:r w:rsidRPr="00CC368F">
        <w:rPr>
          <w:rFonts w:ascii="Times New Roman" w:hAnsi="Times New Roman"/>
          <w:i/>
          <w:sz w:val="24"/>
          <w:szCs w:val="24"/>
          <w:lang w:val="en-US"/>
        </w:rPr>
        <w:t>The stimulus-locked fronto-central P3</w:t>
      </w:r>
    </w:p>
    <w:p w14:paraId="041C0DB6" w14:textId="0E4546C9" w:rsidR="00820669" w:rsidRDefault="00762092" w:rsidP="003C36F7">
      <w:pPr>
        <w:spacing w:after="0" w:line="240" w:lineRule="auto"/>
        <w:jc w:val="center"/>
        <w:rPr>
          <w:i/>
          <w:lang w:val="en-US"/>
        </w:rPr>
      </w:pPr>
      <w:r>
        <w:rPr>
          <w:rFonts w:ascii="Times New Roman" w:hAnsi="Times New Roman"/>
          <w:noProof/>
          <w:sz w:val="24"/>
          <w:szCs w:val="24"/>
          <w:lang w:eastAsia="de-DE"/>
        </w:rPr>
        <w:drawing>
          <wp:inline distT="0" distB="0" distL="0" distR="0" wp14:anchorId="13DCB975" wp14:editId="54E32EF1">
            <wp:extent cx="5215737" cy="2954147"/>
            <wp:effectExtent l="0" t="0" r="4445" b="0"/>
            <wp:docPr id="5" name="Grafik 5" descr="V:\Beste\SFB_Genetic\Publish\Bocanegra\2017_Bocanegra_machine_learning\5. Frontiers Human Neuroscience\Figure_Supplement_P3_reviewer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este\SFB_Genetic\Publish\Bocanegra\2017_Bocanegra_machine_learning\5. Frontiers Human Neuroscience\Figure_Supplement_P3_reviewer3.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2779" cy="2958135"/>
                    </a:xfrm>
                    <a:prstGeom prst="rect">
                      <a:avLst/>
                    </a:prstGeom>
                    <a:noFill/>
                    <a:ln>
                      <a:noFill/>
                    </a:ln>
                  </pic:spPr>
                </pic:pic>
              </a:graphicData>
            </a:graphic>
          </wp:inline>
        </w:drawing>
      </w:r>
    </w:p>
    <w:p w14:paraId="4B106E23" w14:textId="3AE5E183" w:rsidR="00CC368F" w:rsidRPr="00CC368F" w:rsidRDefault="00CC368F" w:rsidP="00F04E2C">
      <w:pPr>
        <w:spacing w:after="0" w:line="240" w:lineRule="auto"/>
        <w:jc w:val="both"/>
        <w:rPr>
          <w:i/>
          <w:lang w:val="en-US"/>
        </w:rPr>
      </w:pPr>
      <w:r w:rsidRPr="00E57FD5">
        <w:rPr>
          <w:rFonts w:ascii="Times New Roman" w:hAnsi="Times New Roman"/>
          <w:sz w:val="24"/>
          <w:szCs w:val="24"/>
          <w:lang w:val="en-US"/>
        </w:rPr>
        <w:t xml:space="preserve">Grand </w:t>
      </w:r>
      <w:r w:rsidR="00BA2850">
        <w:rPr>
          <w:rFonts w:ascii="Times New Roman" w:hAnsi="Times New Roman"/>
          <w:sz w:val="24"/>
          <w:szCs w:val="24"/>
          <w:lang w:val="en-US"/>
        </w:rPr>
        <w:t>average</w:t>
      </w:r>
      <w:r w:rsidRPr="00E57FD5">
        <w:rPr>
          <w:rFonts w:ascii="Times New Roman" w:hAnsi="Times New Roman"/>
          <w:sz w:val="24"/>
          <w:szCs w:val="24"/>
          <w:lang w:val="en-US"/>
        </w:rPr>
        <w:t xml:space="preserve"> and topographic plots of the </w:t>
      </w:r>
      <w:r>
        <w:rPr>
          <w:rFonts w:ascii="Times New Roman" w:hAnsi="Times New Roman"/>
          <w:sz w:val="24"/>
          <w:szCs w:val="24"/>
          <w:lang w:val="en-US"/>
        </w:rPr>
        <w:t>fronto-central</w:t>
      </w:r>
      <w:r w:rsidRPr="00E57FD5">
        <w:rPr>
          <w:rFonts w:ascii="Times New Roman" w:hAnsi="Times New Roman"/>
          <w:sz w:val="24"/>
          <w:szCs w:val="24"/>
          <w:lang w:val="en-US"/>
        </w:rPr>
        <w:t xml:space="preserve"> P3 at electrode </w:t>
      </w:r>
      <w:r>
        <w:rPr>
          <w:rFonts w:ascii="Times New Roman" w:hAnsi="Times New Roman"/>
          <w:sz w:val="24"/>
          <w:szCs w:val="24"/>
          <w:lang w:val="en-US"/>
        </w:rPr>
        <w:t>Cz</w:t>
      </w:r>
      <w:r w:rsidRPr="00E57FD5">
        <w:rPr>
          <w:rFonts w:ascii="Times New Roman" w:hAnsi="Times New Roman"/>
          <w:sz w:val="24"/>
          <w:szCs w:val="24"/>
          <w:lang w:val="en-US"/>
        </w:rPr>
        <w:t>. Time point zero denotes the time point of the target stimulus onset, the light grey boxes illustrate the ERP baseline from -300 to 0 ms</w:t>
      </w:r>
      <w:r w:rsidRPr="00BB62FE">
        <w:rPr>
          <w:rFonts w:ascii="Times New Roman" w:hAnsi="Times New Roman"/>
          <w:sz w:val="24"/>
          <w:szCs w:val="24"/>
          <w:lang w:val="en-US"/>
        </w:rPr>
        <w:t xml:space="preserve"> (left) and time range each effect is averaged across (right). ERPs of the low adaptability group are denoted by red color, while ERPs of the high adaptability group are denoted by blue color. The easy task </w:t>
      </w:r>
      <w:proofErr w:type="gramStart"/>
      <w:r w:rsidRPr="00BB62FE">
        <w:rPr>
          <w:rFonts w:ascii="Times New Roman" w:hAnsi="Times New Roman"/>
          <w:sz w:val="24"/>
          <w:szCs w:val="24"/>
          <w:lang w:val="en-US"/>
        </w:rPr>
        <w:t>is denoted</w:t>
      </w:r>
      <w:proofErr w:type="gramEnd"/>
      <w:r w:rsidRPr="00BB62FE">
        <w:rPr>
          <w:rFonts w:ascii="Times New Roman" w:hAnsi="Times New Roman"/>
          <w:sz w:val="24"/>
          <w:szCs w:val="24"/>
          <w:lang w:val="en-US"/>
        </w:rPr>
        <w:t xml:space="preserve"> in a lighter shade of the respec</w:t>
      </w:r>
      <w:r w:rsidR="00F04E2C">
        <w:rPr>
          <w:rFonts w:ascii="Times New Roman" w:hAnsi="Times New Roman"/>
          <w:sz w:val="24"/>
          <w:szCs w:val="24"/>
          <w:lang w:val="en-US"/>
        </w:rPr>
        <w:t>tive colors than the hard task.</w:t>
      </w:r>
    </w:p>
    <w:sectPr w:rsidR="00CC368F" w:rsidRPr="00CC3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9"/>
    <w:rsid w:val="0005535A"/>
    <w:rsid w:val="0008420F"/>
    <w:rsid w:val="00137ACF"/>
    <w:rsid w:val="00190188"/>
    <w:rsid w:val="00190F47"/>
    <w:rsid w:val="001963EF"/>
    <w:rsid w:val="002058A4"/>
    <w:rsid w:val="00231AC3"/>
    <w:rsid w:val="00252264"/>
    <w:rsid w:val="00270DEB"/>
    <w:rsid w:val="002A2E79"/>
    <w:rsid w:val="002B2596"/>
    <w:rsid w:val="003633AD"/>
    <w:rsid w:val="003C36F7"/>
    <w:rsid w:val="003E5201"/>
    <w:rsid w:val="00415AE9"/>
    <w:rsid w:val="00447FCB"/>
    <w:rsid w:val="004619DA"/>
    <w:rsid w:val="004C19C3"/>
    <w:rsid w:val="004C70E7"/>
    <w:rsid w:val="004F1471"/>
    <w:rsid w:val="00546A9F"/>
    <w:rsid w:val="00552170"/>
    <w:rsid w:val="005709A0"/>
    <w:rsid w:val="00587261"/>
    <w:rsid w:val="005E78F0"/>
    <w:rsid w:val="005F1C3B"/>
    <w:rsid w:val="006241E4"/>
    <w:rsid w:val="00685C9C"/>
    <w:rsid w:val="006E6820"/>
    <w:rsid w:val="00710190"/>
    <w:rsid w:val="00762092"/>
    <w:rsid w:val="00763503"/>
    <w:rsid w:val="00773BA5"/>
    <w:rsid w:val="007807D7"/>
    <w:rsid w:val="00820669"/>
    <w:rsid w:val="008D1E3E"/>
    <w:rsid w:val="00956FFE"/>
    <w:rsid w:val="009A5D98"/>
    <w:rsid w:val="00B6035F"/>
    <w:rsid w:val="00BA2850"/>
    <w:rsid w:val="00BF30AF"/>
    <w:rsid w:val="00C14B3A"/>
    <w:rsid w:val="00C4331D"/>
    <w:rsid w:val="00C523EB"/>
    <w:rsid w:val="00C72C27"/>
    <w:rsid w:val="00CC368F"/>
    <w:rsid w:val="00CD24D0"/>
    <w:rsid w:val="00E207CB"/>
    <w:rsid w:val="00E51EBE"/>
    <w:rsid w:val="00E55E5E"/>
    <w:rsid w:val="00E65C64"/>
    <w:rsid w:val="00E7247C"/>
    <w:rsid w:val="00E74E74"/>
    <w:rsid w:val="00E93E59"/>
    <w:rsid w:val="00F04E2C"/>
    <w:rsid w:val="00F82B65"/>
    <w:rsid w:val="00F96C79"/>
    <w:rsid w:val="00FF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8FC2"/>
  <w15:docId w15:val="{D271EDAE-521B-464E-A58F-0AFF7370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E74E74"/>
    <w:rPr>
      <w:sz w:val="16"/>
      <w:szCs w:val="16"/>
    </w:rPr>
  </w:style>
  <w:style w:type="paragraph" w:styleId="Kommentartext">
    <w:name w:val="annotation text"/>
    <w:basedOn w:val="Standard"/>
    <w:link w:val="KommentartextZchn"/>
    <w:uiPriority w:val="99"/>
    <w:semiHidden/>
    <w:unhideWhenUsed/>
    <w:rsid w:val="00E74E74"/>
    <w:rPr>
      <w:sz w:val="20"/>
      <w:szCs w:val="20"/>
    </w:rPr>
  </w:style>
  <w:style w:type="character" w:customStyle="1" w:styleId="KommentartextZchn">
    <w:name w:val="Kommentartext Zchn"/>
    <w:link w:val="Kommentartext"/>
    <w:uiPriority w:val="99"/>
    <w:semiHidden/>
    <w:rsid w:val="00E74E74"/>
    <w:rPr>
      <w:lang w:eastAsia="en-US"/>
    </w:rPr>
  </w:style>
  <w:style w:type="paragraph" w:styleId="Kommentarthema">
    <w:name w:val="annotation subject"/>
    <w:basedOn w:val="Kommentartext"/>
    <w:next w:val="Kommentartext"/>
    <w:link w:val="KommentarthemaZchn"/>
    <w:uiPriority w:val="99"/>
    <w:semiHidden/>
    <w:unhideWhenUsed/>
    <w:rsid w:val="00E74E74"/>
    <w:rPr>
      <w:b/>
      <w:bCs/>
    </w:rPr>
  </w:style>
  <w:style w:type="character" w:customStyle="1" w:styleId="KommentarthemaZchn">
    <w:name w:val="Kommentarthema Zchn"/>
    <w:link w:val="Kommentarthema"/>
    <w:uiPriority w:val="99"/>
    <w:semiHidden/>
    <w:rsid w:val="00E74E74"/>
    <w:rPr>
      <w:b/>
      <w:bCs/>
      <w:lang w:eastAsia="en-US"/>
    </w:rPr>
  </w:style>
  <w:style w:type="paragraph" w:styleId="Sprechblasentext">
    <w:name w:val="Balloon Text"/>
    <w:basedOn w:val="Standard"/>
    <w:link w:val="SprechblasentextZchn"/>
    <w:uiPriority w:val="99"/>
    <w:semiHidden/>
    <w:unhideWhenUsed/>
    <w:rsid w:val="00E74E7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4E74"/>
    <w:rPr>
      <w:rFonts w:ascii="Tahoma" w:hAnsi="Tahoma" w:cs="Tahoma"/>
      <w:sz w:val="16"/>
      <w:szCs w:val="16"/>
      <w:lang w:eastAsia="en-US"/>
    </w:rPr>
  </w:style>
  <w:style w:type="character" w:styleId="Hyperlink">
    <w:name w:val="Hyperlink"/>
    <w:uiPriority w:val="99"/>
    <w:unhideWhenUsed/>
    <w:rsid w:val="00C14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DF91-1039-4E0D-B489-A794B3D5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2360</CharactersWithSpaces>
  <SharedDoc>false</SharedDoc>
  <HLinks>
    <vt:vector size="6" baseType="variant">
      <vt:variant>
        <vt:i4>5636214</vt:i4>
      </vt:variant>
      <vt:variant>
        <vt:i4>0</vt:i4>
      </vt:variant>
      <vt:variant>
        <vt:i4>0</vt:i4>
      </vt:variant>
      <vt:variant>
        <vt:i4>5</vt:i4>
      </vt:variant>
      <vt:variant>
        <vt:lpwstr>mailto:nicolas.zink@uniklinikum-dresden.de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Stock</dc:creator>
  <cp:lastModifiedBy>Beste, Christian</cp:lastModifiedBy>
  <cp:revision>12</cp:revision>
  <cp:lastPrinted>2018-03-12T09:45:00Z</cp:lastPrinted>
  <dcterms:created xsi:type="dcterms:W3CDTF">2018-03-08T18:43:00Z</dcterms:created>
  <dcterms:modified xsi:type="dcterms:W3CDTF">2018-07-31T07:30:00Z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id="TwPinTUm"/&gt;&lt;style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 name="noteType" value="0"/&gt;&lt;/prefs&gt;&lt;/data&gt;</vt:lpwstr>
  </property>
</Properties>
</file>