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C6" w:rsidRPr="00D03CF4" w:rsidRDefault="00F81ACC" w:rsidP="00061CC6">
      <w:pPr>
        <w:pStyle w:val="Title"/>
        <w:spacing w:before="0" w:after="0"/>
        <w:rPr>
          <w:lang w:val="en-GB"/>
        </w:rPr>
      </w:pPr>
      <w:bookmarkStart w:id="0" w:name="_GoBack"/>
      <w:bookmarkEnd w:id="0"/>
      <w:r w:rsidRPr="00D03CF4">
        <w:rPr>
          <w:lang w:val="en-GB"/>
        </w:rPr>
        <w:t>Coupling between magmatic degassing and volcanic tremor</w:t>
      </w:r>
    </w:p>
    <w:p w:rsidR="00D76A28" w:rsidRPr="0070338B" w:rsidRDefault="00F81ACC" w:rsidP="00061CC6">
      <w:pPr>
        <w:pStyle w:val="Title"/>
        <w:spacing w:before="0" w:after="0"/>
        <w:rPr>
          <w:lang w:val="it-IT"/>
        </w:rPr>
      </w:pPr>
      <w:r w:rsidRPr="00D03CF4">
        <w:rPr>
          <w:lang w:val="en-GB"/>
        </w:rPr>
        <w:t xml:space="preserve"> </w:t>
      </w:r>
      <w:r w:rsidRPr="0070338B">
        <w:rPr>
          <w:lang w:val="it-IT"/>
        </w:rPr>
        <w:t>in basaltic volcanism</w:t>
      </w:r>
    </w:p>
    <w:p w:rsidR="00F81ACC" w:rsidRPr="0070338B" w:rsidRDefault="00F81ACC" w:rsidP="005F4F48">
      <w:pPr>
        <w:jc w:val="both"/>
        <w:rPr>
          <w:lang w:val="it-IT"/>
        </w:rPr>
      </w:pPr>
    </w:p>
    <w:p w:rsidR="00D76A28" w:rsidRPr="0070338B" w:rsidRDefault="00D76A28" w:rsidP="005F4F48">
      <w:pPr>
        <w:jc w:val="both"/>
        <w:rPr>
          <w:b/>
          <w:lang w:val="it-IT"/>
        </w:rPr>
      </w:pPr>
      <w:r w:rsidRPr="0070338B">
        <w:rPr>
          <w:b/>
          <w:lang w:val="it-IT"/>
        </w:rPr>
        <w:t>Giuseppe G. Salerno*, Mike Burton, Giuseppe Di Grazia, Tommaso Caltabiano, Clive Oppenheimer.</w:t>
      </w:r>
    </w:p>
    <w:p w:rsidR="00F81ACC" w:rsidRPr="0070338B" w:rsidRDefault="00F81ACC" w:rsidP="005F4F48">
      <w:pPr>
        <w:jc w:val="both"/>
        <w:rPr>
          <w:lang w:val="it-IT"/>
        </w:rPr>
      </w:pPr>
    </w:p>
    <w:p w:rsidR="004946BC" w:rsidRDefault="007C17ED" w:rsidP="005F4F48">
      <w:pPr>
        <w:jc w:val="both"/>
        <w:rPr>
          <w:lang w:val="it-IT"/>
        </w:rPr>
      </w:pPr>
      <w:r w:rsidRPr="00750DE8">
        <w:rPr>
          <w:b/>
          <w:lang w:val="it-IT"/>
        </w:rPr>
        <w:t xml:space="preserve">* </w:t>
      </w:r>
      <w:proofErr w:type="spellStart"/>
      <w:r w:rsidRPr="00750DE8">
        <w:rPr>
          <w:b/>
          <w:lang w:val="it-IT"/>
        </w:rPr>
        <w:t>Correspondence</w:t>
      </w:r>
      <w:proofErr w:type="spellEnd"/>
      <w:r w:rsidR="00750DE8" w:rsidRPr="00750DE8">
        <w:rPr>
          <w:b/>
          <w:lang w:val="it-IT"/>
        </w:rPr>
        <w:t>:</w:t>
      </w:r>
      <w:r w:rsidRPr="00706C93">
        <w:rPr>
          <w:lang w:val="it-IT"/>
        </w:rPr>
        <w:t xml:space="preserve"> </w:t>
      </w:r>
      <w:r w:rsidR="00D76A28" w:rsidRPr="00706C93">
        <w:rPr>
          <w:lang w:val="it-IT"/>
        </w:rPr>
        <w:t xml:space="preserve"> </w:t>
      </w:r>
      <w:proofErr w:type="spellStart"/>
      <w:r w:rsidR="00D76A28" w:rsidRPr="00CB03D3">
        <w:rPr>
          <w:lang w:val="it-IT"/>
        </w:rPr>
        <w:t>Corresponding</w:t>
      </w:r>
      <w:proofErr w:type="spellEnd"/>
      <w:r w:rsidR="00D76A28" w:rsidRPr="00706C93">
        <w:rPr>
          <w:lang w:val="it-IT"/>
        </w:rPr>
        <w:t xml:space="preserve"> Author: Giuseppe G. Salerno, </w:t>
      </w:r>
      <w:r w:rsidR="00E80980" w:rsidRPr="00E80980">
        <w:rPr>
          <w:lang w:val="it-IT"/>
        </w:rPr>
        <w:t>giuseppe.salerno@ingv.it</w:t>
      </w:r>
    </w:p>
    <w:p w:rsidR="00E80980" w:rsidRDefault="00E80980" w:rsidP="005F4F48">
      <w:pPr>
        <w:jc w:val="both"/>
        <w:rPr>
          <w:lang w:val="it-IT"/>
        </w:rPr>
      </w:pPr>
    </w:p>
    <w:p w:rsidR="00750DE8" w:rsidRPr="00750DE8" w:rsidRDefault="00750DE8" w:rsidP="005F4F48">
      <w:pPr>
        <w:jc w:val="both"/>
        <w:rPr>
          <w:b/>
          <w:lang w:val="en-US"/>
        </w:rPr>
      </w:pPr>
      <w:r w:rsidRPr="00750DE8">
        <w:rPr>
          <w:b/>
          <w:lang w:val="en-US"/>
        </w:rPr>
        <w:t>1</w:t>
      </w:r>
      <w:r w:rsidRPr="00750DE8">
        <w:rPr>
          <w:b/>
          <w:lang w:val="en-US"/>
        </w:rPr>
        <w:tab/>
        <w:t xml:space="preserve">Supplementary Data </w:t>
      </w:r>
    </w:p>
    <w:p w:rsidR="00750DE8" w:rsidRPr="00750DE8" w:rsidRDefault="00750DE8" w:rsidP="005F4F48">
      <w:pPr>
        <w:jc w:val="both"/>
        <w:rPr>
          <w:b/>
          <w:lang w:val="en-US"/>
        </w:rPr>
      </w:pPr>
    </w:p>
    <w:p w:rsidR="00E80980" w:rsidRDefault="0089689F" w:rsidP="005F4F48">
      <w:pPr>
        <w:jc w:val="both"/>
        <w:rPr>
          <w:b/>
          <w:lang w:val="en-US"/>
        </w:rPr>
      </w:pPr>
      <w:r>
        <w:rPr>
          <w:b/>
          <w:lang w:val="en-US"/>
        </w:rPr>
        <w:t xml:space="preserve">Volcanic tremor frequency </w:t>
      </w:r>
      <w:r w:rsidR="00E80980">
        <w:rPr>
          <w:b/>
          <w:lang w:val="en-US"/>
        </w:rPr>
        <w:t>analysis</w:t>
      </w:r>
    </w:p>
    <w:p w:rsidR="007C17ED" w:rsidRDefault="007C17ED" w:rsidP="005F4F48">
      <w:pPr>
        <w:jc w:val="both"/>
        <w:rPr>
          <w:b/>
          <w:lang w:val="en-US"/>
        </w:rPr>
      </w:pPr>
    </w:p>
    <w:p w:rsidR="0089689F" w:rsidRPr="0089689F" w:rsidRDefault="003B2B6F" w:rsidP="003B2B6F">
      <w:pPr>
        <w:ind w:right="28"/>
        <w:jc w:val="both"/>
      </w:pPr>
      <w:r w:rsidRPr="00A50B4C">
        <w:t xml:space="preserve">The optimal tremor frequency content </w:t>
      </w:r>
      <w:r w:rsidRPr="00A50B4C">
        <w:rPr>
          <w:rFonts w:ascii="AdvTT5235d5a9" w:hAnsi="AdvTT5235d5a9" w:cs="AdvTT5235d5a9"/>
        </w:rPr>
        <w:t xml:space="preserve">for each of the </w:t>
      </w:r>
      <w:r>
        <w:rPr>
          <w:rFonts w:ascii="AdvTT5235d5a9" w:hAnsi="AdvTT5235d5a9" w:cs="AdvTT5235d5a9"/>
        </w:rPr>
        <w:t>six case here studied</w:t>
      </w:r>
      <w:r w:rsidRPr="00A50B4C">
        <w:rPr>
          <w:rFonts w:ascii="AdvTT5235d5a9" w:hAnsi="AdvTT5235d5a9" w:cs="AdvTT5235d5a9"/>
        </w:rPr>
        <w:t xml:space="preserve"> </w:t>
      </w:r>
      <w:r w:rsidRPr="008E78FB">
        <w:rPr>
          <w:rFonts w:ascii="AdvTT5235d5a9" w:hAnsi="AdvTT5235d5a9" w:cs="AdvTT5235d5a9"/>
        </w:rPr>
        <w:t xml:space="preserve">was evaluated </w:t>
      </w:r>
      <w:r w:rsidRPr="008E78FB">
        <w:t xml:space="preserve">by carrying out a </w:t>
      </w:r>
      <w:r w:rsidRPr="00993553">
        <w:t>correlation analysis</w:t>
      </w:r>
      <w:r w:rsidRPr="00993553">
        <w:rPr>
          <w:rFonts w:ascii="AdvTT5235d5a9" w:hAnsi="AdvTT5235d5a9" w:cs="AdvTT5235d5a9"/>
        </w:rPr>
        <w:t xml:space="preserve"> between the selected </w:t>
      </w:r>
      <w:r w:rsidRPr="00993553">
        <w:rPr>
          <w:i/>
        </w:rPr>
        <w:t>Φ</w:t>
      </w:r>
      <w:r w:rsidRPr="00993553">
        <w:t>SO</w:t>
      </w:r>
      <w:r w:rsidRPr="00993553">
        <w:rPr>
          <w:vertAlign w:val="subscript"/>
        </w:rPr>
        <w:t>2</w:t>
      </w:r>
      <w:r w:rsidRPr="00993553">
        <w:rPr>
          <w:i/>
          <w:vertAlign w:val="subscript"/>
        </w:rPr>
        <w:t xml:space="preserve"> </w:t>
      </w:r>
      <w:r w:rsidRPr="00993553">
        <w:t>samples</w:t>
      </w:r>
      <w:r w:rsidRPr="00993553">
        <w:rPr>
          <w:rFonts w:ascii="AdvTT5235d5a9" w:hAnsi="AdvTT5235d5a9" w:cs="AdvTT5235d5a9"/>
        </w:rPr>
        <w:t xml:space="preserve"> and V</w:t>
      </w:r>
      <w:r w:rsidRPr="00993553">
        <w:rPr>
          <w:rFonts w:ascii="AdvTT5235d5a9" w:hAnsi="AdvTT5235d5a9" w:cs="AdvTT5235d5a9"/>
          <w:i/>
        </w:rPr>
        <w:t>t</w:t>
      </w:r>
      <w:r w:rsidRPr="00993553">
        <w:rPr>
          <w:rFonts w:ascii="AdvTT5235d5a9" w:hAnsi="AdvTT5235d5a9" w:cs="AdvTT5235d5a9"/>
        </w:rPr>
        <w:t xml:space="preserve"> frequency bands </w:t>
      </w:r>
      <w:r w:rsidR="008E78FB" w:rsidRPr="00993553">
        <w:rPr>
          <w:rFonts w:ascii="AdvTT5235d5a9" w:hAnsi="AdvTT5235d5a9" w:cs="AdvTT5235d5a9"/>
        </w:rPr>
        <w:t xml:space="preserve">between 0.025 and 10.5 Hz </w:t>
      </w:r>
      <w:r w:rsidRPr="00993553">
        <w:rPr>
          <w:rFonts w:ascii="AdvTT5235d5a9" w:hAnsi="AdvTT5235d5a9" w:cs="AdvTT5235d5a9"/>
        </w:rPr>
        <w:t xml:space="preserve">(1 Hz </w:t>
      </w:r>
      <w:r w:rsidR="00993553" w:rsidRPr="00993553">
        <w:rPr>
          <w:rFonts w:ascii="AdvTT5235d5a9" w:hAnsi="AdvTT5235d5a9" w:cs="AdvTT5235d5a9"/>
        </w:rPr>
        <w:t>width</w:t>
      </w:r>
      <w:r w:rsidRPr="00993553">
        <w:rPr>
          <w:rFonts w:ascii="AdvTT5235d5a9" w:hAnsi="AdvTT5235d5a9" w:cs="AdvTT5235d5a9"/>
        </w:rPr>
        <w:t>)</w:t>
      </w:r>
      <w:r w:rsidRPr="00993553">
        <w:t>.</w:t>
      </w:r>
      <w:r>
        <w:t xml:space="preserve"> </w:t>
      </w:r>
      <w:r w:rsidR="0089689F" w:rsidRPr="0089689F">
        <w:t xml:space="preserve">Correlation analyses express the strength of linkage or co-occurrence between two variables in a single value between -1 and +1, i.e. </w:t>
      </w:r>
      <w:r w:rsidR="0089689F" w:rsidRPr="0089689F">
        <w:rPr>
          <w:position w:val="-4"/>
        </w:rPr>
        <w:object w:dxaOrig="11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3.5pt" o:ole="">
            <v:imagedata r:id="rId7" o:title=""/>
          </v:shape>
          <o:OLEObject Type="Embed" ProgID="Equation.3" ShapeID="_x0000_i1025" DrawAspect="Content" ObjectID="_1600843917" r:id="rId8"/>
        </w:object>
      </w:r>
      <w:r w:rsidR="0089689F" w:rsidRPr="0089689F">
        <w:t xml:space="preserve">. The correlation coefficient, </w:t>
      </w:r>
      <w:r w:rsidR="0089689F" w:rsidRPr="0089689F">
        <w:rPr>
          <w:i/>
        </w:rPr>
        <w:t>r</w:t>
      </w:r>
      <w:r w:rsidR="0089689F" w:rsidRPr="0089689F">
        <w:t xml:space="preserve">, quantifies the direction and magnitude of correlation. When </w:t>
      </w:r>
      <w:r w:rsidR="0089689F" w:rsidRPr="0089689F">
        <w:rPr>
          <w:i/>
        </w:rPr>
        <w:t>r</w:t>
      </w:r>
      <w:r w:rsidR="0089689F" w:rsidRPr="0089689F">
        <w:t xml:space="preserve"> is</w:t>
      </w:r>
      <w:r w:rsidR="0089689F" w:rsidRPr="0089689F">
        <w:rPr>
          <w:lang w:val="en-US"/>
        </w:rPr>
        <w:t xml:space="preserve"> 1, there is a perfect positive correlation or direct correlation. That is, large values of the one variable, for example, X, are associated with large values of the other, for example, Y, and small values of the X variable are associated with small values of the Y variable. When the coefficient </w:t>
      </w:r>
      <w:r w:rsidR="0089689F" w:rsidRPr="0089689F">
        <w:rPr>
          <w:i/>
          <w:lang w:val="en-US"/>
        </w:rPr>
        <w:t>r</w:t>
      </w:r>
      <w:r w:rsidR="0089689F" w:rsidRPr="0089689F">
        <w:rPr>
          <w:lang w:val="en-US"/>
        </w:rPr>
        <w:t xml:space="preserve"> is </w:t>
      </w:r>
      <w:r w:rsidR="0089689F" w:rsidRPr="0089689F">
        <w:rPr>
          <w:lang w:val="en-US"/>
        </w:rPr>
        <w:sym w:font="Symbol" w:char="F02D"/>
      </w:r>
      <w:r w:rsidR="0089689F" w:rsidRPr="0089689F">
        <w:rPr>
          <w:lang w:val="en-US"/>
        </w:rPr>
        <w:t xml:space="preserve">1, there is a perfect negative correlation or indirect correlation. When the </w:t>
      </w:r>
      <w:r w:rsidR="0089689F" w:rsidRPr="0089689F">
        <w:rPr>
          <w:i/>
          <w:lang w:val="en-US"/>
        </w:rPr>
        <w:t>r</w:t>
      </w:r>
      <w:r w:rsidR="0089689F" w:rsidRPr="0089689F">
        <w:rPr>
          <w:lang w:val="en-US"/>
        </w:rPr>
        <w:t xml:space="preserve"> is equal to zero, it means that there is no relationship or correlation. </w:t>
      </w:r>
      <w:r w:rsidR="00BA0D6F">
        <w:t>C</w:t>
      </w:r>
      <w:r w:rsidR="0089689F" w:rsidRPr="0089689F">
        <w:t>orrelations are limited to linear relationships between variables</w:t>
      </w:r>
      <w:r w:rsidR="00BA0D6F">
        <w:t xml:space="preserve">, and though </w:t>
      </w:r>
      <w:r w:rsidR="0089689F" w:rsidRPr="0089689F">
        <w:t xml:space="preserve">correlation coefficient </w:t>
      </w:r>
      <w:r w:rsidR="00BA0D6F">
        <w:t xml:space="preserve">might be </w:t>
      </w:r>
      <w:r w:rsidR="0089689F" w:rsidRPr="0089689F">
        <w:t xml:space="preserve">zero, a non-linear relationship </w:t>
      </w:r>
      <w:r w:rsidR="00BA0D6F">
        <w:t>can</w:t>
      </w:r>
      <w:r w:rsidR="0089689F" w:rsidRPr="0089689F">
        <w:t xml:space="preserve"> exist between two variables (Davis, 1986; </w:t>
      </w:r>
      <w:proofErr w:type="spellStart"/>
      <w:r w:rsidR="0089689F" w:rsidRPr="0089689F">
        <w:t>McKillup</w:t>
      </w:r>
      <w:proofErr w:type="spellEnd"/>
      <w:r w:rsidR="0089689F" w:rsidRPr="0089689F">
        <w:t xml:space="preserve"> and </w:t>
      </w:r>
      <w:proofErr w:type="spellStart"/>
      <w:r w:rsidR="0089689F" w:rsidRPr="0089689F">
        <w:t>Dyar</w:t>
      </w:r>
      <w:proofErr w:type="spellEnd"/>
      <w:r w:rsidR="0089689F" w:rsidRPr="0089689F">
        <w:t>, 2010).</w:t>
      </w:r>
    </w:p>
    <w:p w:rsidR="0089689F" w:rsidRDefault="0089689F" w:rsidP="003B2B6F">
      <w:pPr>
        <w:ind w:right="28"/>
        <w:jc w:val="both"/>
      </w:pPr>
    </w:p>
    <w:p w:rsidR="00B66352" w:rsidRPr="00B66352" w:rsidRDefault="00B55F35" w:rsidP="00DF6400">
      <w:pPr>
        <w:ind w:right="28"/>
        <w:jc w:val="both"/>
      </w:pPr>
      <w:r>
        <w:t xml:space="preserve">In </w:t>
      </w:r>
      <w:r w:rsidR="0089689F">
        <w:t>this study t</w:t>
      </w:r>
      <w:r w:rsidR="003B2B6F">
        <w:t xml:space="preserve">he non-parametric </w:t>
      </w:r>
      <w:r w:rsidR="003B2B6F" w:rsidRPr="00C815C2">
        <w:t xml:space="preserve">Spearman’s </w:t>
      </w:r>
      <w:r w:rsidR="003B2B6F">
        <w:t>R</w:t>
      </w:r>
      <w:r w:rsidR="003B2B6F" w:rsidRPr="00C815C2">
        <w:t xml:space="preserve">ank </w:t>
      </w:r>
      <w:r w:rsidR="003B2B6F">
        <w:t>(</w:t>
      </w:r>
      <w:r w:rsidR="003B2B6F" w:rsidRPr="005C5DDE">
        <w:rPr>
          <w:i/>
        </w:rPr>
        <w:sym w:font="Symbol" w:char="F072"/>
      </w:r>
      <w:r w:rsidR="003B2B6F" w:rsidRPr="00B149F3">
        <w:rPr>
          <w:i/>
          <w:vertAlign w:val="subscript"/>
        </w:rPr>
        <w:t>s</w:t>
      </w:r>
      <w:r w:rsidR="003B2B6F">
        <w:t xml:space="preserve">) correlation </w:t>
      </w:r>
      <w:r w:rsidR="003B2B6F" w:rsidRPr="00C815C2">
        <w:t>analysi</w:t>
      </w:r>
      <w:r w:rsidR="003B2B6F">
        <w:t xml:space="preserve">s was applied to investigate the strength between </w:t>
      </w:r>
      <w:r w:rsidR="003B2B6F" w:rsidRPr="00C815C2">
        <w:rPr>
          <w:i/>
        </w:rPr>
        <w:t>Φ</w:t>
      </w:r>
      <w:r w:rsidR="003B2B6F" w:rsidRPr="00C815C2">
        <w:t>SO</w:t>
      </w:r>
      <w:r w:rsidR="003B2B6F" w:rsidRPr="00C815C2">
        <w:rPr>
          <w:vertAlign w:val="subscript"/>
        </w:rPr>
        <w:t>2</w:t>
      </w:r>
      <w:r w:rsidR="003B2B6F">
        <w:rPr>
          <w:vertAlign w:val="subscript"/>
        </w:rPr>
        <w:t xml:space="preserve"> </w:t>
      </w:r>
      <w:r w:rsidR="003B2B6F">
        <w:t xml:space="preserve">and </w:t>
      </w:r>
      <w:r w:rsidR="003B2B6F" w:rsidRPr="00C815C2">
        <w:t>V</w:t>
      </w:r>
      <w:r w:rsidR="003B2B6F" w:rsidRPr="00BA01AC">
        <w:rPr>
          <w:i/>
        </w:rPr>
        <w:t>t</w:t>
      </w:r>
      <w:r w:rsidR="003B2B6F">
        <w:rPr>
          <w:i/>
        </w:rPr>
        <w:t xml:space="preserve"> </w:t>
      </w:r>
      <w:r w:rsidR="003B2B6F" w:rsidRPr="00D36B86">
        <w:t>in</w:t>
      </w:r>
      <w:r w:rsidR="003B2B6F">
        <w:t xml:space="preserve"> the six </w:t>
      </w:r>
      <w:r w:rsidR="00BA0D6F">
        <w:t>intraday case studies, this method was selected due to t</w:t>
      </w:r>
      <w:r w:rsidR="0089689F">
        <w:t xml:space="preserve">he </w:t>
      </w:r>
      <w:r w:rsidR="00B66352">
        <w:t>small sample size and no-normal distribution</w:t>
      </w:r>
      <w:r w:rsidR="003B2B6F" w:rsidRPr="00B66352">
        <w:t xml:space="preserve"> </w:t>
      </w:r>
      <w:r w:rsidR="00B66352" w:rsidRPr="00B66352">
        <w:t>o</w:t>
      </w:r>
      <w:r w:rsidR="00B66352">
        <w:t xml:space="preserve">f </w:t>
      </w:r>
      <w:r w:rsidR="00B66352" w:rsidRPr="00B66352">
        <w:t>the data</w:t>
      </w:r>
      <w:r w:rsidR="00B66352">
        <w:t xml:space="preserve"> </w:t>
      </w:r>
      <w:r w:rsidR="003B2B6F" w:rsidRPr="00C815C2">
        <w:t>(</w:t>
      </w:r>
      <w:r w:rsidR="003B2B6F">
        <w:t xml:space="preserve">e.g., </w:t>
      </w:r>
      <w:proofErr w:type="spellStart"/>
      <w:r w:rsidR="003B2B6F">
        <w:t>Zar</w:t>
      </w:r>
      <w:proofErr w:type="spellEnd"/>
      <w:r w:rsidR="003B2B6F">
        <w:t xml:space="preserve">, 1972; </w:t>
      </w:r>
      <w:r w:rsidR="003B2B6F" w:rsidRPr="00C815C2">
        <w:t>Davis, 1986</w:t>
      </w:r>
      <w:r w:rsidR="003B2B6F">
        <w:t>; Swan and Sandilands, 199</w:t>
      </w:r>
      <w:r w:rsidR="003B2B6F" w:rsidRPr="00B149F3">
        <w:t>5</w:t>
      </w:r>
      <w:r w:rsidR="003B2B6F" w:rsidRPr="00C815C2">
        <w:t>)</w:t>
      </w:r>
      <w:r w:rsidR="003B2B6F">
        <w:t xml:space="preserve">. </w:t>
      </w:r>
      <w:r w:rsidR="00DF6400" w:rsidRPr="00DF6400">
        <w:t xml:space="preserve">The Spearman's rank-order correlation </w:t>
      </w:r>
      <w:r w:rsidR="00B350B9" w:rsidRPr="00B66352">
        <w:rPr>
          <w:i/>
        </w:rPr>
        <w:sym w:font="Symbol" w:char="F072"/>
      </w:r>
      <w:r w:rsidR="00B350B9" w:rsidRPr="00B66352">
        <w:rPr>
          <w:i/>
          <w:vertAlign w:val="subscript"/>
        </w:rPr>
        <w:t>s</w:t>
      </w:r>
      <w:r w:rsidR="00B350B9" w:rsidRPr="00DF6400">
        <w:t xml:space="preserve"> </w:t>
      </w:r>
      <w:r w:rsidR="00DF6400" w:rsidRPr="00DF6400">
        <w:t xml:space="preserve">measures the </w:t>
      </w:r>
      <w:r w:rsidR="00B350B9" w:rsidRPr="00B350B9">
        <w:t xml:space="preserve">monotonic relationship between two </w:t>
      </w:r>
      <w:r w:rsidR="00B350B9" w:rsidRPr="00DF6400">
        <w:t>ranked variables</w:t>
      </w:r>
      <w:r w:rsidR="00B350B9">
        <w:t xml:space="preserve"> </w:t>
      </w:r>
      <w:r w:rsidR="00B350B9" w:rsidRPr="00DF6400">
        <w:rPr>
          <w:i/>
        </w:rPr>
        <w:t>x</w:t>
      </w:r>
      <w:r w:rsidR="00B350B9">
        <w:t xml:space="preserve"> and </w:t>
      </w:r>
      <w:r w:rsidR="00B350B9" w:rsidRPr="00DF6400">
        <w:rPr>
          <w:i/>
        </w:rPr>
        <w:t>y</w:t>
      </w:r>
      <w:r w:rsidR="00B350B9" w:rsidRPr="00B350B9">
        <w:t>,</w:t>
      </w:r>
      <w:r w:rsidR="00B350B9">
        <w:t xml:space="preserve"> </w:t>
      </w:r>
      <w:r w:rsidR="00DF6400" w:rsidRPr="00DF6400">
        <w:t xml:space="preserve">and is </w:t>
      </w:r>
      <w:r w:rsidR="00B66352" w:rsidRPr="00B66352">
        <w:t>expressed as follows:</w:t>
      </w:r>
    </w:p>
    <w:p w:rsidR="00B66352" w:rsidRPr="00B66352" w:rsidRDefault="00B66352" w:rsidP="003B2B6F">
      <w:pPr>
        <w:ind w:right="28"/>
        <w:jc w:val="both"/>
      </w:pPr>
    </w:p>
    <w:p w:rsidR="0089689F" w:rsidRDefault="0089689F" w:rsidP="003B2B6F">
      <w:pPr>
        <w:spacing w:line="360" w:lineRule="auto"/>
        <w:ind w:right="28"/>
        <w:jc w:val="both"/>
        <w:rPr>
          <w:color w:val="2E74B5" w:themeColor="accent1" w:themeShade="BF"/>
        </w:rPr>
      </w:pPr>
      <w:r w:rsidRPr="003B2B6F">
        <w:rPr>
          <w:color w:val="2E74B5" w:themeColor="accent1" w:themeShade="BF"/>
          <w:position w:val="-28"/>
        </w:rPr>
        <w:object w:dxaOrig="1760" w:dyaOrig="999">
          <v:shape id="_x0000_i1026" type="#_x0000_t75" style="width:87pt;height:50.25pt" o:ole="">
            <v:imagedata r:id="rId9" o:title=""/>
          </v:shape>
          <o:OLEObject Type="Embed" ProgID="Equation.3" ShapeID="_x0000_i1026" DrawAspect="Content" ObjectID="_1600843918" r:id="rId10"/>
        </w:object>
      </w:r>
    </w:p>
    <w:p w:rsidR="003B2B6F" w:rsidRPr="00B55F35" w:rsidRDefault="003B2B6F" w:rsidP="003B2B6F">
      <w:pPr>
        <w:ind w:right="28"/>
        <w:jc w:val="both"/>
      </w:pPr>
      <w:r w:rsidRPr="00B55F35">
        <w:t xml:space="preserve">Where 6 is a constant, </w:t>
      </w:r>
      <w:r w:rsidRPr="00B55F35">
        <w:rPr>
          <w:i/>
        </w:rPr>
        <w:t>n</w:t>
      </w:r>
      <w:r w:rsidRPr="00B55F35">
        <w:t xml:space="preserve"> is the number of observations</w:t>
      </w:r>
      <w:r w:rsidRPr="00B55F35" w:rsidDel="00F85F37">
        <w:t xml:space="preserve"> </w:t>
      </w:r>
      <w:r w:rsidRPr="00B55F35">
        <w:t xml:space="preserve">in each of the two data sets, </w:t>
      </w:r>
      <w:r w:rsidRPr="00B55F35">
        <w:rPr>
          <w:i/>
        </w:rPr>
        <w:t>d</w:t>
      </w:r>
      <w:r w:rsidRPr="00B55F35">
        <w:rPr>
          <w:i/>
          <w:vertAlign w:val="subscript"/>
        </w:rPr>
        <w:t>i</w:t>
      </w:r>
      <w:r w:rsidRPr="00B55F35">
        <w:t xml:space="preserve"> being the </w:t>
      </w:r>
      <w:r w:rsidR="00B66352" w:rsidRPr="00B55F35">
        <w:rPr>
          <w:lang w:val="en-US"/>
        </w:rPr>
        <w:t xml:space="preserve">difference between each pair of ranks of corresponding values of the two variables </w:t>
      </w:r>
      <w:r w:rsidR="00B66352" w:rsidRPr="00B55F35">
        <w:rPr>
          <w:i/>
          <w:lang w:val="en-US"/>
        </w:rPr>
        <w:t>x</w:t>
      </w:r>
      <w:r w:rsidR="00B66352" w:rsidRPr="00B55F35">
        <w:rPr>
          <w:lang w:val="en-US"/>
        </w:rPr>
        <w:t xml:space="preserve"> and </w:t>
      </w:r>
      <w:r w:rsidR="00B66352" w:rsidRPr="00B55F35">
        <w:rPr>
          <w:i/>
          <w:lang w:val="en-US"/>
        </w:rPr>
        <w:t>y</w:t>
      </w:r>
      <w:r w:rsidR="00B66352" w:rsidRPr="00B55F35">
        <w:rPr>
          <w:lang w:val="en-US"/>
        </w:rPr>
        <w:t xml:space="preserve">, and </w:t>
      </w:r>
      <w:proofErr w:type="spellStart"/>
      <w:r w:rsidR="00B66352" w:rsidRPr="00B55F35">
        <w:rPr>
          <w:i/>
          <w:lang w:val="en-US"/>
        </w:rPr>
        <w:t>n</w:t>
      </w:r>
      <w:proofErr w:type="spellEnd"/>
      <w:r w:rsidR="00B66352" w:rsidRPr="00B55F35">
        <w:rPr>
          <w:lang w:val="en-US"/>
        </w:rPr>
        <w:t xml:space="preserve"> the number of pairs of values in the sample</w:t>
      </w:r>
      <w:r w:rsidRPr="00B55F35">
        <w:t xml:space="preserve">. The likeness of correlation between two variates is measured as a scalar between 1 </w:t>
      </w:r>
      <w:bookmarkStart w:id="1" w:name="OLE_LINK25"/>
      <w:r w:rsidRPr="00B55F35">
        <w:sym w:font="Symbol" w:char="F0B3"/>
      </w:r>
      <w:bookmarkEnd w:id="1"/>
      <w:r w:rsidRPr="00B55F35">
        <w:t xml:space="preserve"> </w:t>
      </w:r>
      <w:r w:rsidRPr="00B55F35">
        <w:rPr>
          <w:i/>
        </w:rPr>
        <w:sym w:font="Symbol" w:char="F072"/>
      </w:r>
      <w:r w:rsidRPr="00B55F35">
        <w:t xml:space="preserve">  </w:t>
      </w:r>
      <w:r w:rsidRPr="00B55F35">
        <w:sym w:font="Symbol" w:char="F0B3"/>
      </w:r>
      <w:r w:rsidRPr="00B55F35">
        <w:t xml:space="preserve"> -1 and </w:t>
      </w:r>
      <w:bookmarkStart w:id="2" w:name="OLE_LINK19"/>
      <w:bookmarkStart w:id="3" w:name="OLE_LINK20"/>
      <w:r w:rsidRPr="00B55F35">
        <w:t xml:space="preserve">correlation are considered reliable </w:t>
      </w:r>
      <w:bookmarkEnd w:id="2"/>
      <w:bookmarkEnd w:id="3"/>
      <w:r w:rsidRPr="00B55F35">
        <w:t xml:space="preserve">for value </w:t>
      </w:r>
      <w:bookmarkStart w:id="4" w:name="OLE_LINK22"/>
      <w:bookmarkStart w:id="5" w:name="OLE_LINK23"/>
      <w:r w:rsidRPr="00B55F35">
        <w:sym w:font="Symbol" w:char="F0B3"/>
      </w:r>
      <w:bookmarkEnd w:id="4"/>
      <w:bookmarkEnd w:id="5"/>
      <w:r w:rsidRPr="00B55F35">
        <w:t xml:space="preserve"> </w:t>
      </w:r>
      <w:r w:rsidRPr="00B55F35">
        <w:sym w:font="Symbol" w:char="F07C"/>
      </w:r>
      <w:r w:rsidRPr="00B55F35">
        <w:t>0.6</w:t>
      </w:r>
      <w:r w:rsidRPr="00B55F35">
        <w:sym w:font="Symbol" w:char="F07C"/>
      </w:r>
      <w:r w:rsidRPr="00B55F35">
        <w:t xml:space="preserve">. The significance of </w:t>
      </w:r>
      <w:r w:rsidRPr="00B55F35">
        <w:rPr>
          <w:i/>
        </w:rPr>
        <w:sym w:font="Symbol" w:char="F072"/>
      </w:r>
      <w:r w:rsidRPr="00B55F35">
        <w:rPr>
          <w:i/>
        </w:rPr>
        <w:t xml:space="preserve"> </w:t>
      </w:r>
      <w:r w:rsidRPr="00B55F35">
        <w:t xml:space="preserve">is computed by using the Student’s </w:t>
      </w:r>
      <w:r w:rsidRPr="00B55F35">
        <w:rPr>
          <w:i/>
        </w:rPr>
        <w:t>t</w:t>
      </w:r>
      <w:r w:rsidRPr="00B55F35">
        <w:t xml:space="preserve">-distribution, with </w:t>
      </w:r>
      <w:r w:rsidRPr="00B55F35">
        <w:rPr>
          <w:i/>
        </w:rPr>
        <w:t>n</w:t>
      </w:r>
      <w:r w:rsidRPr="00B55F35">
        <w:t xml:space="preserve">-2 degrees of freedom of </w:t>
      </w:r>
      <w:r w:rsidRPr="00B55F35">
        <w:rPr>
          <w:i/>
        </w:rPr>
        <w:t xml:space="preserve">n </w:t>
      </w:r>
      <w:r w:rsidRPr="00B55F35">
        <w:t xml:space="preserve">number of observations. </w:t>
      </w:r>
    </w:p>
    <w:p w:rsidR="003B2B6F" w:rsidRPr="003B2B6F" w:rsidRDefault="003B2B6F" w:rsidP="003B2B6F">
      <w:pPr>
        <w:ind w:right="28"/>
        <w:jc w:val="both"/>
        <w:rPr>
          <w:color w:val="2E74B5" w:themeColor="accent1" w:themeShade="BF"/>
        </w:rPr>
      </w:pP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r w:rsidRPr="003B2B6F">
        <w:rPr>
          <w:color w:val="2E74B5" w:themeColor="accent1" w:themeShade="BF"/>
        </w:rPr>
        <w:tab/>
      </w:r>
    </w:p>
    <w:p w:rsidR="003B2B6F" w:rsidRDefault="003B2B6F" w:rsidP="003B2B6F">
      <w:pPr>
        <w:jc w:val="both"/>
        <w:rPr>
          <w:b/>
          <w:lang w:val="en-US"/>
        </w:rPr>
      </w:pPr>
      <w:r>
        <w:rPr>
          <w:b/>
          <w:lang w:val="en-US"/>
        </w:rPr>
        <w:t>References</w:t>
      </w:r>
    </w:p>
    <w:p w:rsidR="003B2B6F" w:rsidRPr="00251321" w:rsidRDefault="003B2B6F" w:rsidP="00251321">
      <w:pPr>
        <w:pStyle w:val="ListParagraph"/>
        <w:numPr>
          <w:ilvl w:val="0"/>
          <w:numId w:val="1"/>
        </w:numPr>
        <w:ind w:left="284" w:hanging="284"/>
        <w:jc w:val="both"/>
        <w:rPr>
          <w:lang w:val="en-US"/>
        </w:rPr>
      </w:pPr>
      <w:r w:rsidRPr="00251321">
        <w:rPr>
          <w:lang w:val="en-US"/>
        </w:rPr>
        <w:t>Davis, J.C., 1986. Statistics and data analysis in geology, Second edition, John Wiley &amp; Sons, New York.</w:t>
      </w:r>
    </w:p>
    <w:p w:rsidR="003B2B6F" w:rsidRPr="00251321" w:rsidRDefault="003B2B6F" w:rsidP="00251321">
      <w:pPr>
        <w:pStyle w:val="ListParagraph"/>
        <w:numPr>
          <w:ilvl w:val="0"/>
          <w:numId w:val="1"/>
        </w:numPr>
        <w:ind w:left="284" w:hanging="284"/>
        <w:jc w:val="both"/>
        <w:rPr>
          <w:lang w:val="en-US"/>
        </w:rPr>
      </w:pPr>
      <w:proofErr w:type="spellStart"/>
      <w:r w:rsidRPr="00251321">
        <w:rPr>
          <w:lang w:val="en-US"/>
        </w:rPr>
        <w:t>McKillup</w:t>
      </w:r>
      <w:proofErr w:type="spellEnd"/>
      <w:r w:rsidRPr="00251321">
        <w:rPr>
          <w:lang w:val="en-US"/>
        </w:rPr>
        <w:t xml:space="preserve">, S., and </w:t>
      </w:r>
      <w:proofErr w:type="spellStart"/>
      <w:r w:rsidRPr="00251321">
        <w:rPr>
          <w:lang w:val="en-US"/>
        </w:rPr>
        <w:t>Dyar</w:t>
      </w:r>
      <w:proofErr w:type="spellEnd"/>
      <w:r w:rsidRPr="00251321">
        <w:rPr>
          <w:lang w:val="en-US"/>
        </w:rPr>
        <w:t xml:space="preserve">, M.D., (2010). </w:t>
      </w:r>
      <w:proofErr w:type="spellStart"/>
      <w:r w:rsidRPr="00251321">
        <w:rPr>
          <w:lang w:val="en-US"/>
        </w:rPr>
        <w:t>Geostatistics</w:t>
      </w:r>
      <w:proofErr w:type="spellEnd"/>
      <w:r w:rsidRPr="00251321">
        <w:rPr>
          <w:lang w:val="en-US"/>
        </w:rPr>
        <w:t xml:space="preserve"> Explained An Introductory Guide for Earth Scientists. Cambridge University Press. ISBN-13: 9780521746564</w:t>
      </w:r>
    </w:p>
    <w:p w:rsidR="003B2B6F" w:rsidRPr="00251321" w:rsidRDefault="003B2B6F" w:rsidP="00251321">
      <w:pPr>
        <w:pStyle w:val="ListParagraph"/>
        <w:numPr>
          <w:ilvl w:val="0"/>
          <w:numId w:val="1"/>
        </w:numPr>
        <w:ind w:left="284" w:hanging="284"/>
        <w:jc w:val="both"/>
        <w:rPr>
          <w:lang w:val="en-US"/>
        </w:rPr>
      </w:pPr>
      <w:r w:rsidRPr="00251321">
        <w:rPr>
          <w:lang w:val="en-US"/>
        </w:rPr>
        <w:t>Swan, A.R.H., Sandilands, M., 1995. Introduction to geological data analysis. Blackwell Science.</w:t>
      </w:r>
    </w:p>
    <w:p w:rsidR="003B2B6F" w:rsidRPr="00251321" w:rsidRDefault="003B2B6F" w:rsidP="00251321">
      <w:pPr>
        <w:pStyle w:val="ListParagraph"/>
        <w:numPr>
          <w:ilvl w:val="0"/>
          <w:numId w:val="1"/>
        </w:numPr>
        <w:ind w:left="284" w:hanging="284"/>
        <w:jc w:val="both"/>
        <w:rPr>
          <w:lang w:val="en-US"/>
        </w:rPr>
      </w:pPr>
      <w:proofErr w:type="spellStart"/>
      <w:r w:rsidRPr="00251321">
        <w:rPr>
          <w:lang w:val="en-US"/>
        </w:rPr>
        <w:t>Zar</w:t>
      </w:r>
      <w:proofErr w:type="spellEnd"/>
      <w:r w:rsidRPr="00251321">
        <w:rPr>
          <w:lang w:val="en-US"/>
        </w:rPr>
        <w:t>, J.H., 1972. Significance testing of the Spearman Rank Correlation Coefficient. JASA 67, 339.</w:t>
      </w:r>
    </w:p>
    <w:p w:rsidR="00B964F0" w:rsidRDefault="00B964F0" w:rsidP="00B964F0">
      <w:pPr>
        <w:jc w:val="both"/>
        <w:rPr>
          <w:b/>
          <w:lang w:val="en-US"/>
        </w:rPr>
      </w:pPr>
      <w:r>
        <w:rPr>
          <w:b/>
          <w:lang w:val="en-US"/>
        </w:rPr>
        <w:lastRenderedPageBreak/>
        <w:t>Supplementary Figure S1</w:t>
      </w:r>
    </w:p>
    <w:p w:rsidR="00B964F0" w:rsidRDefault="00B964F0" w:rsidP="00B964F0">
      <w:pPr>
        <w:jc w:val="both"/>
        <w:rPr>
          <w:b/>
          <w:lang w:val="en-US"/>
        </w:rPr>
      </w:pPr>
    </w:p>
    <w:p w:rsidR="00B964F0" w:rsidRDefault="00B964F0" w:rsidP="00B964F0">
      <w:pPr>
        <w:jc w:val="center"/>
        <w:rPr>
          <w:b/>
          <w:lang w:val="en-US"/>
        </w:rPr>
      </w:pPr>
    </w:p>
    <w:p w:rsidR="00B964F0" w:rsidRDefault="004E52AE" w:rsidP="00B964F0">
      <w:pPr>
        <w:jc w:val="center"/>
        <w:rPr>
          <w:b/>
          <w:lang w:val="en-US"/>
        </w:rPr>
      </w:pPr>
      <w:r>
        <w:rPr>
          <w:b/>
          <w:noProof/>
          <w:lang w:val="it-IT" w:eastAsia="it-IT"/>
        </w:rPr>
        <w:drawing>
          <wp:inline distT="0" distB="0" distL="0" distR="0">
            <wp:extent cx="4374000" cy="288000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_supplementary flux.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4000" cy="2880000"/>
                    </a:xfrm>
                    <a:prstGeom prst="rect">
                      <a:avLst/>
                    </a:prstGeom>
                  </pic:spPr>
                </pic:pic>
              </a:graphicData>
            </a:graphic>
          </wp:inline>
        </w:drawing>
      </w:r>
    </w:p>
    <w:p w:rsidR="00B964F0" w:rsidRDefault="00B964F0" w:rsidP="00B964F0">
      <w:pPr>
        <w:jc w:val="center"/>
        <w:rPr>
          <w:b/>
          <w:lang w:val="en-US"/>
        </w:rPr>
      </w:pPr>
    </w:p>
    <w:p w:rsidR="00E64AEA" w:rsidRDefault="00E64AEA" w:rsidP="00B964F0">
      <w:pPr>
        <w:jc w:val="center"/>
        <w:rPr>
          <w:b/>
          <w:lang w:val="en-US"/>
        </w:rPr>
      </w:pPr>
    </w:p>
    <w:p w:rsidR="00E64AEA" w:rsidRDefault="00E64AEA" w:rsidP="00B964F0">
      <w:pPr>
        <w:jc w:val="center"/>
        <w:rPr>
          <w:b/>
          <w:lang w:val="en-US"/>
        </w:rPr>
      </w:pPr>
    </w:p>
    <w:p w:rsidR="00E64AEA" w:rsidRDefault="00E64AEA" w:rsidP="00B964F0">
      <w:pPr>
        <w:jc w:val="center"/>
        <w:rPr>
          <w:b/>
          <w:lang w:val="en-US"/>
        </w:rPr>
      </w:pPr>
    </w:p>
    <w:p w:rsidR="00B964F0" w:rsidRDefault="004E52AE" w:rsidP="00B964F0">
      <w:pPr>
        <w:jc w:val="center"/>
        <w:rPr>
          <w:b/>
          <w:lang w:val="en-US"/>
        </w:rPr>
      </w:pPr>
      <w:r>
        <w:rPr>
          <w:b/>
          <w:noProof/>
          <w:lang w:val="it-IT" w:eastAsia="it-IT"/>
        </w:rPr>
        <w:drawing>
          <wp:inline distT="0" distB="0" distL="0" distR="0">
            <wp:extent cx="4295554" cy="3196692"/>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supplementary skewn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00389" cy="3200290"/>
                    </a:xfrm>
                    <a:prstGeom prst="rect">
                      <a:avLst/>
                    </a:prstGeom>
                  </pic:spPr>
                </pic:pic>
              </a:graphicData>
            </a:graphic>
          </wp:inline>
        </w:drawing>
      </w:r>
    </w:p>
    <w:p w:rsidR="00B964F0" w:rsidRDefault="00E64AEA" w:rsidP="00B964F0">
      <w:pPr>
        <w:jc w:val="center"/>
        <w:rPr>
          <w:b/>
          <w:lang w:val="en-US"/>
        </w:rPr>
      </w:pPr>
      <w:r>
        <w:rPr>
          <w:b/>
          <w:noProof/>
          <w:lang w:val="it-IT" w:eastAsia="it-IT"/>
        </w:rPr>
        <w:lastRenderedPageBreak/>
        <w:drawing>
          <wp:inline distT="0" distB="0" distL="0" distR="0" wp14:anchorId="6791C2ED" wp14:editId="5DEFDCA8">
            <wp:extent cx="4316818" cy="2814551"/>
            <wp:effectExtent l="0" t="0" r="762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_supplementary kurtos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7647" cy="2821612"/>
                    </a:xfrm>
                    <a:prstGeom prst="rect">
                      <a:avLst/>
                    </a:prstGeom>
                  </pic:spPr>
                </pic:pic>
              </a:graphicData>
            </a:graphic>
          </wp:inline>
        </w:drawing>
      </w:r>
    </w:p>
    <w:p w:rsidR="004E52AE" w:rsidRDefault="004E52AE" w:rsidP="00B964F0">
      <w:pPr>
        <w:jc w:val="center"/>
        <w:rPr>
          <w:b/>
          <w:lang w:val="en-US"/>
        </w:rPr>
      </w:pPr>
    </w:p>
    <w:p w:rsidR="00B964F0" w:rsidRDefault="00B964F0" w:rsidP="00B964F0">
      <w:pPr>
        <w:jc w:val="center"/>
        <w:rPr>
          <w:b/>
          <w:lang w:val="en-US"/>
        </w:rPr>
      </w:pPr>
    </w:p>
    <w:p w:rsidR="00B964F0" w:rsidRDefault="00B964F0" w:rsidP="00B964F0">
      <w:pPr>
        <w:jc w:val="center"/>
        <w:rPr>
          <w:b/>
          <w:lang w:val="en-US"/>
        </w:rPr>
      </w:pPr>
    </w:p>
    <w:p w:rsidR="00B964F0" w:rsidRDefault="00D31BFC" w:rsidP="00D31BFC">
      <w:pPr>
        <w:jc w:val="both"/>
        <w:rPr>
          <w:b/>
          <w:lang w:val="en-US"/>
        </w:rPr>
      </w:pPr>
      <w:r w:rsidRPr="00706C93">
        <w:rPr>
          <w:b/>
          <w:lang w:val="en-US"/>
        </w:rPr>
        <w:t>Figure S1.</w:t>
      </w:r>
    </w:p>
    <w:p w:rsidR="00B964F0" w:rsidRDefault="00E82ACF" w:rsidP="00D03CF4">
      <w:pPr>
        <w:jc w:val="both"/>
        <w:rPr>
          <w:b/>
          <w:lang w:val="en-US"/>
        </w:rPr>
      </w:pPr>
      <w:r w:rsidRPr="00E82ACF">
        <w:rPr>
          <w:lang w:val="en-US"/>
        </w:rPr>
        <w:t>Sta</w:t>
      </w:r>
      <w:r>
        <w:rPr>
          <w:lang w:val="en-US"/>
        </w:rPr>
        <w:t>tistical proprieties of SO</w:t>
      </w:r>
      <w:r w:rsidRPr="00E82ACF">
        <w:rPr>
          <w:vertAlign w:val="subscript"/>
          <w:lang w:val="en-US"/>
        </w:rPr>
        <w:t>2</w:t>
      </w:r>
      <w:r>
        <w:rPr>
          <w:lang w:val="en-US"/>
        </w:rPr>
        <w:t xml:space="preserve"> flux (a) and volcanic seismic tremor (b and c) of the six intraday case studies explored for the short timescale investigation</w:t>
      </w:r>
      <w:r w:rsidR="00916D91">
        <w:rPr>
          <w:lang w:val="en-US"/>
        </w:rPr>
        <w:t xml:space="preserve"> (Figure 3 and table 1)</w:t>
      </w:r>
      <w:r>
        <w:rPr>
          <w:lang w:val="en-US"/>
        </w:rPr>
        <w:t xml:space="preserve">. </w:t>
      </w:r>
      <w:r w:rsidR="00B0125D">
        <w:rPr>
          <w:lang w:val="en-US"/>
        </w:rPr>
        <w:t xml:space="preserve">Both data records displayed </w:t>
      </w:r>
      <w:r w:rsidR="00133330">
        <w:rPr>
          <w:lang w:val="en-US"/>
        </w:rPr>
        <w:t xml:space="preserve">mean skewness values of </w:t>
      </w:r>
      <w:r w:rsidR="003B53EE">
        <w:rPr>
          <w:lang w:val="en-US"/>
        </w:rPr>
        <w:t>1.1 and 0.9</w:t>
      </w:r>
      <w:r w:rsidR="00C9270F">
        <w:rPr>
          <w:lang w:val="en-US"/>
        </w:rPr>
        <w:t xml:space="preserve"> (standard deviation of 0.6 and 0.5; a and b)</w:t>
      </w:r>
      <w:r w:rsidR="003B53EE">
        <w:rPr>
          <w:lang w:val="en-US"/>
        </w:rPr>
        <w:t xml:space="preserve"> which revealed lack of symmetry relative to a normal distribution of the data. </w:t>
      </w:r>
      <w:r w:rsidR="004356C0">
        <w:rPr>
          <w:lang w:val="en-US"/>
        </w:rPr>
        <w:t xml:space="preserve">Volcanic tremor showed isolated Gaussian distribution (skewness near and/or zero in b) for case study 4, 5 and 6 for frequency between 1.5 and 2.5 and for 9.5 - 10.5 Hz, respectively. </w:t>
      </w:r>
      <w:r w:rsidR="00326873">
        <w:rPr>
          <w:lang w:val="en-US"/>
        </w:rPr>
        <w:t>Kurtosis in both S</w:t>
      </w:r>
      <w:r w:rsidR="0024210F">
        <w:rPr>
          <w:lang w:val="en-US"/>
        </w:rPr>
        <w:t>O</w:t>
      </w:r>
      <w:r w:rsidR="00326873" w:rsidRPr="0024210F">
        <w:rPr>
          <w:vertAlign w:val="subscript"/>
          <w:lang w:val="en-US"/>
        </w:rPr>
        <w:t>2</w:t>
      </w:r>
      <w:r w:rsidR="00326873">
        <w:rPr>
          <w:lang w:val="en-US"/>
        </w:rPr>
        <w:t xml:space="preserve"> flux and volcanic tremor (a and c, respectively) show </w:t>
      </w:r>
      <w:r w:rsidR="00C9270F">
        <w:rPr>
          <w:lang w:val="en-US"/>
        </w:rPr>
        <w:t>mean value of 1.2 and 1.</w:t>
      </w:r>
      <w:r w:rsidR="002A6B69">
        <w:rPr>
          <w:lang w:val="en-US"/>
        </w:rPr>
        <w:t xml:space="preserve">1, respectively (standard deviation of 0.7 and 1.1). </w:t>
      </w:r>
      <w:r w:rsidR="006963B8">
        <w:rPr>
          <w:lang w:val="en-US"/>
        </w:rPr>
        <w:t>Data in each different case studies and for different frequency band was both heavily and light tailed (positive and negative kurtosis) and marked by outliers (positive and negative and high positive k</w:t>
      </w:r>
      <w:r w:rsidR="00916D91">
        <w:rPr>
          <w:lang w:val="en-US"/>
        </w:rPr>
        <w:t xml:space="preserve">urtosis values, respectively). The six case studies </w:t>
      </w:r>
      <w:r w:rsidR="00D03CF4">
        <w:rPr>
          <w:lang w:val="en-US"/>
        </w:rPr>
        <w:t>relate</w:t>
      </w:r>
      <w:r w:rsidR="00916D91">
        <w:rPr>
          <w:lang w:val="en-US"/>
        </w:rPr>
        <w:t xml:space="preserve"> to </w:t>
      </w:r>
      <w:r w:rsidR="006F758C">
        <w:rPr>
          <w:lang w:val="en-US"/>
        </w:rPr>
        <w:t xml:space="preserve">different eruptive regimes, </w:t>
      </w:r>
      <w:r w:rsidR="00916D91">
        <w:rPr>
          <w:lang w:val="en-US"/>
        </w:rPr>
        <w:t xml:space="preserve">which ranged between explosive </w:t>
      </w:r>
      <w:r w:rsidR="006F758C">
        <w:rPr>
          <w:lang w:val="en-US"/>
        </w:rPr>
        <w:t xml:space="preserve">to predominantly effusive </w:t>
      </w:r>
      <w:r w:rsidR="00916D91">
        <w:rPr>
          <w:lang w:val="en-US"/>
        </w:rPr>
        <w:t>activity (case study 1- 3 and 4 – 6, respectively</w:t>
      </w:r>
      <w:r w:rsidR="007A3689">
        <w:rPr>
          <w:lang w:val="en-US"/>
        </w:rPr>
        <w:t xml:space="preserve"> in figure 3 and table 1</w:t>
      </w:r>
      <w:r w:rsidR="00916D91">
        <w:rPr>
          <w:lang w:val="en-US"/>
        </w:rPr>
        <w:t xml:space="preserve">). </w:t>
      </w:r>
    </w:p>
    <w:sectPr w:rsidR="00B964F0" w:rsidSect="00C87195">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27" w:rsidRDefault="002E6B27" w:rsidP="00DB0D67">
      <w:r>
        <w:separator/>
      </w:r>
    </w:p>
  </w:endnote>
  <w:endnote w:type="continuationSeparator" w:id="0">
    <w:p w:rsidR="002E6B27" w:rsidRDefault="002E6B27" w:rsidP="00DB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vTT5235d5a9">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036155"/>
      <w:docPartObj>
        <w:docPartGallery w:val="Page Numbers (Bottom of Page)"/>
        <w:docPartUnique/>
      </w:docPartObj>
    </w:sdtPr>
    <w:sdtEndPr/>
    <w:sdtContent>
      <w:p w:rsidR="00DB0D67" w:rsidRDefault="00DB0D67">
        <w:pPr>
          <w:pStyle w:val="Footer"/>
          <w:jc w:val="center"/>
        </w:pPr>
        <w:r>
          <w:fldChar w:fldCharType="begin"/>
        </w:r>
        <w:r>
          <w:instrText>PAGE   \* MERGEFORMAT</w:instrText>
        </w:r>
        <w:r>
          <w:fldChar w:fldCharType="separate"/>
        </w:r>
        <w:r w:rsidR="0070338B" w:rsidRPr="0070338B">
          <w:rPr>
            <w:noProof/>
            <w:lang w:val="it-IT"/>
          </w:rPr>
          <w:t>2</w:t>
        </w:r>
        <w:r>
          <w:fldChar w:fldCharType="end"/>
        </w:r>
      </w:p>
    </w:sdtContent>
  </w:sdt>
  <w:p w:rsidR="00DB0D67" w:rsidRDefault="00DB0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27" w:rsidRDefault="002E6B27" w:rsidP="00DB0D67">
      <w:r>
        <w:separator/>
      </w:r>
    </w:p>
  </w:footnote>
  <w:footnote w:type="continuationSeparator" w:id="0">
    <w:p w:rsidR="002E6B27" w:rsidRDefault="002E6B27" w:rsidP="00DB0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172C6"/>
    <w:multiLevelType w:val="hybridMultilevel"/>
    <w:tmpl w:val="D7D477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A28"/>
    <w:rsid w:val="00003D1F"/>
    <w:rsid w:val="0000702E"/>
    <w:rsid w:val="00056FE7"/>
    <w:rsid w:val="00061CC6"/>
    <w:rsid w:val="0009143B"/>
    <w:rsid w:val="000E7F3F"/>
    <w:rsid w:val="000F1263"/>
    <w:rsid w:val="00133330"/>
    <w:rsid w:val="00145666"/>
    <w:rsid w:val="001528B3"/>
    <w:rsid w:val="0024210F"/>
    <w:rsid w:val="00251321"/>
    <w:rsid w:val="002A6B69"/>
    <w:rsid w:val="002B2320"/>
    <w:rsid w:val="002E6B27"/>
    <w:rsid w:val="002E796A"/>
    <w:rsid w:val="00326873"/>
    <w:rsid w:val="003B2B6F"/>
    <w:rsid w:val="003B53EE"/>
    <w:rsid w:val="00405580"/>
    <w:rsid w:val="004356C0"/>
    <w:rsid w:val="004D303B"/>
    <w:rsid w:val="004E52AE"/>
    <w:rsid w:val="005F4F48"/>
    <w:rsid w:val="00660A84"/>
    <w:rsid w:val="006963B8"/>
    <w:rsid w:val="006F758C"/>
    <w:rsid w:val="00702BBB"/>
    <w:rsid w:val="0070338B"/>
    <w:rsid w:val="00750DE8"/>
    <w:rsid w:val="007A3689"/>
    <w:rsid w:val="007C17ED"/>
    <w:rsid w:val="008018DF"/>
    <w:rsid w:val="0089689F"/>
    <w:rsid w:val="008E78FB"/>
    <w:rsid w:val="009149D8"/>
    <w:rsid w:val="00916D91"/>
    <w:rsid w:val="009511BC"/>
    <w:rsid w:val="00993553"/>
    <w:rsid w:val="009B2EC6"/>
    <w:rsid w:val="009B7B0F"/>
    <w:rsid w:val="009C4A7E"/>
    <w:rsid w:val="009F598C"/>
    <w:rsid w:val="00AB27C0"/>
    <w:rsid w:val="00AC45C2"/>
    <w:rsid w:val="00AE5ECE"/>
    <w:rsid w:val="00AF34DE"/>
    <w:rsid w:val="00B0125D"/>
    <w:rsid w:val="00B350B9"/>
    <w:rsid w:val="00B55F35"/>
    <w:rsid w:val="00B66352"/>
    <w:rsid w:val="00B964F0"/>
    <w:rsid w:val="00BA0D6F"/>
    <w:rsid w:val="00C87195"/>
    <w:rsid w:val="00C9270F"/>
    <w:rsid w:val="00CB03D3"/>
    <w:rsid w:val="00CC5135"/>
    <w:rsid w:val="00D03CF4"/>
    <w:rsid w:val="00D31BFC"/>
    <w:rsid w:val="00D72991"/>
    <w:rsid w:val="00D76A28"/>
    <w:rsid w:val="00DB0D67"/>
    <w:rsid w:val="00DF4CAC"/>
    <w:rsid w:val="00DF6400"/>
    <w:rsid w:val="00E2066B"/>
    <w:rsid w:val="00E31D8E"/>
    <w:rsid w:val="00E64AEA"/>
    <w:rsid w:val="00E80980"/>
    <w:rsid w:val="00E814A3"/>
    <w:rsid w:val="00E82ACF"/>
    <w:rsid w:val="00ED62CD"/>
    <w:rsid w:val="00F81A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A3B8D-A98D-47F2-A680-9C69B374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A2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3D3"/>
    <w:rPr>
      <w:color w:val="0563C1" w:themeColor="hyperlink"/>
      <w:u w:val="single"/>
    </w:rPr>
  </w:style>
  <w:style w:type="paragraph" w:styleId="Header">
    <w:name w:val="header"/>
    <w:basedOn w:val="Normal"/>
    <w:link w:val="HeaderChar"/>
    <w:uiPriority w:val="99"/>
    <w:unhideWhenUsed/>
    <w:rsid w:val="00DB0D67"/>
    <w:pPr>
      <w:tabs>
        <w:tab w:val="center" w:pos="4819"/>
        <w:tab w:val="right" w:pos="9638"/>
      </w:tabs>
    </w:pPr>
  </w:style>
  <w:style w:type="character" w:customStyle="1" w:styleId="HeaderChar">
    <w:name w:val="Header Char"/>
    <w:basedOn w:val="DefaultParagraphFont"/>
    <w:link w:val="Header"/>
    <w:uiPriority w:val="99"/>
    <w:rsid w:val="00DB0D6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B0D67"/>
    <w:pPr>
      <w:tabs>
        <w:tab w:val="center" w:pos="4819"/>
        <w:tab w:val="right" w:pos="9638"/>
      </w:tabs>
    </w:pPr>
  </w:style>
  <w:style w:type="character" w:customStyle="1" w:styleId="FooterChar">
    <w:name w:val="Footer Char"/>
    <w:basedOn w:val="DefaultParagraphFont"/>
    <w:link w:val="Footer"/>
    <w:uiPriority w:val="99"/>
    <w:rsid w:val="00DB0D67"/>
    <w:rPr>
      <w:rFonts w:ascii="Times New Roman" w:eastAsia="Times New Roman" w:hAnsi="Times New Roman" w:cs="Times New Roman"/>
      <w:sz w:val="24"/>
      <w:szCs w:val="24"/>
      <w:lang w:val="en-GB"/>
    </w:rPr>
  </w:style>
  <w:style w:type="character" w:styleId="LineNumber">
    <w:name w:val="line number"/>
    <w:basedOn w:val="DefaultParagraphFont"/>
    <w:uiPriority w:val="99"/>
    <w:semiHidden/>
    <w:unhideWhenUsed/>
    <w:rsid w:val="00DB0D67"/>
  </w:style>
  <w:style w:type="paragraph" w:styleId="Title">
    <w:name w:val="Title"/>
    <w:basedOn w:val="Normal"/>
    <w:next w:val="Normal"/>
    <w:link w:val="TitleChar"/>
    <w:qFormat/>
    <w:rsid w:val="007C17ED"/>
    <w:pPr>
      <w:suppressLineNumbers/>
      <w:spacing w:before="240" w:after="360"/>
      <w:jc w:val="center"/>
    </w:pPr>
    <w:rPr>
      <w:rFonts w:eastAsiaTheme="minorHAnsi"/>
      <w:b/>
      <w:sz w:val="32"/>
      <w:szCs w:val="32"/>
      <w:lang w:val="en-US"/>
    </w:rPr>
  </w:style>
  <w:style w:type="character" w:customStyle="1" w:styleId="TitleChar">
    <w:name w:val="Title Char"/>
    <w:basedOn w:val="DefaultParagraphFont"/>
    <w:link w:val="Title"/>
    <w:rsid w:val="007C17ED"/>
    <w:rPr>
      <w:rFonts w:ascii="Times New Roman" w:hAnsi="Times New Roman" w:cs="Times New Roman"/>
      <w:b/>
      <w:sz w:val="32"/>
      <w:szCs w:val="32"/>
      <w:lang w:val="en-US"/>
    </w:rPr>
  </w:style>
  <w:style w:type="paragraph" w:styleId="ListParagraph">
    <w:name w:val="List Paragraph"/>
    <w:basedOn w:val="Normal"/>
    <w:uiPriority w:val="34"/>
    <w:qFormat/>
    <w:rsid w:val="0025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39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3529</Characters>
  <Application>Microsoft Office Word</Application>
  <DocSecurity>0</DocSecurity>
  <Lines>29</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Salerno</dc:creator>
  <cp:keywords/>
  <dc:description/>
  <cp:lastModifiedBy>Ana Parra Munoz</cp:lastModifiedBy>
  <cp:revision>2</cp:revision>
  <dcterms:created xsi:type="dcterms:W3CDTF">2018-10-12T08:06:00Z</dcterms:created>
  <dcterms:modified xsi:type="dcterms:W3CDTF">2018-10-12T08:06:00Z</dcterms:modified>
</cp:coreProperties>
</file>