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F11C" w14:textId="70B9D2DA" w:rsidR="00CA3614" w:rsidRPr="00C1140C" w:rsidRDefault="00CA3614" w:rsidP="00CA3614">
      <w:pPr>
        <w:pStyle w:val="Heading1"/>
        <w:jc w:val="center"/>
      </w:pPr>
      <w:r w:rsidRPr="0088691C">
        <w:rPr>
          <w:sz w:val="28"/>
        </w:rPr>
        <w:t>A</w:t>
      </w:r>
      <w:r w:rsidR="00E34012" w:rsidRPr="0088691C">
        <w:rPr>
          <w:sz w:val="28"/>
        </w:rPr>
        <w:t>p</w:t>
      </w:r>
      <w:r w:rsidR="00EF38B4" w:rsidRPr="0088691C">
        <w:rPr>
          <w:sz w:val="28"/>
        </w:rPr>
        <w:t>pendix</w:t>
      </w:r>
    </w:p>
    <w:p w14:paraId="3B4F889A" w14:textId="77777777" w:rsidR="00CA3614" w:rsidRDefault="00CA3614" w:rsidP="00CA3614">
      <w:pPr>
        <w:jc w:val="center"/>
        <w:rPr>
          <w:rFonts w:ascii="Cambria" w:hAnsi="Cambria"/>
          <w:sz w:val="24"/>
          <w:szCs w:val="24"/>
        </w:rPr>
      </w:pPr>
    </w:p>
    <w:p w14:paraId="4045A547" w14:textId="77777777" w:rsidR="00CA3614" w:rsidRDefault="00CA3614" w:rsidP="00CA3614">
      <w:pPr>
        <w:jc w:val="center"/>
        <w:rPr>
          <w:rFonts w:ascii="Cambria" w:hAnsi="Cambria"/>
          <w:sz w:val="24"/>
          <w:szCs w:val="24"/>
        </w:rPr>
      </w:pPr>
    </w:p>
    <w:p w14:paraId="4AE25B73" w14:textId="77777777" w:rsidR="00CA3614" w:rsidRPr="00C1140C" w:rsidRDefault="00CA3614" w:rsidP="00CA3614">
      <w:pPr>
        <w:jc w:val="center"/>
        <w:rPr>
          <w:rFonts w:ascii="Cambria" w:hAnsi="Cambria"/>
          <w:sz w:val="24"/>
          <w:szCs w:val="24"/>
        </w:rPr>
      </w:pPr>
    </w:p>
    <w:p w14:paraId="6CB2F750" w14:textId="253CB43E" w:rsidR="004368D7" w:rsidRPr="0088691C" w:rsidRDefault="00E34012" w:rsidP="00CA3614">
      <w:pPr>
        <w:jc w:val="center"/>
        <w:rPr>
          <w:rFonts w:ascii="Cambria" w:hAnsi="Cambria"/>
          <w:b/>
          <w:sz w:val="28"/>
          <w:szCs w:val="24"/>
        </w:rPr>
      </w:pPr>
      <w:r w:rsidRPr="0088691C">
        <w:rPr>
          <w:rFonts w:ascii="Cambria" w:eastAsia="Cambria" w:hAnsi="Cambria" w:cs="Cambria"/>
          <w:b/>
          <w:bCs/>
          <w:sz w:val="28"/>
          <w:szCs w:val="24"/>
        </w:rPr>
        <w:t>Methodological approaches to mangrove valuation: Where do we stand?</w:t>
      </w:r>
    </w:p>
    <w:p w14:paraId="67649F61" w14:textId="77777777" w:rsidR="004368D7" w:rsidRDefault="004368D7" w:rsidP="00CA3614">
      <w:pPr>
        <w:jc w:val="center"/>
        <w:rPr>
          <w:rFonts w:ascii="Cambria" w:hAnsi="Cambria"/>
          <w:b/>
          <w:sz w:val="24"/>
          <w:szCs w:val="24"/>
        </w:rPr>
      </w:pPr>
    </w:p>
    <w:p w14:paraId="17648F55" w14:textId="77777777" w:rsidR="0088691C" w:rsidRDefault="0088691C" w:rsidP="00CA3614">
      <w:pPr>
        <w:jc w:val="center"/>
        <w:rPr>
          <w:rFonts w:ascii="Cambria" w:hAnsi="Cambria"/>
          <w:b/>
          <w:sz w:val="24"/>
          <w:szCs w:val="24"/>
        </w:rPr>
      </w:pPr>
    </w:p>
    <w:p w14:paraId="092E6CD3" w14:textId="77777777" w:rsidR="0088691C" w:rsidRPr="00C53E13" w:rsidRDefault="0088691C" w:rsidP="0088691C">
      <w:pPr>
        <w:spacing w:line="240" w:lineRule="auto"/>
        <w:jc w:val="center"/>
        <w:rPr>
          <w:rFonts w:ascii="Times New Roman" w:hAnsi="Times New Roman"/>
          <w:sz w:val="24"/>
        </w:rPr>
      </w:pPr>
      <w:r w:rsidRPr="00C53E13">
        <w:rPr>
          <w:rFonts w:ascii="Times New Roman" w:hAnsi="Times New Roman"/>
          <w:sz w:val="24"/>
        </w:rPr>
        <w:t>Amber Himes-Cornell</w:t>
      </w:r>
      <w:r w:rsidRPr="00C53E13">
        <w:rPr>
          <w:rFonts w:ascii="Times New Roman" w:hAnsi="Times New Roman"/>
          <w:sz w:val="24"/>
          <w:vertAlign w:val="superscript"/>
        </w:rPr>
        <w:t>1</w:t>
      </w:r>
      <w:proofErr w:type="gramStart"/>
      <w:r w:rsidRPr="00C53E13">
        <w:rPr>
          <w:rFonts w:ascii="Times New Roman" w:hAnsi="Times New Roman"/>
          <w:sz w:val="24"/>
          <w:vertAlign w:val="superscript"/>
        </w:rPr>
        <w:t>,2</w:t>
      </w:r>
      <w:proofErr w:type="gramEnd"/>
      <w:r w:rsidRPr="00261A21">
        <w:rPr>
          <w:rFonts w:ascii="Times New Roman" w:eastAsia="Cambria" w:hAnsi="Times New Roman" w:cs="Times New Roman"/>
          <w:sz w:val="24"/>
          <w:szCs w:val="24"/>
          <w:vertAlign w:val="superscript"/>
        </w:rPr>
        <w:t>,*</w:t>
      </w:r>
      <w:r w:rsidRPr="00261A21">
        <w:rPr>
          <w:rFonts w:ascii="Times New Roman" w:eastAsia="Cambria" w:hAnsi="Times New Roman" w:cs="Times New Roman"/>
          <w:sz w:val="24"/>
          <w:szCs w:val="24"/>
        </w:rPr>
        <w:t>,</w:t>
      </w:r>
      <w:r w:rsidRPr="00C53E13">
        <w:rPr>
          <w:rFonts w:ascii="Times New Roman" w:hAnsi="Times New Roman"/>
          <w:sz w:val="24"/>
        </w:rPr>
        <w:t xml:space="preserve"> Susan O. Grose</w:t>
      </w:r>
      <w:r w:rsidRPr="00C53E13">
        <w:rPr>
          <w:rFonts w:ascii="Times New Roman" w:hAnsi="Times New Roman"/>
          <w:sz w:val="24"/>
          <w:vertAlign w:val="superscript"/>
        </w:rPr>
        <w:t>1</w:t>
      </w:r>
      <w:r w:rsidRPr="00C53E13">
        <w:rPr>
          <w:rFonts w:ascii="Times New Roman" w:hAnsi="Times New Roman"/>
          <w:sz w:val="24"/>
        </w:rPr>
        <w:t xml:space="preserve"> and Linwood</w:t>
      </w:r>
      <w:r>
        <w:rPr>
          <w:rFonts w:ascii="Times New Roman" w:eastAsia="Cambria" w:hAnsi="Times New Roman" w:cs="Times New Roman"/>
          <w:sz w:val="24"/>
          <w:szCs w:val="24"/>
        </w:rPr>
        <w:t xml:space="preserve"> </w:t>
      </w:r>
      <w:r w:rsidRPr="00D119D5">
        <w:rPr>
          <w:rFonts w:ascii="Cambria" w:eastAsia="Cambria" w:hAnsi="Cambria" w:cs="Cambria"/>
          <w:sz w:val="24"/>
          <w:szCs w:val="24"/>
        </w:rPr>
        <w:t>Pendleton</w:t>
      </w:r>
      <w:r>
        <w:rPr>
          <w:rFonts w:ascii="Cambria" w:eastAsia="Cambria" w:hAnsi="Cambria" w:cs="Cambria"/>
          <w:sz w:val="24"/>
          <w:szCs w:val="24"/>
          <w:vertAlign w:val="superscript"/>
        </w:rPr>
        <w:t>1</w:t>
      </w:r>
      <w:r w:rsidRPr="00C53E13">
        <w:rPr>
          <w:rFonts w:ascii="Times New Roman" w:hAnsi="Times New Roman"/>
          <w:sz w:val="24"/>
          <w:vertAlign w:val="superscript"/>
        </w:rPr>
        <w:t>,3</w:t>
      </w:r>
    </w:p>
    <w:p w14:paraId="55119A31" w14:textId="77777777" w:rsidR="0088691C" w:rsidRPr="00C53E13" w:rsidRDefault="0088691C" w:rsidP="0088691C">
      <w:pPr>
        <w:spacing w:line="240" w:lineRule="auto"/>
        <w:jc w:val="center"/>
        <w:rPr>
          <w:rFonts w:ascii="Times New Roman" w:hAnsi="Times New Roman"/>
          <w:sz w:val="24"/>
        </w:rPr>
      </w:pPr>
    </w:p>
    <w:p w14:paraId="1F5524D7" w14:textId="77777777" w:rsidR="0088691C" w:rsidRPr="00C53E13" w:rsidRDefault="0088691C" w:rsidP="0088691C">
      <w:pPr>
        <w:spacing w:line="240" w:lineRule="auto"/>
        <w:jc w:val="center"/>
        <w:rPr>
          <w:rFonts w:ascii="Times New Roman" w:hAnsi="Times New Roman"/>
          <w:sz w:val="24"/>
        </w:rPr>
      </w:pPr>
    </w:p>
    <w:p w14:paraId="20731A2F" w14:textId="77777777" w:rsidR="0088691C" w:rsidRPr="00C53E13" w:rsidRDefault="0088691C" w:rsidP="0088691C">
      <w:pPr>
        <w:pStyle w:val="NormalWeb"/>
        <w:spacing w:before="0" w:beforeAutospacing="0" w:after="0" w:afterAutospacing="0"/>
        <w:rPr>
          <w:rFonts w:eastAsia="Cambria"/>
        </w:rPr>
      </w:pPr>
      <w:r w:rsidRPr="00C53E13">
        <w:rPr>
          <w:rFonts w:eastAsia="Cambria"/>
          <w:vertAlign w:val="superscript"/>
        </w:rPr>
        <w:t>1</w:t>
      </w:r>
      <w:r w:rsidRPr="00C53E13">
        <w:rPr>
          <w:rFonts w:eastAsia="Cambria"/>
        </w:rPr>
        <w:t xml:space="preserve"> </w:t>
      </w:r>
      <w:r w:rsidRPr="00261A21">
        <w:rPr>
          <w:rFonts w:eastAsia="Cambria"/>
        </w:rPr>
        <w:t xml:space="preserve">University </w:t>
      </w:r>
      <w:r>
        <w:rPr>
          <w:rFonts w:eastAsia="Cambria"/>
        </w:rPr>
        <w:t>of Brest</w:t>
      </w:r>
      <w:r w:rsidRPr="00C53E13">
        <w:rPr>
          <w:rFonts w:eastAsia="Cambria"/>
        </w:rPr>
        <w:t xml:space="preserve">, </w:t>
      </w:r>
      <w:proofErr w:type="spellStart"/>
      <w:r w:rsidRPr="00C53E13">
        <w:rPr>
          <w:rFonts w:eastAsia="Cambria"/>
        </w:rPr>
        <w:t>Ifremer</w:t>
      </w:r>
      <w:proofErr w:type="spellEnd"/>
      <w:r w:rsidRPr="00C53E13">
        <w:rPr>
          <w:rFonts w:eastAsia="Cambria"/>
        </w:rPr>
        <w:t>, CNRS, UMR 6308, AMURE</w:t>
      </w:r>
      <w:r w:rsidRPr="005B4C8C">
        <w:rPr>
          <w:rFonts w:ascii="Cambria" w:eastAsia="Cambria" w:hAnsi="Cambria" w:cs="Cambria"/>
        </w:rPr>
        <w:t>,</w:t>
      </w:r>
      <w:r w:rsidRPr="00C53E13">
        <w:rPr>
          <w:rFonts w:eastAsia="Cambria"/>
        </w:rPr>
        <w:t xml:space="preserve"> IUEM, </w:t>
      </w:r>
      <w:r w:rsidRPr="005B4C8C">
        <w:rPr>
          <w:rFonts w:ascii="Cambria" w:eastAsia="Cambria" w:hAnsi="Cambria" w:cs="Cambria"/>
        </w:rPr>
        <w:t xml:space="preserve">29280, </w:t>
      </w:r>
      <w:proofErr w:type="spellStart"/>
      <w:r w:rsidRPr="00C53E13">
        <w:rPr>
          <w:rFonts w:eastAsia="Cambria"/>
        </w:rPr>
        <w:t>Plouzane</w:t>
      </w:r>
      <w:proofErr w:type="spellEnd"/>
      <w:r w:rsidRPr="00C53E13">
        <w:rPr>
          <w:rFonts w:eastAsia="Cambria"/>
        </w:rPr>
        <w:t xml:space="preserve">, France </w:t>
      </w:r>
    </w:p>
    <w:p w14:paraId="7AC03AE3" w14:textId="77777777" w:rsidR="0088691C" w:rsidRPr="00C53E13" w:rsidRDefault="0088691C" w:rsidP="0088691C">
      <w:pPr>
        <w:spacing w:line="240" w:lineRule="auto"/>
        <w:rPr>
          <w:rFonts w:ascii="Times New Roman" w:hAnsi="Times New Roman"/>
          <w:sz w:val="24"/>
        </w:rPr>
      </w:pPr>
      <w:r w:rsidRPr="00C53E13">
        <w:rPr>
          <w:rFonts w:ascii="Times New Roman" w:hAnsi="Times New Roman"/>
          <w:sz w:val="24"/>
          <w:vertAlign w:val="superscript"/>
        </w:rPr>
        <w:t xml:space="preserve">2 </w:t>
      </w:r>
      <w:r w:rsidRPr="00C53E13">
        <w:rPr>
          <w:rFonts w:ascii="Times New Roman" w:hAnsi="Times New Roman"/>
          <w:sz w:val="24"/>
        </w:rPr>
        <w:t xml:space="preserve">UN Food and Agriculture Organization, </w:t>
      </w:r>
      <w:r w:rsidRPr="00261A21">
        <w:rPr>
          <w:rFonts w:ascii="Times New Roman" w:eastAsia="Cambria" w:hAnsi="Times New Roman" w:cs="Times New Roman"/>
          <w:sz w:val="24"/>
          <w:szCs w:val="24"/>
        </w:rPr>
        <w:t>Fisheries</w:t>
      </w:r>
      <w:r>
        <w:rPr>
          <w:rFonts w:ascii="Times New Roman" w:eastAsia="Cambria" w:hAnsi="Times New Roman" w:cs="Times New Roman"/>
          <w:sz w:val="24"/>
          <w:szCs w:val="24"/>
        </w:rPr>
        <w:t xml:space="preserve"> </w:t>
      </w:r>
      <w:r w:rsidRPr="00261A21">
        <w:rPr>
          <w:rFonts w:ascii="Times New Roman" w:eastAsia="Cambria" w:hAnsi="Times New Roman" w:cs="Times New Roman"/>
          <w:sz w:val="24"/>
          <w:szCs w:val="24"/>
        </w:rPr>
        <w:t xml:space="preserve">and Aquaculture Division, </w:t>
      </w:r>
      <w:r w:rsidRPr="00261A21">
        <w:rPr>
          <w:rFonts w:ascii="Times New Roman" w:eastAsia="Cambria" w:hAnsi="Times New Roman" w:cs="Times New Roman"/>
          <w:color w:val="222222"/>
          <w:sz w:val="24"/>
          <w:szCs w:val="24"/>
          <w:highlight w:val="white"/>
        </w:rPr>
        <w:t>Rom</w:t>
      </w:r>
      <w:r>
        <w:rPr>
          <w:rFonts w:ascii="Times New Roman" w:eastAsia="Cambria" w:hAnsi="Times New Roman" w:cs="Times New Roman"/>
          <w:color w:val="222222"/>
          <w:sz w:val="24"/>
          <w:szCs w:val="24"/>
          <w:highlight w:val="white"/>
        </w:rPr>
        <w:t>e</w:t>
      </w:r>
      <w:r w:rsidRPr="00C53E13">
        <w:rPr>
          <w:rFonts w:ascii="Times New Roman" w:hAnsi="Times New Roman"/>
          <w:color w:val="222222"/>
          <w:sz w:val="24"/>
          <w:highlight w:val="white"/>
        </w:rPr>
        <w:t>, Italy</w:t>
      </w:r>
    </w:p>
    <w:p w14:paraId="3BA0110C" w14:textId="77777777" w:rsidR="0088691C" w:rsidRPr="00C53E13" w:rsidRDefault="0088691C" w:rsidP="0088691C">
      <w:pPr>
        <w:pStyle w:val="NormalWeb"/>
        <w:spacing w:before="0" w:beforeAutospacing="0" w:after="0" w:afterAutospacing="0"/>
        <w:rPr>
          <w:rFonts w:eastAsia="Cambria"/>
        </w:rPr>
      </w:pPr>
      <w:r w:rsidRPr="00C53E13">
        <w:rPr>
          <w:rFonts w:eastAsia="Cambria"/>
          <w:vertAlign w:val="superscript"/>
        </w:rPr>
        <w:t xml:space="preserve">3 </w:t>
      </w:r>
      <w:r w:rsidRPr="00C53E13">
        <w:rPr>
          <w:rFonts w:eastAsia="Cambria"/>
        </w:rPr>
        <w:t>World Wildlife Fund, Global Science, Washington, D.C</w:t>
      </w:r>
      <w:r w:rsidRPr="00261A21">
        <w:rPr>
          <w:rFonts w:eastAsia="Cambria"/>
        </w:rPr>
        <w:t>., USA</w:t>
      </w:r>
    </w:p>
    <w:p w14:paraId="06BAD97F" w14:textId="77777777" w:rsidR="0088691C" w:rsidRPr="00C53E13" w:rsidRDefault="0088691C" w:rsidP="0088691C">
      <w:pPr>
        <w:pStyle w:val="NormalWeb"/>
        <w:spacing w:before="0" w:beforeAutospacing="0" w:after="0" w:afterAutospacing="0"/>
        <w:rPr>
          <w:rFonts w:eastAsia="Cambria"/>
        </w:rPr>
      </w:pPr>
    </w:p>
    <w:p w14:paraId="07DB7544" w14:textId="77777777" w:rsidR="0088691C" w:rsidRDefault="0088691C" w:rsidP="00CA3614">
      <w:pPr>
        <w:jc w:val="center"/>
        <w:rPr>
          <w:rFonts w:ascii="Cambria" w:hAnsi="Cambria"/>
          <w:b/>
          <w:sz w:val="24"/>
          <w:szCs w:val="24"/>
        </w:rPr>
      </w:pPr>
    </w:p>
    <w:p w14:paraId="1C12EC07" w14:textId="39F62CD5" w:rsidR="004368D7" w:rsidRDefault="004368D7">
      <w:pPr>
        <w:rPr>
          <w:rFonts w:ascii="Cambria" w:hAnsi="Cambria"/>
          <w:b/>
          <w:sz w:val="24"/>
          <w:szCs w:val="24"/>
        </w:rPr>
      </w:pPr>
      <w:r>
        <w:rPr>
          <w:rFonts w:ascii="Cambria" w:hAnsi="Cambria"/>
          <w:b/>
          <w:sz w:val="24"/>
          <w:szCs w:val="24"/>
        </w:rPr>
        <w:br w:type="page"/>
      </w:r>
    </w:p>
    <w:p w14:paraId="5204316F" w14:textId="0C64CF31" w:rsidR="004368D7" w:rsidRDefault="004368D7" w:rsidP="004368D7">
      <w:pPr>
        <w:spacing w:after="0"/>
        <w:rPr>
          <w:rFonts w:ascii="Cambria" w:hAnsi="Cambria"/>
          <w:sz w:val="24"/>
          <w:szCs w:val="16"/>
        </w:rPr>
      </w:pPr>
      <w:r>
        <w:rPr>
          <w:rFonts w:ascii="Cambria" w:hAnsi="Cambria"/>
          <w:sz w:val="24"/>
          <w:szCs w:val="16"/>
        </w:rPr>
        <w:lastRenderedPageBreak/>
        <w:t>Table A1. Ecosystem service values in US$ per ha per year for mangrove ecosystems.</w:t>
      </w:r>
    </w:p>
    <w:p w14:paraId="661FBBCF" w14:textId="77777777" w:rsidR="004368D7" w:rsidRDefault="004368D7" w:rsidP="004368D7">
      <w:pPr>
        <w:spacing w:after="0"/>
        <w:rPr>
          <w:rFonts w:ascii="Cambria" w:hAnsi="Cambria"/>
          <w:sz w:val="24"/>
          <w:szCs w:val="16"/>
        </w:rPr>
      </w:pPr>
    </w:p>
    <w:tbl>
      <w:tblPr>
        <w:tblStyle w:val="2"/>
        <w:tblW w:w="94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5"/>
        <w:gridCol w:w="7020"/>
      </w:tblGrid>
      <w:tr w:rsidR="004368D7" w:rsidRPr="004A65FD" w14:paraId="6C7ECCA9" w14:textId="77777777" w:rsidTr="004368D7">
        <w:trPr>
          <w:tblHeader/>
        </w:trPr>
        <w:tc>
          <w:tcPr>
            <w:tcW w:w="2395" w:type="dxa"/>
            <w:shd w:val="clear" w:color="auto" w:fill="auto"/>
            <w:tcMar>
              <w:top w:w="100" w:type="dxa"/>
              <w:left w:w="100" w:type="dxa"/>
              <w:bottom w:w="100" w:type="dxa"/>
              <w:right w:w="100" w:type="dxa"/>
            </w:tcMar>
          </w:tcPr>
          <w:p w14:paraId="20500D71" w14:textId="77777777" w:rsidR="004368D7" w:rsidRPr="004A65FD" w:rsidRDefault="004368D7" w:rsidP="00575495">
            <w:pPr>
              <w:widowControl w:val="0"/>
              <w:spacing w:line="240" w:lineRule="auto"/>
              <w:rPr>
                <w:rFonts w:ascii="Cambria" w:eastAsia="Cambria" w:hAnsi="Cambria" w:cs="Cambria"/>
                <w:b/>
                <w:szCs w:val="24"/>
              </w:rPr>
            </w:pPr>
            <w:r w:rsidRPr="004A65FD">
              <w:rPr>
                <w:rFonts w:ascii="Cambria" w:eastAsia="Cambria" w:hAnsi="Cambria" w:cs="Cambria"/>
                <w:b/>
                <w:szCs w:val="24"/>
              </w:rPr>
              <w:t>Ecosystem service</w:t>
            </w:r>
          </w:p>
        </w:tc>
        <w:tc>
          <w:tcPr>
            <w:tcW w:w="7020" w:type="dxa"/>
            <w:shd w:val="clear" w:color="auto" w:fill="auto"/>
            <w:tcMar>
              <w:top w:w="100" w:type="dxa"/>
              <w:left w:w="100" w:type="dxa"/>
              <w:bottom w:w="100" w:type="dxa"/>
              <w:right w:w="100" w:type="dxa"/>
            </w:tcMar>
            <w:vAlign w:val="bottom"/>
          </w:tcPr>
          <w:p w14:paraId="0949BA5A" w14:textId="77777777" w:rsidR="004368D7" w:rsidRPr="004A65FD" w:rsidRDefault="004368D7" w:rsidP="00575495">
            <w:pPr>
              <w:widowControl w:val="0"/>
              <w:spacing w:line="240" w:lineRule="auto"/>
              <w:jc w:val="center"/>
              <w:rPr>
                <w:rFonts w:ascii="Cambria" w:eastAsia="Cambria" w:hAnsi="Cambria" w:cs="Cambria"/>
                <w:b/>
                <w:szCs w:val="24"/>
              </w:rPr>
            </w:pPr>
            <w:r w:rsidRPr="004A65FD">
              <w:rPr>
                <w:rFonts w:ascii="Cambria" w:eastAsia="Cambria" w:hAnsi="Cambria" w:cs="Cambria"/>
                <w:b/>
                <w:szCs w:val="24"/>
              </w:rPr>
              <w:t>Example values (per ha per year)</w:t>
            </w:r>
          </w:p>
        </w:tc>
      </w:tr>
      <w:tr w:rsidR="004368D7" w:rsidRPr="004A65FD" w14:paraId="3BDB2E1A" w14:textId="77777777" w:rsidTr="004368D7">
        <w:tc>
          <w:tcPr>
            <w:tcW w:w="2395" w:type="dxa"/>
            <w:shd w:val="clear" w:color="auto" w:fill="auto"/>
            <w:tcMar>
              <w:top w:w="100" w:type="dxa"/>
              <w:left w:w="100" w:type="dxa"/>
              <w:bottom w:w="100" w:type="dxa"/>
              <w:right w:w="100" w:type="dxa"/>
            </w:tcMar>
          </w:tcPr>
          <w:p w14:paraId="577E518D"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t>Food</w:t>
            </w:r>
          </w:p>
        </w:tc>
        <w:tc>
          <w:tcPr>
            <w:tcW w:w="7020" w:type="dxa"/>
            <w:shd w:val="clear" w:color="auto" w:fill="auto"/>
            <w:tcMar>
              <w:top w:w="100" w:type="dxa"/>
              <w:left w:w="100" w:type="dxa"/>
              <w:bottom w:w="100" w:type="dxa"/>
              <w:right w:w="100" w:type="dxa"/>
            </w:tcMar>
          </w:tcPr>
          <w:p w14:paraId="645F0296"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US$5.75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"Programs such as REDD (reducing emissions from deforestation and forest degradation) that provide financial incentives to maintain natural carbon stocks are being implemented worldwide to address climate change and the conservation of threatened ecosystems. In developing countries, where the relative cost of conservation is high, these programs are especially attractive to promote sustainable resource use and prevent conversion of valuable ecosystems to other land uses. \r\n To incorporate REDD effectively in these areas, the financial costs and benefits resulting from the project implementation needs to be accessed. Quantification of income received from ecosystem services under baseline and project scenarios needs to be estimated, along with other costs of conservation management in order for a comprehensive comparison to be done. Ensuring that the project not only generates additional value, but also promotes the livelihoods of communities that rely on these ecosystems is key to the long-term sustainability of conservation efforts. \r\n This report serves as a cost-benefit analysis case study in Ambro-Ambanja Bay, Madagascar. This financial analysis looks at Blue Ventures\u2019 proposed conservation of mangrove forests in Northwestern Madagascar using a REDD project. Project cash flows center around net income derived from certain ecosystem services, carbon income generated from REDD and project implementation and transaction costs. One limitation of this analysis is the exclusion of several partial, indirect and non-use ecosystem services provided by the Ambro-Ambanja Bay mangrove forest. To address this, a total economic valuation framework of all ecosystem services provided by Ambro-Ambanja Bay mangroves was created to provide additional insight into the entire estimated value of healthy mangrove forests. \r\n The first chapter of this report provides a background on mangrove ecosystems, the state of Ambaro-Ambanja Bay mangroves, and the general objectives of the proposed project. \r\n The second chapter provides an overview of methods used to estimate deforestation, methods used to derive the net income generated from various ecosystem services, and estimates of the costs associated with the project. The chapter details how these costs and benefits were derived under the baseline and project scenarios to provide insight on the impacts the two scenarios have on the estimated financial cash flows. \r\n The third chapter consists of a financial analysis of the pro\u2026", "author" : [ { "dropping-particle" : "", "family" : "Witt", "given" : "Emily", "non-dropping-particle" : "", "parse-names" : false, "suffix" : "" } ], "id" : "ITEM-1", "issued" : { "date-parts" : [ [ "2016" ] ] }, "publisher" : "Duke University", "title" : "A Financial and Economic Assessment of the Conservation of Northwestern Madagascar Mangroves", "type" : "thesis" }, "uris" : [ "http://www.mendeley.com/documents/?uuid=1dfa0450-c9e7-43e7-97ce-ffac8ee4c323" ] } ], "mendeley" : { "formattedCitation" : "(Witt, 2016)", "plainTextFormattedCitation" : "(Witt, 2016)", "previouslyFormattedCitation" : "(Witt, 2016)"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(Witt, 2016)</w:t>
            </w:r>
            <w:r w:rsidRPr="004A65FD">
              <w:rPr>
                <w:rFonts w:ascii="Cambria" w:eastAsia="Cambria" w:hAnsi="Cambria" w:cs="Cambria"/>
                <w:szCs w:val="24"/>
              </w:rPr>
              <w:fldChar w:fldCharType="end"/>
            </w:r>
            <w:r w:rsidRPr="004A65FD">
              <w:rPr>
                <w:rFonts w:ascii="Cambria" w:eastAsia="Cambria" w:hAnsi="Cambria" w:cs="Cambria"/>
                <w:szCs w:val="24"/>
              </w:rPr>
              <w:t xml:space="preserve">, US$ 90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"10.1051/kmae/2009009", "ISSN" : "1961-9502", "abstract" : "Wetlands, including mangroves, perform several functions such as inundation control, and protection from erosion, storm, floods and tidal damage, and generate goods and products such as fish and forest resources. These functions are of fundamental importance for society. The present study aims to identify the challenges of the mangrove wetlands of north Malabar, their uses and socio-economic influence on local people, and the value of ecosystem services, and to suggest the way forward for sustainable development.", "author" : [ { "dropping-particle" : "", "family" : "Khaleel", "given" : "K. M.", "non-dropping-particle" : "", "parse-names" : false, "suffix" : "" }, { "dropping-particle" : "", "family" : "Jaleel", "given" : "C. A.", "non-dropping-particle" : "", "parse-names" : false, "suffix" : "" }, { "dropping-particle" : "", "family" : "Jaleel", "given" : "C. A.", "non-dropping-particle" : "", "parse-names" : false, "suffix" : "" } ], "container-title" : "KNOWLEDGE AND MANAGEMENT OF AQUATIC ECOSYSTEMS", "id" : "ITEM-1", "issue" : "392", "issued" : { "date-parts" : [ [ "2009", "5", "12" ] ] }, "page" : "03", "publisher" : "EDP Sciences", "title" : "Environmental challenges to the mangrove wetlands of North Malabar (Kerala), India: Their sustainable development and influence on local people", "type" : "article-journal" }, "uris" : [ "http://www.mendeley.com/documents/?uuid=8094bb54-efa3-4bef-a0d4-046a9fb85dc8" ] }, { "id" : "ITEM-2",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"ITEM-2",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Khaleel et al., 2009)", "plainTextFormattedCitation" : "(Khaleel, 2012; Khaleel et al., 2009)", "previouslyFormattedCitation" : "(Khaleel, 2012; Khaleel et al., 2009)"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 Khaleel et al., 2009)</w:t>
            </w:r>
            <w:r w:rsidRPr="004A65FD">
              <w:rPr>
                <w:rFonts w:ascii="Cambria" w:eastAsia="Cambria" w:hAnsi="Cambria" w:cs="Cambria"/>
                <w:szCs w:val="24"/>
              </w:rPr>
              <w:fldChar w:fldCharType="end"/>
            </w:r>
            <w:r w:rsidRPr="004A65FD">
              <w:rPr>
                <w:rFonts w:ascii="Cambria" w:eastAsia="Cambria" w:hAnsi="Cambria" w:cs="Cambria"/>
                <w:szCs w:val="24"/>
              </w:rPr>
              <w:t xml:space="preserve">, US$212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"http://dx.doi.org/10.1071/MF15066", "ISSN" : "1323-1650", "abstract" : "The Niger Delta, being the most extensive freshwater wetland and aquatic ecosystem in West Africa, provides numerous services both to local people and to the West African economy. Ongoing environmental pressure exerted by large-scale oil extraction and illegal timber logging, however, are suspected to have had a substantial impact on the Delta\u2019s ecosystems over the last decades. Knowledge on impact of these activities on the region\u2019s wetlands now or in the past is scarce and patchy. To address this lack of knowledge, this study assesses spatiotemporal changes in two wetlands in the region by using satellite data from 1984 to 2011 and GIS methods. The results show that both wetlands have experienced substantial degradation, particularly with respect to the area of forest lost. Although comprehensive environmental protection laws were introduced in 1988, ecosystem services of up to US$65 million in value were lost over the study period. The introduction of new legislation in 2007, however, is potentially a first step towards a more \u2018wise use\u2019 of wetlands in Nigeria.", "author" : [ { "dropping-particle" : "", "family" : "Ayanlade", "given" : "Ayansina", "non-dropping-particle" : "", "parse-names" : false, "suffix" : "" }, { "dropping-particle" : "", "family" : "Proske", "given" : "Ulrike", "non-dropping-particle" : "", "parse-names" : false, "suffix" : "" } ], "container-title" : "Marine and Freshwater Research", "id" : "ITEM-1", "issued" : { "date-parts" : [ [ "2015" ] ] }, "page" : "828-836", "title" : "Assessing wetland degradation and loss of ecosystem services in the Niger Delta, Nigeria", "type" : "article-journal" }, "uris" : [ "http://www.mendeley.com/documents/?uuid=10e6e7c4-c819-4335-aa8f-a7eccac31475" ] } ], "mendeley" : { "formattedCitation" : "(Ayanlade and Proske, 2015)", "plainTextFormattedCitation" : "(Ayanlade and Proske, 2015)", "previouslyFormattedCitation" : "(Ayanlade and Proske, 2015)"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(Ayanlade and Proske, 2015)</w:t>
            </w:r>
            <w:r w:rsidRPr="004A65FD">
              <w:rPr>
                <w:rFonts w:ascii="Cambria" w:eastAsia="Cambria" w:hAnsi="Cambria" w:cs="Cambria"/>
                <w:szCs w:val="24"/>
              </w:rPr>
              <w:fldChar w:fldCharType="end"/>
            </w:r>
            <w:r w:rsidRPr="004A65FD">
              <w:rPr>
                <w:rFonts w:ascii="Cambria" w:eastAsia="Cambria" w:hAnsi="Cambria" w:cs="Cambria"/>
                <w:szCs w:val="24"/>
              </w:rPr>
              <w:t xml:space="preserve">, US$418.07-776.40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"Management is to produce professionals with unrivaled training in environmental science and management who will devote their unique skills to the diagnosis, assessment, mitigation, prevention, and remedy of the environmental problems of today and the future. A guiding principal of the School is that the analysis of environmental problems requires quantitative training in more than one discipline and an awareness of the physical, biological, social, political, and economic consequences that arise from scientific or technological decisions. The Group Project is required of all students in the Master's of Environmental Science and Management (MESM) Program. It is a three-quarter activity in which small groups of students conduct focused, interdisciplinary research on the scientific, management, and policy dimensions of a specific environmental issue.", "author" : [ { "dropping-particle" : "", "family" : "Clark", "given" : "Sarah", "non-dropping-particle" : "", "parse-names" : false, "suffix" : "" }, { "dropping-particle" : "", "family" : "Grossman", "given" : "Teo", "non-dropping-particle" : "", "parse-names" : false, "suffix" : "" }, { "dropping-particle" : "", "family" : "Przyuski", "given" : "Nick", "non-dropping-particle" : "", "parse-names" : false, "suffix" : "" }, { "dropping-particle" : "", "family" : "Shinn", "given" : "Cassidee", "non-dropping-particle" : "", "parse-names" : false, "suffix" : "" }, { "dropping-particle" : "", "family" : "Storz", "given" : "Danielle", "non-dropping-particle" : "", "parse-names" : false, "suffix" : "" } ], "id" : "ITEM-1", "issued" : { "date-parts" : [ [ "2012" ] ] }, "publisher" : "University of California at Santa Barbara", "title" : "Ecosystem-based Adaptation to Climate Change: A Cost-Benefit Analysis", "type" : "thesis" }, "uris" : [ "http://www.mendeley.com/documents/?uuid=d796ff39-0552-412a-bc0e-4aa685509dce" ] } ], "mendeley" : { "formattedCitation" : "(Clark et al., 2012)", "plainTextFormattedCitation" : "(Clark et al., 2012)", "previouslyFormattedCitation" : "(Clark et al., 2012)"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(Clark et al., 2012)</w:t>
            </w:r>
            <w:r w:rsidRPr="004A65FD">
              <w:rPr>
                <w:rFonts w:ascii="Cambria" w:eastAsia="Cambria" w:hAnsi="Cambria" w:cs="Cambria"/>
                <w:szCs w:val="24"/>
              </w:rPr>
              <w:fldChar w:fldCharType="end"/>
            </w:r>
            <w:r w:rsidRPr="004A65FD">
              <w:rPr>
                <w:rFonts w:ascii="Cambria" w:eastAsia="Cambria" w:hAnsi="Cambria" w:cs="Cambria"/>
                <w:szCs w:val="24"/>
              </w:rPr>
              <w:t xml:space="preserve">, US$450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US$577-980.18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"Mangroves provide an abundant supply of ecosystem services such as coastal protection, fish nursery, recreation, and carbon sequestration. After a severe loss of mangroves predominately due to shrimp farming from 1969 to 2000, Ecuador realized the importance of mangroves and their related ecosystem services. In response, the government\u2019s interest grew to understand ecosystem services valuation (ESV) models that provide robust valuation for the ecosystem services(ES). \r\n Working with the Conservation Strategy Fund (CSF), this report identified and evaluated applicable ESV models, valued and mapped the ecosystem services values of Ecuadorian mangrove with ESV models. \r\n This report aims to calculate the value of ecosystem services of mangroves with the existing modeling tools. The following models were initially considered: InVEST, AIRES, MIMES, Co$ting Nature, EcoServ, LUCI, and SolVES. Each model is different, and therefore likely to generate a different valuation of ecosystem services for the same area. \r\n In addition, the report compared the variance within models for four different scenarios: status-quo, lose-all, reforestation, full-recovery. Results include both numerical information and highlight the usefulness of each different modeling tool. Based on results and analyses, suggestions are made on suitable ESV models for mangrove ecosystems, and decision support information are provided to Socio Manglar program of Ministry of Environment of Ecuador.", "author" : [ { "dropping-particle" : "", "family" : "Burgess", "given" : "Paul", "non-dropping-particle" : "", "parse-names" : false, "suffix" : "" }, { "dropping-particle" : "", "family" : "Li", "given" : "Xiangyi", "non-dropping-particle" : "", "parse-names" : false, "suffix" : "" }, { "dropping-particle" : "", "family" : "Qin", "given" : "Siyu", "non-dropping-particle" : "", "parse-names" : false, "suffix" : "" } ], "id" : "ITEM-1", "issued" : { "date-parts" : [ [ "2015" ] ] }, "page" : "59", "title" : "Mangroves in Ecuador: An application and comparison of ecosystem service models", "type" : "article-journal" }, "uris" : [ "http://www.mendeley.com/documents/?uuid=e363bc2d-353e-4c79-bf12-6e24fce132ff" ] } ], "mendeley" : { "formattedCitation" : "(Burgess et al., 2015)", "plainTextFormattedCitation" : "(Burgess et al., 2015)", "previouslyFormattedCitation" : "(Burgess et al., 2015)"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(Burgess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US$797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"Kala Oya Basin (KGB) is one of the largest river basins in Sri Lanka which covers an area of around 2,870 knr and expands over three provinces and four districts. The river basin covers many different types of ecosystems, valuable biodiversity resources and characterized by conflicting user interests and serious degradation issues. The present study attempts valuation of ecosystem services provided by the river basin and aims at providing recommendations for river basin management. Carbon storage and soil conservation functions, recreation, production services of homegardens, and mangrove services were valued using data collectedfrom various primary and secondary sources and using benefit transfer approach as the main valuation method. The annual value of the ecosystem services of the KGB is Rs million 23,500. The highest economic value was resulted from the carbon values (77%). The estimated value represents 1.16% ofGDP (of2004) of the country and 7.33% of the agricultural sector GDP which highlights the significance of the potential economic gains of the basin. Development of appropriation mechanisms for the yet unrealized values and identification of conservation and monitoring priorities are the key issues identified by the present study However the study emphasizes the needfor more complex models that integrate economics, hydrology, and equity aspects which could ensure long term sustenance of the service provision of the river basin.", "author" : [ { "dropping-particle" : "", "family" : "Gunawardena", "given" : "UAD Prasanthi", "non-dropping-particle" : "", "parse-names" : false, "suffix" : "" } ], "container-title" : "Vidyodaya Jounal of Humanities and Social Science Joint Golden Jubilee Issue of Vidyodaya", "id" : "ITEM-1", "issued" : { "date-parts" : [ [ "2009" ] ] }, "page" : "239-266", "title" : "Valuation of Ecosystem Services of Kala Oya River Basin: Implications for River Basin Management", "type" : "article-journal" }, "uris" : [ "http://www.mendeley.com/documents/?uuid=296e5d04-10b9-4561-9cde-c4a910bb916b" ] } ], "mendeley" : { "formattedCitation" : "(Gunawardena, 2009)", "plainTextFormattedCitation" : "(Gunawardena, 2009)", "previouslyFormattedCitation" : "(Gunawardena, 2009)"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(Gunawardena, 2009)</w:t>
            </w:r>
            <w:r w:rsidRPr="004A65FD">
              <w:rPr>
                <w:rFonts w:ascii="Cambria" w:eastAsia="Cambria" w:hAnsi="Cambria" w:cs="Cambria"/>
                <w:szCs w:val="24"/>
              </w:rPr>
              <w:fldChar w:fldCharType="end"/>
            </w:r>
            <w:r w:rsidRPr="004A65FD">
              <w:rPr>
                <w:rFonts w:ascii="Cambria" w:eastAsia="Cambria" w:hAnsi="Cambria" w:cs="Cambria"/>
                <w:szCs w:val="24"/>
              </w:rPr>
              <w:t xml:space="preserve">, US$1,225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"10.1016/j.ecolecon.2012.07.018", "ISSN" : "0921-8009", "abstract" : "In the central region of the Gulf of Mexico, urban growth occurs mainly\nto support tourism and results in loss of natural ecosystems and\necosystem services. Our objectives were to analyze land use changes and\ncalculate the value of these changes in terms of lost ecosystem\nservices. We selected three study sites with contrasting infrastructure\nfor tourism: Boca del Rio, Chachalacas and Costa Esmeralda. From\n1995-2006, we found that urban sprawl was predominant, and occurred over\nmangroves, grasslands, croplands and the beach. Using the benefit\ntransfer method, we calculated a net loss (SUS 2006/ha/year) of $1.4 x\n10(3) in Boca del Rio. $7 x 10(5) in Chachalacas and $1 x 10(5) in\nCosta Esmeralda. Because the value of urban land is higher (from 45,000\nUSD/ha (2006) in Costa Esmeralda to 6 million in Boca del Rio) than the\ntotal estimated Ecosystem Services Value (106,000 USD/ha, including all\necosystems and ecosystem services), land use change may seem\neconomically profitable. However, after losing ecosystem services such\nas coastal protection or scenic value and recreation, the apparent gains\nfrom urban development are lost. Land use and policy making should\nconsider ecosystem service losses so that ecosystems are preserved and\nsociety benefited. (c) 2012 Elsevier B.V. All rights reserved.", "author" : [ { "dropping-particle" : "", "family" : "Mendoza-Gonzalez", "given" : "G", "non-dropping-particle" : "", "parse-names" : false, "suffix" : "" }, { "dropping-particle" : "", "family" : "Martinez", "given" : "M L", "non-dropping-particle" : "", "parse-names" : false, "suffix" : "" }, { "dropping-particle" : "", "family" : "Lithgow", "given" : "D", "non-dropping-particle" : "", "parse-names" : false, "suffix" : "" }, { "dropping-particle" : "", "family" : "Perez-Maqueo", "given" : "O", "non-dropping-particle" : "", "parse-names" : false, "suffix" : "" }, { "dropping-particle" : "", "family" : "Simonin", "given" : "P", "non-dropping-particle" : "", "parse-names" : false, "suffix" : "" } ], "container-title" : "ECOLOGICAL ECONOMICS", "id" : "ITEM-1", "issued" : { "date-parts" : [ [ "2012", "10" ] ] }, "page" : "23-32", "title" : "Land use change and its effects on the value of ecosystem services along the coast of the Gulf of Mexico", "type" : "article-journal", "volume" : "82" }, "uris" : [ "http://www.mendeley.com/documents/?uuid=9d38bd07-d154-4f88-ad0a-c018d4f70c36" ] } ], "mendeley" : { "formattedCitation" : "(Mendoza-Gonzalez et al., 2012)", "plainTextFormattedCitation" : "(Mendoza-Gonzalez et al., 2012)", "previouslyFormattedCitation" : "(Mendoza-Gonzalez et al., 2012)"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(Mendoza-Gonzalez et al., 2012)</w:t>
            </w:r>
            <w:r w:rsidRPr="004A65FD">
              <w:rPr>
                <w:rFonts w:ascii="Cambria" w:eastAsia="Cambria" w:hAnsi="Cambria" w:cs="Cambria"/>
                <w:szCs w:val="24"/>
              </w:rPr>
              <w:fldChar w:fldCharType="end"/>
            </w:r>
            <w:r w:rsidRPr="004A65FD">
              <w:rPr>
                <w:rFonts w:ascii="Cambria" w:eastAsia="Cambria" w:hAnsi="Cambria" w:cs="Cambria"/>
                <w:szCs w:val="24"/>
              </w:rPr>
              <w:t xml:space="preserve">, US$8,700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"10.1007/s11852-010-0133-0", "ISSN" : "1400-0350", "abstract" : "This study aimed at the ecological-economic valuation of the Potengi estuary mangrove wetlands, based on the integration of spatial data (mangrove forest coverage map, Nautical Chart, Environmental Sensitivity Chart) with data from literature on the biogeochemistry of nitrogen (N), phosphorus (P), and heavy metals in the mangrove estuary wetland Potengi) and field verification data (topographic profile of mangrove forest, GPS routes obtained in the field in the touristy sightseeing areas and plots of mariculture). The ecological and economic valuation of the services performed by the Potengi estuary mangrove wetlands, mainly as biogeochemical barrier for the transport of P, N and heavy metals in tropical coastal areas, were obtained just as if the retention of those elements was necessary by Wastewater Treatment Plants (WTP) with Stabilization Ponds, typical in the estuary, and Zeolitic plant, respectively. Closer to real scenarios were observed for obtaining the values of these ecological services, such as the release of the P, N and heavy metals in domestic and industrial sewage in the estuary, the capability of dilution and the influence of the tides in the estuary. The tourism potential of the Potengi estuary mangrove wetlands were assessed according to the current forms of use, and potential of aquaculture through the main types of farming in mangrove areas. For these ecological services, considerable values were obtained of about USS15,500/ha, such as costs of implementation and construction of sewage treatment plants, as well as costs of sewage treatment plants. Nearly US$ 12.500 / ha amount each year from tourism and aquaculture income, demonstrating the economic viability of the Potengi estuary mangrove wetlands conservation.", "author" : [ { "dropping-particle" : "", "family" : "Souza", "given" : "Flavo E S", "non-dropping-particle" : "", "parse-names" : false, "suffix" : "" }, { "dropping-particle" : "", "family" : "Silva", "given" : "Carlos Augusto", "non-dropping-particle" : "", "parse-names" : false, "suffix" : "" } ], "container-title" : "JOURNAL OF COASTAL CONSERVATION", "id" : "ITEM-1", "issue" : "1", "issued" : { "date-parts" : [ [ "2011", "3" ] ] }, "page" : "195-206", "title" : "Ecological and economic valuation of the Potengi estuary mangrove wetlands (NE, Brazil) using ancillary spatial data", "type" : "article-journal", "volume" : "15" }, "uris" : [ "http://www.mendeley.com/documents/?uuid=b5fbe667-3ff9-452e-8c98-2c35cbf8777e" ] } ], "mendeley" : { "formattedCitation" : "(Souza and Silva, 2011)", "plainTextFormattedCitation" : "(Souza and Silva, 2011)", "previouslyFormattedCitation" : "(Souza and Silva, 2011)"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(Souza and Silva, 2011)</w:t>
            </w:r>
            <w:r w:rsidRPr="004A65FD">
              <w:rPr>
                <w:rFonts w:ascii="Cambria" w:eastAsia="Cambria" w:hAnsi="Cambria" w:cs="Cambria"/>
                <w:szCs w:val="24"/>
              </w:rPr>
              <w:fldChar w:fldCharType="end"/>
            </w:r>
            <w:r w:rsidRPr="004A65FD">
              <w:rPr>
                <w:rFonts w:ascii="Cambria" w:eastAsia="Cambria" w:hAnsi="Cambria" w:cs="Cambria"/>
                <w:szCs w:val="24"/>
              </w:rPr>
              <w:t xml:space="preserve">, US$23,613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report presents an overview assessment of ecosystem services of the Kingdom of Bahrain, as part of the supporting documentation that together with the Biodiversity Baseline Report, Stakeholder Analysis, and Protected Area Strategy, all comprise foundational elements for the development of an update to the National Biodiversity Strategy and Action Plan (NBSAP) and the revision of the CBD Fifth National Report of the Kingdom of Bahrain. Several methodologies were used in the Ecosystem Services Assessment, drawing on available data and published studies. The main ecosystem services being provided by the terrestrial and marine natural habitats of the Kingdom of Bahrain are first described, then summarized in terms of classes of ecosystem services being provided. Geographical areas within the Kingdom of Bahrain where there are potentially significant concentrations of ecosystem services are also highlighted. Valuation of the ecosystem services of the Kingdom of Bahrain is not possible without economic studies that utilize contingent valuation, travel cost method, and other social surveys. However, ranges of potential values are estimated using available information and benefits transfer, i.e. information derived from studies of that service in other parts of the world. In the absence of contingent valuation surveys of residents, visitors, and businessmen, these estimates of the ranges of values can provide a sense of the potential for investing in natural capital, as well as adequate information for trade-off analyses. The limitations of benefits transfer and the ways in which subsequent research in the Kingdom of Bahrain could fill data gaps and contextualize the ecosystem services valuation are discussed.", "author" : [ { "dropping-particle" : "", "family" : "Mubarak Bin Daina", "given" : "Mohamed", "non-dropping-particle" : "", "parse-names" : false, "suffix" : "" }, { "dropping-particle" : "", "family" : "Khamis", "given" : "Abdelqader", "non-dropping-particle" : "", "parse-names" : false, "suffix" : "" }, { "dropping-particle" : "", "family" : "Alqassim Abdulrazzaq", "given" : "Mohamed", "non-dropping-particle" : "", "parse-names" : false, "suffix" : "" }, { "dropping-particle" : "", "family" : "Sattout", "given" : "Elsa", "non-dropping-particle" : "", "parse-names" : false, "suffix" : "" }, { "dropping-particle" : "", "family" : "Alkhuzai", "given" : "Jameel", "non-dropping-particle" : "", "parse-names" : false, "suffix" : "" }, { "dropping-particle" : "", "family" : "Alhusseini", "given" : "Tamera", "non-dropping-particle" : "", "parse-names" : false, "suffix" : "" }, { "dropping-particle" : "", "family" : "Husain", "given" : "Eman", "non-dropping-particle" : "", "parse-names" : false, "suffix" : "" } ], "collection-title" : "Project report for the UNEP and GEF project \"Updating the National Biodiversity Strategy and Action Plan of the Kingdom of Bahrain\"", "id" : "ITEM-1", "issued" : { "date-parts" : [ [ "2015" ] ] }, "number-of-pages" : "64", "title" : "An Assessment and Mapping of the Potential Values of Ecosystem Services in the Kingdom of Bahrain", "type" : "report" }, "uris" : [ "http://www.mendeley.com/documents/?uuid=74216310-61c9-4390-9dbc-c56b589c92bf" ] } ], "mendeley" : { "formattedCitation" : "(Mubarak Bin Daina et al., 2015)", "plainTextFormattedCitation" : "(Mubarak Bin Daina et al., 2015)", "previouslyFormattedCitation" : "(Mubarak Bin Daina et al., 2015)"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(Mubarak Bin Daina et al., 2</w:t>
            </w:r>
            <w:bookmarkStart w:id="0" w:name="_GoBack"/>
            <w:bookmarkEnd w:id="0"/>
            <w:r w:rsidRPr="004A65FD">
              <w:rPr>
                <w:rFonts w:ascii="Cambria" w:eastAsia="Cambria" w:hAnsi="Cambria" w:cs="Cambria"/>
                <w:noProof/>
                <w:szCs w:val="24"/>
              </w:rPr>
              <w:t>015)</w:t>
            </w:r>
            <w:r w:rsidRPr="004A65FD">
              <w:rPr>
                <w:rFonts w:ascii="Cambria" w:eastAsia="Cambria" w:hAnsi="Cambria" w:cs="Cambria"/>
                <w:szCs w:val="24"/>
              </w:rPr>
              <w:fldChar w:fldCharType="end"/>
            </w:r>
          </w:p>
          <w:p w14:paraId="2BF32410" w14:textId="77777777" w:rsidR="004368D7" w:rsidRPr="004A65FD" w:rsidRDefault="004368D7" w:rsidP="00575495">
            <w:pPr>
              <w:widowControl w:val="0"/>
              <w:spacing w:line="240" w:lineRule="auto"/>
              <w:rPr>
                <w:rFonts w:ascii="Cambria" w:eastAsia="Cambria" w:hAnsi="Cambria" w:cs="Cambria"/>
                <w:szCs w:val="24"/>
              </w:rPr>
            </w:pPr>
          </w:p>
          <w:p w14:paraId="29BB3F0C"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lang w:val="en-US"/>
              </w:rPr>
              <w:t>Production function</w:t>
            </w:r>
            <w:r w:rsidRPr="004A65FD">
              <w:rPr>
                <w:rFonts w:ascii="Cambria" w:eastAsia="Cambria" w:hAnsi="Cambria" w:cs="Cambria"/>
                <w:szCs w:val="24"/>
                <w:lang w:val="en-US"/>
              </w:rPr>
              <w:t xml:space="preserve">: US$52-105 </w:t>
            </w:r>
            <w:r w:rsidRPr="004A65FD">
              <w:rPr>
                <w:rFonts w:ascii="Cambria" w:eastAsia="Cambria" w:hAnsi="Cambria" w:cs="Cambria"/>
                <w:szCs w:val="24"/>
              </w:rPr>
              <w:fldChar w:fldCharType="begin" w:fldLock="1"/>
            </w:r>
            <w:r w:rsidRPr="004A65FD">
              <w:rPr>
                <w:rFonts w:ascii="Cambria" w:eastAsia="Cambria" w:hAnsi="Cambria" w:cs="Cambria"/>
                <w:szCs w:val="24"/>
                <w:lang w:val="en-US"/>
              </w:rPr>
              <w:instrText>ADDIN CSL_CITATION { "citationItems" : [ { "id" : "ITEM-1", "itemData" : { "DOI" : "10.1007/s11273-009-9145-7", "ISBN" : "0923-4861", "ISSN" : "09234861", "abstract" : "Fishing gear and methods, catch composition, annual catch numbers and the monetary value of fisheries based in the mangroves of Pak Phanang, Nakhon Si Thamarat province, Thailand, were studied from September 2004 to February 2005. The fishing gear and methods were surveyed by visual observation and interviews. Sample catches were taken for each type of fishing gear and method. Semi-closed questionnaire surveys were conducted among fishers, local traders, local administrative officers and related organizations to derive information on utilized species, gear and methods, fisher and fishery status, and trading and catch price. The Pak Phanang mangrove fishery has three types of multi-species capture gear: channel traps, gill nets and lift nets. It also has three kinds of single-species (group) gear/methods: crab traps, catfish hooks and hand capture using a long tail fishing boat. A total of 57 fish species in 27 families, and 23 shell fish species in 8 families were recorded from the catch samples. Penaeid shrimp (25%), and ambassid (31%) and mugilid (24%) fishes were the abundant groups in the channel traps, while ariid (36%) and mugilid (19%) fishes were abundant in the lift net catches. Ambassid (42%) fish dominated the gill net catches. Species richness (number of species) varied depending on sampling month and type of fishing gear. The total annual catch and its monetary value were estimated to be 442-551 tons and US $368,038-733,973, respectively. The estimated annual catch per unit area of mangrove was 63-79 kg ha(-1), which generated a market value of US $52-105.", "author" : [ { "dropping-particle" : "", "family" : "Islam", "given" : "M. S.", "non-dropping-particle" : "", "parse-names" : false, "suffix" : "" }, { "dropping-particle" : "", "family" : "Ikejima", "given" : "K.", "non-dropping-particle" : "", "parse-names" : false, "suffix" : "" } ], "container-title" : "Wetlands Ecology and Management", "id" : "ITEM-1", "issue" : "1", "issued" : { "date-parts" : [ [ "2010" ] ] }, "page" : "27-36", "title" : "Gear type, species composition and economic value of fisheries in the mangroves of Pak Phanang, Thailand", "type" : "article-journal", "volume" : "18" }, "uris" : [ "http://www.mendeley.com/documents/?uuid=11ec6f92-135d-4954-b192-ba9b38928d72" ] } ], "mendeley" : { "formattedCitation" : "(Islam and Ikejima, 2010)", "plainTextFormattedCitation" : "(Islam and Ikejima, 2010)", "previouslyFormattedCitation" : "(Islam and Ikejima, 2010)"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lang w:val="en-US"/>
              </w:rPr>
              <w:t>(Islam and Ikejima, 2010)</w:t>
            </w:r>
            <w:r w:rsidRPr="004A65FD">
              <w:rPr>
                <w:rFonts w:ascii="Cambria" w:eastAsia="Cambria" w:hAnsi="Cambria" w:cs="Cambria"/>
                <w:szCs w:val="24"/>
              </w:rPr>
              <w:fldChar w:fldCharType="end"/>
            </w:r>
            <w:r w:rsidRPr="004A65FD">
              <w:rPr>
                <w:rFonts w:ascii="Cambria" w:eastAsia="Cambria" w:hAnsi="Cambria" w:cs="Cambria"/>
                <w:szCs w:val="24"/>
                <w:lang w:val="en-US"/>
              </w:rPr>
              <w:t xml:space="preserve">, US$18,849 </w:t>
            </w:r>
            <w:r w:rsidRPr="004A65FD">
              <w:rPr>
                <w:rFonts w:ascii="Cambria" w:eastAsia="Cambria" w:hAnsi="Cambria" w:cs="Cambria"/>
                <w:szCs w:val="24"/>
              </w:rPr>
              <w:fldChar w:fldCharType="begin" w:fldLock="1"/>
            </w:r>
            <w:r w:rsidRPr="004A65FD">
              <w:rPr>
                <w:rFonts w:ascii="Cambria" w:eastAsia="Cambria" w:hAnsi="Cambria" w:cs="Cambria"/>
                <w:szCs w:val="24"/>
                <w:lang w:val="en-US"/>
              </w:rPr>
              <w:instrText>ADDIN CSL_CITATION { "citationItems" : [ { "id" : "ITEM-1", "itemData" : { "DOI" : "10.1016/j.ocecoaman.2015.06.020", "ISSN" : "0964-5691", "abstract" : "The objective of this study was to estimate the economic value of mangroves and freshwater wetlands based on the commercial value of fishing in the ALS and to determine whether there is any statistical correlation between economic output and the different types of wetland cover. We compared the monetary value of fishermen's cooperatives with the monetary value of raising livestock and growing sugarcane, the two main productive activities replacing wetlands. At the national and international levels, this analysis will enable decision makers to choose the most profitable option in direct and indirect economic terms based on the activities upon which local communities depend. It also provides a basis for regional planning and development to select the best economic alternative, as proposed by Aburto-Oropeza et al. (2008) and Knowler et al. (2003) for Mexico and Canada, respectively. This approach provides a model for the economic valuation of fisheries, linking them to the wetland gradient of coastal areas, including a variety of wetland vegetation, thus helping to manage and conserve wetlands.", "author" : [ { "dropping-particle" : "", "family" : "Vazquez-Gonzalez", "given" : "Cesar", "non-dropping-particle" : "", "parse-names" : false, "suffix" : "" }, { "dropping-particle" : "", "family" : "Moreno-Casasola", "given" : "Patricia", "non-dropping-particle" : "", "parse-names" : false, "suffix" : "" }, { "dropping-particle" : "", "family" : "Juarez", "given" : "Abraham", "non-dropping-particle" : "", "parse-names" : false, "suffix" : "" }, { "dropping-particle" : "", "family" : "Rivera-Guzman", "given" : "Nadia", "non-dropping-particle" : "", "parse-names" : false, "suffix" : "" }, { "dropping-particle" : "", "family" : "Monroy", "given" : "Roberto", "non-dropping-particle" : "", "parse-names" : false, "suffix" : "" }, { "dropping-particle" : "", "family" : "Espejel", "given" : "Ileana", "non-dropping-particle" : "", "parse-names" : false, "suffix" : "" } ], "container-title" : "OCEAN &amp; COASTAL MANAGEMENT", "id" : "ITEM-1", "issued" : { "date-parts" : [ [ "2015", "9" ] ] }, "page" : "194-203", "title" : "Trade-offs in fishery yield between wetland conservation and land conversion on the Gulf of Mexico", "type" : "article-journal", "volume" : "114" }, "uris" : [ "http://www.mendeley.com/documents/?uuid=ec06f2af-36db-4f7c-8e88-2d6551725b48" ] } ], "mendeley" : { "formattedCitation" : "(Vazquez-Gonzalez et al., 2015)", "plainTextFormattedCitation" : "(Vazquez-Gonzalez et al., 2015)", "previouslyFormattedCitation" : "(Vazquez-Gonzalez et al., 2015)"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lang w:val="en-US"/>
              </w:rPr>
              <w:t>(Vazquez-Gonzalez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US$126,444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objective is to produce the economic valuation of mangrove ecosystem services in Vanuatu. It is part of the MESCAL project developed to address the main challenges to mangrove management and conservation. Specifically, the study contributes to the outcome n\u00ba1 (National Baseline Information about Climate Change Scenarios, use and values of Mangroves and Associated Ecosystems) as well as to the outcome n\u00ba4 (Increased Awareness, Advocacy and Capacity development). In response to market failures, economic valuation of mangrove ecosystem services (ES) is viewed as a promising approach at different levels. In this study the ES valuation was undertaken to raise awareness among decision-?\u2010makers, policy-?\u2010makers and the public regarding the benefits of the environment for society. Based on the general recognition that \u201cmoney talks\u201d, its role will be to strengthen the support to environment regulation and resource management actions. At the same time, this study can be part of a monitoring routine to inform management with economic indicators (\u201cwe manage better what we can measure\u201d).", "author" : [ { "dropping-particle" : "", "family" : "Pascal", "given" : "Nicolas", "non-dropping-particle" : "", "parse-names" : false, "suffix" : "" }, { "dropping-particle" : "", "family" : "Bulu", "given" : "Molu", "non-dropping-particle" : "", "parse-names" : false, "suffix" : "" } ], "id" : "ITEM-1", "issue" : "January", "issued" : { "date-parts" : [ [ "2013" ] ] }, "number-of-pages" : "1-146", "title" : "Economic valuation of mangrove ecosystem services, Vanuatu: Case study of Crab Bay (Malekula Is.) and Eratap (Efate Is.)", "type" : "report" }, "uris" : [ "http://www.mendeley.com/documents/?uuid=e843587b-2cbc-4e2a-b3fd-3f5cbed4622b" ] } ], "mendeley" : { "formattedCitation" : "(Pascal and Bulu, 2013)", "plainTextFormattedCitation" : "(Pascal and Bulu, 2013)", "previouslyFormattedCitation" : "(Pascal and Bulu, 2013)"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(Pascal and Bulu, 2013)</w:t>
            </w:r>
            <w:r w:rsidRPr="004A65FD">
              <w:rPr>
                <w:rFonts w:ascii="Cambria" w:eastAsia="Cambria" w:hAnsi="Cambria" w:cs="Cambria"/>
                <w:szCs w:val="24"/>
              </w:rPr>
              <w:fldChar w:fldCharType="end"/>
            </w:r>
          </w:p>
          <w:p w14:paraId="0F6E82E8" w14:textId="77777777" w:rsidR="004368D7" w:rsidRPr="004A65FD" w:rsidRDefault="004368D7" w:rsidP="00575495">
            <w:pPr>
              <w:widowControl w:val="0"/>
              <w:spacing w:line="240" w:lineRule="auto"/>
              <w:rPr>
                <w:rFonts w:ascii="Cambria" w:eastAsia="Cambria" w:hAnsi="Cambria" w:cs="Cambria"/>
                <w:szCs w:val="24"/>
                <w:lang w:val="en-US"/>
              </w:rPr>
            </w:pPr>
          </w:p>
          <w:p w14:paraId="1DA0C611"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Market price</w:t>
            </w:r>
            <w:r w:rsidRPr="004A65FD">
              <w:rPr>
                <w:rFonts w:ascii="Cambria" w:eastAsia="Cambria" w:hAnsi="Cambria" w:cs="Cambria"/>
                <w:szCs w:val="24"/>
              </w:rPr>
              <w:t xml:space="preserve">: US$37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"10.1007/s10531-015-1015-4", "ISSN" : "15729710", "abstract" : "Mangrove forests are one of the most important coastal ecosystems as they support many local communities. However, over the last two decades harvesting of mangrove forests has been extensive with effects on mangrove biodiversity and ecosystem services. We investigate the effect of mangrove harvesting on tree biodiversity in South Sulawesi, Indonesia. Using two line transects each in ten mangrove forests, mangrove composition, species dominance, density, frequency, coverage, and stem diameter and diversity were recorded. Interviews detailing provisioning ecosystem services were also conducted with local forestry and fishery workers to determine the level of exploitation. Ten mangrove species were recorded (Avicennia alba, Bruguiera gymnorrhiza, Ceriops tagal, Excoecaria agallocha, Lumnitzera racemosa, Nypa fruticans, Rhizophora apiculata, Rhizophora mucronata, Rhizophora stylosa, and Sonneratia alba) belonging to six families (Avicenniaceae, Rhizophoraceae, Euphorbiaceae, Combretaceae, Arecaceae and Sonneratiaceae). Mangrove forests are now dominated by saplings and seedlings, with few trees above 15\u00a0cm diameter at breast height. Rhizophora sp. were found to be the most important and dominant species. Rhizophora sp. was the most widely used as it was deemed the most suitable for firewood and charcoal. In addition, it is the main species planted in mangrove restoration projects, which have focused on establishing production forest rather than restoring natural species composition and structure. Despite the decrease in biodiversity, the mangroves still provide a wide range of ecosystem services to the communities in the area.", "author" : [ { "dropping-particle" : "", "family" : "Malik", "given" : "Abdul", "non-dropping-particle" : "", "parse-names" : false, "suffix" : "" }, { "dropping-particle" : "", "family" : "Fensholt", "given" : "Rasmus", "non-dropping-particle" : "", "parse-names" : false, "suffix" : "" }, { "dropping-particle" : "", "family" : "Mertz", "given" : "Ole", "non-dropping-particle" : "", "parse-names" : false, "suffix" : "" } ], "container-title" : "Biodiversity and Conservation", "id" : "ITEM-1", "issue" : "14", "issued" : { "date-parts" : [ [ "2015", "12", "15" ] ] }, "page" : "3543-3557", "publisher" : "Springer Netherlands", "title" : "Mangrove exploitation effects on biodiversity and ecosystem services", "type" : "article-journal", "volume" : "24" }, "uris" : [ "http://www.mendeley.com/documents/?uuid=9a01a3fd-1723-4eea-afa0-662fa57db95c" ] } ], "mendeley" : { "formattedCitation" : "(Malik et al., 2015a)", "plainTextFormattedCitation" : "(Malik et al., 2015a)", "previouslyFormattedCitation" : "(Malik et al., 2015a)"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(Malik et al., 2015a)</w:t>
            </w:r>
            <w:r w:rsidRPr="004A65FD">
              <w:rPr>
                <w:rFonts w:ascii="Cambria" w:eastAsia="Cambria" w:hAnsi="Cambria" w:cs="Cambria"/>
                <w:szCs w:val="24"/>
              </w:rPr>
              <w:fldChar w:fldCharType="end"/>
            </w:r>
            <w:r w:rsidRPr="004A65FD">
              <w:rPr>
                <w:rFonts w:ascii="Cambria" w:eastAsia="Cambria" w:hAnsi="Cambria" w:cs="Cambria"/>
                <w:szCs w:val="24"/>
              </w:rPr>
              <w:t xml:space="preserve">, US$48.8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was undertaken as part of UNEP efforts of promoting forests as a significant green economy asset for Kenya. Forests should be taken into account when calculating the national accounts because the global rush for land and the increasing demand for agricultural products and urban infrastructure continue to intensify the pressure on tropical and coastal forests. The fact that forests provide goods and services which currently have no valued assigned to in economic markets exacerbates the deforestation and land conversion. Mangrove forests are among the most productive and valuable ecosystems on earth. However, the economic value of the diverse functions they provide such as shoreline protection, nursery habitats and carbon storage are not accounted for by decision-makers. This study aims to demonstrate the economic value of mangrove forest services in Kenya, using the Gazi Bay mangrove forest ecosystem as an illustration. The study quantifies the Total Economic Value (TEV) of the Gazi Bay mangrove forest. The variables are divided into direct use, indirect use and non-use value. Direct use values include fishery, timber, eco-tourism, research and education, aquaculture and apiculture. They account for 20 per cent of the TEV. Indirect use values of the mangroves are shoreline protection, carbon sequestration and biodiversity. They represent 25 per cent of the TEV. The existence value, which represents the value of mangroves in an unharmed state, accounts for 55 per cent of the TEV. The analysis results in a TEV of US$ 1,092 per hectare per year. To quantify the value of the goods and services, different methods were applied. Most of the direct uses were calculated using the market value of the products. The Damage Costs Avoided Method was used to value the shoreline protection function of the mangroves. Biodiversity and existence value were derived using the Benefit Transfer Method (BT). It is acknowledged and stressed that this study suffers from research limitations. One reason is the lack of primary data and appropriate peer reviewed studies. Application of the BT should also be considered with caution. It is, however, recognized as one of the most widely used methodologies in the field of environmental valuation and serves as a first approach in determining non-marketable mangrove services. Therefore the results of this analysis should be considered as a first step towards quantifying the value of Kenyan mangrove goods and services. The resul\u2026", "author" : [ { "dropping-particle" : "", "family" : "Hoberg", "given" : "Janis", "non-dropping-particle" : "", "parse-names" : false, "suffix" : "" } ], "id" : "ITEM-1", "issued" : { "date-parts" : [ [ "2011" ] ] }, "title" : "Economic Analysis of Mangrove Forests: A case study in Gazi Bay, Kenya", "type" : "report" }, "uris" : [ "http://www.mendeley.com/documents/?uuid=5647e4af-3381-4729-8c20-57c26ba6f9fc" ] } ], "mendeley" : { "formattedCitation" : "(Hoberg, 2011)", "plainTextFormattedCitation" : "(Hoberg, 2011)", "previouslyFormattedCitation" : "(Hoberg, 2011)"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(Hoberg, 2011)</w:t>
            </w:r>
            <w:r w:rsidRPr="004A65FD">
              <w:rPr>
                <w:rFonts w:ascii="Cambria" w:eastAsia="Cambria" w:hAnsi="Cambria" w:cs="Cambria"/>
                <w:szCs w:val="24"/>
              </w:rPr>
              <w:fldChar w:fldCharType="end"/>
            </w:r>
            <w:r w:rsidRPr="004A65FD">
              <w:rPr>
                <w:rFonts w:ascii="Cambria" w:eastAsia="Cambria" w:hAnsi="Cambria" w:cs="Cambria"/>
                <w:szCs w:val="24"/>
              </w:rPr>
              <w:t xml:space="preserve">, $US49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"author" : [ { "dropping-particle" : "", "family" : "Giri", "given" : "C.", "non-dropping-particle" : "", "parse-names" : false, "suffix" : "" }, { "dropping-particle" : "", "family" : "Ochieng", "given" : "E.", "non-dropping-particle" : "", "parse-names" : false, "suffix" : "" }, { "dropping-particle" : "", "family" : "Tieszen", "given" : "L.L.", "non-dropping-particle" : "", "parse-names" : false, "suffix" : "" }, { "dropping-particle" : "", "family" : "Zhu", "given" : "Z.", "non-dropping-particle" : "", "parse-names" : false, "suffix" : "" }, { "dropping-particle" : "", "family" : "Singh", "given" : "A.", "non-dropping-particle" : "", "parse-names" : false, "suffix" : "" }, { "dropping-particle" : "", "family" : "Loveland", "given" : "T.", "non-dropping-particle" : "", "parse-names" : false, "suffix" : "" }, { "dropping-particle" : "", "family" : "Masek", "given" : "J.", "non-dropping-particle" : "", "parse-names" : false, "suffix" : "" }, { "dropping-particle" : "", "family" : "Duke", "given" : "N.", "non-dropping-particle" : "", "parse-names" : false, "suffix" : "" } ], "container-title" : "Global Ecology and Biogeography", "id" : "ITEM-1", "issued" : { "date-parts" : [ [ "2011" ] ] }, "page" : "154-159", "title" : "Status and distribution of mangrove forests of the world using earth observation satellite data (version 1.3, updated by UNEP-WCMC)", "type" : "article-journal", "volume" : "20" }, "uris" : [ "http://www.mendeley.com/documents/?uuid=6e44f796-d07d-46a0-99b1-375005e73bce" ] }, { "id" : "ITEM-2", "itemData" : { "DOI" : "10.1080/08920750601169634", "ISBN" : "0892-0753", "ISSN" : "0892-0753", "PMID" : "24654448", "abstract" : "This article provides results on the net bene\ufb01ts generated from the natural resources in the Bohol Marine Triangle (BMT) in the Philippines. The BMT spans over 112,000 ha and its coastal ecosystems are rich in biodiversity and provide economic opportunities to the coastal communities. With a 10% discount rate, the accumulated total net bene\ufb01ts for the BMT resources over a 10-year period is US$11.54 million. Tourism and the municipal \ufb01sheries are the most important direct use values of the coastal and marine resources of the BMT accounting for 44% and 39% of the total net bene\ufb01ts. Annual revenues attributed to ecosystems were as follows: coral reefs, US$1.26 million; beach/intertidal area, US$1.12 million; marine waters, US$646,501; mangrove, US$239,561; and seagrass, US$105,990. The large market values indicate the dependence of the local community on the BMT coastal and marine resources. In the same way, non-market values show the important life-support functions of coastal and marine ecosystems. The net bene\ufb01ts re\ufb02ect the magnitude of potential losses due to improper management of coastal and marine resources in the BMT. This valuation highlights the importance of the coastal services to the BMT economy and draws attention to the bene\ufb01ts the local stakeholders derive from BMT coastal resources. Policy measures can now take into account these values to justify a suf\ufb01cient investment in coastal management efforts to sustain the \ufb02ow of coastal services in the interest of current and future generations.", "author" : [ { "dropping-particle" : "", "family" : "Samonte-Tan", "given" : "Giselle P. B.", "non-dropping-particle" : "", "parse-names" : fal</w:instrText>
            </w:r>
            <w:r w:rsidRPr="00C751DA">
              <w:rPr>
                <w:rFonts w:ascii="Cambria" w:eastAsia="Cambria" w:hAnsi="Cambria" w:cs="Cambria"/>
                <w:szCs w:val="24"/>
                <w:lang w:val="fr-FR"/>
              </w:rPr>
              <w:instrText>se, "suffix" : "" }, { "dropping-particle" : "", "family" : "White", "given" : "Alan T.", "non-dropping-particle" : "", "parse-names" : false, "suffix" : "" }, { "dropping-particle" : "", "family" : "Tercero", "given" : "Mary Ann", "non-dropping-particle" : "", "parse-names" : false, "suffix" : "" }, { "dropping-particle" : "", "family" : "Diviva", "given" : "John", "non-dropping-particle" : "", "parse-names" : false, "suffix" : "" }, { "dropping-particle" : "", "family" : "Tabara", "given" : "Esperanza", "non-dropping-particle" : "", "parse-names" : false, "suffix" : "" }, { "dropping-particle" : "", "family" : "Caballes", "given" : "Ciemon", "non-dropping-particle" : "", "parse-names" : false, "suffix" : "" } ], "container-title" : "Coastal Management", "id" : "ITEM-2", "issue" : "2-3", "issued" : { "date-parts" : [ [ "2007", "3", "16" ] ] }, "page" : "319-338", "title" : "Economic Valuation of Coastal and Marine Resources: Bohol Marine Triangle, Philippines", "type" : "article-journal", "volume" : "35" }, "uris" : [ "http://www.mendeley.com/documents/?uuid=e7ed141f-f59e-4608-a572-5a7a5ca26541" ] } ], "mendeley" : { "formattedCitation" : "(Giri et al., 2011; Samonte-Tan et al., 2007)", "plainTextFormattedCitation" : "(Giri et al., 2011; Samonte-Tan et al., 2007)", "previouslyFormattedCitation" : "(Giri et al., 2011; Samonte-Tan et al., 2007)" }, "properties" : { "noteIndex" : 8 }, "schema" : "https://github.com/citation-style-language/schema/raw/master/csl-citation.json" }</w:instrText>
            </w:r>
            <w:r w:rsidRPr="004A65FD">
              <w:rPr>
                <w:rFonts w:ascii="Cambria" w:eastAsia="Cambria" w:hAnsi="Cambria" w:cs="Cambria"/>
                <w:szCs w:val="24"/>
              </w:rPr>
              <w:fldChar w:fldCharType="separate"/>
            </w:r>
            <w:r w:rsidRPr="00C751DA">
              <w:rPr>
                <w:rFonts w:ascii="Cambria" w:eastAsia="Cambria" w:hAnsi="Cambria" w:cs="Cambria"/>
                <w:noProof/>
                <w:szCs w:val="24"/>
                <w:lang w:val="fr-FR"/>
              </w:rPr>
              <w:t>(Giri et al., 2011; Samonte-Tan et al., 2007)</w:t>
            </w:r>
            <w:r w:rsidRPr="004A65FD">
              <w:rPr>
                <w:rFonts w:ascii="Cambria" w:eastAsia="Cambria" w:hAnsi="Cambria" w:cs="Cambria"/>
                <w:szCs w:val="24"/>
              </w:rPr>
              <w:fldChar w:fldCharType="end"/>
            </w:r>
            <w:r w:rsidRPr="00C751DA">
              <w:rPr>
                <w:rFonts w:ascii="Cambria" w:eastAsia="Cambria" w:hAnsi="Cambria" w:cs="Cambria"/>
                <w:szCs w:val="24"/>
                <w:lang w:val="fr-FR"/>
              </w:rPr>
              <w:t xml:space="preserve">, US$97.90 </w:t>
            </w:r>
            <w:r w:rsidRPr="004A65FD">
              <w:rPr>
                <w:rFonts w:ascii="Cambria" w:eastAsia="Cambria" w:hAnsi="Cambria" w:cs="Cambria"/>
                <w:szCs w:val="24"/>
              </w:rPr>
              <w:fldChar w:fldCharType="begin" w:fldLock="1"/>
            </w:r>
            <w:r w:rsidRPr="00C751DA">
              <w:rPr>
                <w:rFonts w:ascii="Cambria" w:eastAsia="Cambria" w:hAnsi="Cambria" w:cs="Cambria"/>
                <w:szCs w:val="24"/>
                <w:lang w:val="fr-FR"/>
              </w:rPr>
              <w:instrText>ADDIN CSL_CITATION { "citationItems" : [ { "id" : "ITEM-1", "itemData" : { "abstract" : "Krabi River Estuary, a ramsar site located in southern Thailand, is dominated by two major natural vegetation assemblages, i.e. mangrove forests and seagrass beds. According to the cluster development strategy, the cabinet has approved in principle to develop Krabi as the global marine tourism center and economic gateway of Asia. This study aimed to assess the economic value of the site, using market price and benefit transfer. The impact on economic activities with the 5% annual decline of mangrove forests was evaluated. The estimated annual use value of the site was $9.7 million for recreation and tourism. The economic value of mangrove forests was $758/ha. The net present value of mangrove forests was $73.1 million based on 7% discount rate and 15-year time line. An approximate impact of mangrove change follows the study of Ruitenbeek (1992). It was assumed that the impact on local direct resource extraction and loss in biodiversity would occur at the year after the depletion of the forest. The impact on the productivity of local fishery would occur in the fifth year and on tourism in the tenth year. Thus, value loss of mangrove at the annual rate of 5% in the net present term became $21.0 million or $2.3 million per year. The results imply that a development project that causes the same rate of mangrove destruction must generate a least an income of $2.3 million per year to be considered as an economically feasible project.", "author" : [ { "dropping-particle" : "", "family" : "Janekarnkij", "given" : "Penporn", "non-dropping-particle" : "", "parse-names" : false, "suffix" : "" } ], "collection-title" : "ARE Working Paper", "id" : "ITEM-1", "issue" : "2553", "issued" : { "date-parts" : [ [ "2010" ] ] }, "number" : "No. 2553/4.", "number-of-pages" : "16-18", "publisher-place" : "Bangkok, Thailand", "title" : "Assessing the value of Krabi River Estuary Ramsar Site conservation and development", "type" : "report" }, "uris" : [ "http://www.mendeley.com/documents/?uuid=5dc32b82-13a8-407b-a2b0-a46c456c34e8" ] } ], "mendeley" : { "formattedCitation" : "(Janekarnkij, 2010)", "plainTextFormattedCitation" : "(Janekarnkij, 2010)", "previouslyFormattedCitation" : "(Janekarnkij, 2010)" }, "properties" : { "noteIndex" : 9 }, "schema" : "https://github.com/citation-style-language/schema/raw/master/csl-citation.json" }</w:instrText>
            </w:r>
            <w:r w:rsidRPr="004A65FD">
              <w:rPr>
                <w:rFonts w:ascii="Cambria" w:eastAsia="Cambria" w:hAnsi="Cambria" w:cs="Cambria"/>
                <w:szCs w:val="24"/>
              </w:rPr>
              <w:fldChar w:fldCharType="separate"/>
            </w:r>
            <w:r w:rsidRPr="00C751DA">
              <w:rPr>
                <w:rFonts w:ascii="Cambria" w:eastAsia="Cambria" w:hAnsi="Cambria" w:cs="Cambria"/>
                <w:noProof/>
                <w:szCs w:val="24"/>
                <w:lang w:val="fr-FR"/>
              </w:rPr>
              <w:t>(Janekarnkij, 2010)</w:t>
            </w:r>
            <w:r w:rsidRPr="004A65FD">
              <w:rPr>
                <w:rFonts w:ascii="Cambria" w:eastAsia="Cambria" w:hAnsi="Cambria" w:cs="Cambria"/>
                <w:szCs w:val="24"/>
              </w:rPr>
              <w:fldChar w:fldCharType="end"/>
            </w:r>
            <w:r w:rsidRPr="00C751DA">
              <w:rPr>
                <w:rFonts w:ascii="Cambria" w:eastAsia="Cambria" w:hAnsi="Cambria" w:cs="Cambria"/>
                <w:szCs w:val="24"/>
                <w:lang w:val="fr-FR"/>
              </w:rPr>
              <w:t xml:space="preserve">, US$113.09 </w:t>
            </w:r>
            <w:r w:rsidRPr="004A65FD">
              <w:rPr>
                <w:rFonts w:ascii="Cambria" w:eastAsia="Cambria" w:hAnsi="Cambria" w:cs="Cambria"/>
                <w:szCs w:val="24"/>
              </w:rPr>
              <w:fldChar w:fldCharType="begin" w:fldLock="1"/>
            </w:r>
            <w:r w:rsidRPr="00C751DA">
              <w:rPr>
                <w:rFonts w:ascii="Cambria" w:eastAsia="Cambria" w:hAnsi="Cambria" w:cs="Cambria"/>
                <w:szCs w:val="24"/>
                <w:lang w:val="fr-FR"/>
              </w:rPr>
              <w:instrText>ADDIN CSL_CITATION { "citationItems" : [ { "id" : "ITEM-1", "itemData" : { "DOI" : "10.1080/10549810902791523", "ISBN" : "10549811", "ISSN" : "1054-9811", "abstract" : "Economic analysis of mangrove reforestation is provided for a replanted Rhizophora mucronata plantation at Gazi Bay, Kenya. Major goods and services from a 12-year plantation were identified as: firewood and building poles, coastal protection, ecotourism, research and education, carbon sequestration and on-site fisheries. The net value of extractable wood products was estimated at US$379.17/ha/yr. For nonextractable products, however, the net value ranged from US$44.42/ha/yr in carbon sequestration to US$1,586.66/ha/yr in coastal protection. The total economic value of a 12-year-old Rhizophora plantation was therefore US$2902.87/ha/yr. Since most of these benefits cannot be internalized, there is need for governments to promote community efforts in mangrove reforestation through finding ways of marketing ecosystem services of the replanted forests. \u00a9 Taylor &amp; Francis Group, LLC.", "author" : [ { "dropping-particle" : "", "family" : "Kairo", "given" : "James G.", "non-dropping-particle" : "", "parse-names" : false, "suffix" : "" }, { "dropping-particle" : "", "family" : "Wanjiru", "given" : "Caroline", "non-dropping-particle" : "", "parse-names" : false, "suffix" : "" }, { "dropping-particle" : "", "family" : "Ochiewo", "given" : "Jacob", "non-dropping-particle" : "", "pars</w:instrText>
            </w:r>
            <w:r w:rsidRPr="004A65FD">
              <w:rPr>
                <w:rFonts w:ascii="Cambria" w:eastAsia="Cambria" w:hAnsi="Cambria" w:cs="Cambria"/>
                <w:szCs w:val="24"/>
              </w:rPr>
              <w:instrText>e-names" : false, "suffix" : "" } ], "container-title" : "Journal of Sustainable Forestry", "id" : "ITEM-1", "issue" : "November", "issued" : { "date-parts" : [ [ "2009" ] ] }, "page" : "395-414", "title" : "Net Pay: Economic Analysis of a Replanted Mangrove Plantation in Kenya", "type" : "article-journal", "volume" : "28" }, "uris" : [ "http://www.mendeley.com/documents/?uuid=dbefade1-cfc6-41df-803f-f637a62c1581" ] } ], "mendeley" : { "formattedCitation" : "(Kairo et al., 2009)", "plainTextFormattedCitation" : "(Kairo et al., 2009)", "previouslyFormattedCitation" : "(Kairo et al., 2009)"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(Kairo et al., 2009)</w:t>
            </w:r>
            <w:r w:rsidRPr="004A65FD">
              <w:rPr>
                <w:rFonts w:ascii="Cambria" w:eastAsia="Cambria" w:hAnsi="Cambria" w:cs="Cambria"/>
                <w:szCs w:val="24"/>
              </w:rPr>
              <w:fldChar w:fldCharType="end"/>
            </w:r>
            <w:r w:rsidRPr="004A65FD">
              <w:rPr>
                <w:rFonts w:ascii="Cambria" w:eastAsia="Cambria" w:hAnsi="Cambria" w:cs="Cambria"/>
                <w:szCs w:val="24"/>
              </w:rPr>
              <w:t xml:space="preserve">, US$238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"10.1016/j.jenvman.2015.04.018", "ISSN" : "0301-4797", "abstract" : "Mangrove forests are under global pressure. Habitat destruction and degradation persist despite long-standing recognition of the important ecological functions of mangroves. Hence new approaches are needed to help stakeholders and policy-makers achieve sound management that is informed by the best science. Here we explore how the new policy concept of Climate Compatible Development (CCD) can be applied to achieve better outcomes. We use economic valuation approaches to combine socio-economic data, projections of forest cover based on quantitative risk mapping and storyline scenario building exercises to articulate the economic consequences of plausible alternative future scenarios for the mangrove forests of the South Kenya coast, as a case study of relevance to many other areas. Using data from 645 household surveys, 10 focus groups and 74 interviews conducted across four mangrove sites, and combining these with information on fish catches taken at three landing sites, a mangrove carbon trading project and published data allowed us to make a thorough (although still partial) economic valuation of the forests. This gave a current value of the South Coast mangroves of USD 6.5 million, or USD 1166 ha(-1), with 59% of this value on average derived from regulating services. Quantitative risk mapping, projecting recent trends over the next twenty years, suggests a 43% loss of forest cover over that time with 100% loss at the most vulnerable sites. Much of the forest lost between 1992 and 2012 has not been replaced by high value alternative land uses hence restoration of these areas is feasible and may not involve large opportunity costs. We invited thirty eight stakeholders to develop plausible storyline scenarios reflecting Business as Usual (BAU) and CCD which emphasises sustainable forest conservation and management in twenty years time, drawing on local and regional expert knowledge of relevant policy, social trends and cultures. Combining these scenarios with the quantitative projections and economic baseline allowed the modelling of likely value added and costs avoided under the CCD scenario. This suggests a net present value of more than US$20 million of adoption of CCD rather than BAU. This work adds to the economic evidence for mangrove conservation and helps to underline the importance of new real and emerging markets, such as for REDD + projects, in making this case for carbon-rich coastal habitats. It demonstrates a policy tool CCD that can be us\u2026", "author" : [ { "dropping-particle" : "", "family" : "Huxham", "given" : "Mark", "non-dropping-particle" : "", "parse-names" : false, "suffix" : "" }, { "dropping-particle" : "", "family" : "Emerton", "given" : "Lucy", "non-dropping-particle" : "", "parse-names" : false, "suffix" : "" }, { "dropping-particle" : "", "family" : "Kairo", "given" : "James", "non-dropping-particle" : "", "parse-names" : false, "suffix" : "" }, { "dropping-particle" : "", "family" : "Munyi", "given" : "Fridah", "non-dropping-particle" : "", "parse-names" : false, "suffix" : "" }, { "dropping-particle" : "", "family" : "Abdirizak", "given" : "Hassan", "non-dropping-particle" : "", "parse-names" : false, "suffix" : "" }, { "dropping-particle" : "", "family" : "Muriuki", "given" : "Tabitha", "non-dropping-particle" : "", "parse-names" : false, "suffix" : "" }, { "dropping-particle" : "", "family" : "Nunan", "given" : "Fiona", "non-dropping-particle" : "", "parse-names" : false, "suffix" : "" }, { "dropping-particle" : "", "family" : "Briers", "given" : "Robert A.", "non-dropping-particle" : "", "parse-names" : false, "suffix" : "" } ], "container-title" : "JOURNAL OF ENVIRONMENTAL MANAGEMENT", "id" : "ITEM-1", "issued" : { "date-parts" : [ [ "2015", "7" ] ] }, "page" : "168-181", "publisher" : "Academic Press", "title" : "Applying Climate Compatible Development and economic valuation to coastal management: A case study of Kenya's mangrove forests", "type" : "article-journal", "volume" : "157" }, "uris" : [ "http://www.mendeley.com/documents/?uuid=0895ef9b-a8ff-4441-85a3-3a34756fe18f" ] } ], "mendeley" : { "formattedCitation" : "(Huxham et al., 2015)", "plainTextFormattedCitation" : "(Huxham et al., 2015)", "previouslyFormattedCitation" : "(Huxham et al., 2015)"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(Huxham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US$385-419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"10.1016/j.apgeog.2013.08.012", "ISSN" : "0143-6228", "abstract" : "In this paper we present the results of an ecosystem service value derivation for the Can Gio Mangrove Biosphere Reserve in Vietnam. We combine earth-observation-based mapping at the main species level with the result of an extensive socio-economic household survey to assess the value of direct and indirect ecosystem services provided by Can Gio's mangroves. Remotely sensed optical and radar data from 2011 were used to derive the precise extent of mangrove coverage. Household survey results led to an understanding of the value placed on mangroves by different occupational groups, namely, forest managers, fisherman, shrimp farmers, and other farmers. Common to all is a lack of understanding of the value of a natural resource if no direct income is generated. At the same time, depending on occupation, a clear trend towards appreciating and understanding the importance of mangroves can be observed: it is the highest with local and migratory fisherman, followed by forest managers, while shrimp farmers have the least knowledge about mangrove benefits, and also express the least willingness to further protect them. Values derived from the household surveys as well as secondary sources in combination with remotesensing-based mapping enabled us to determine the ecosystem services value of Can Gio mangroves for selected categories of advantages. (C) 2013 Elsevier Ltd. All rights reserved.", "author" : [ { "dropping-particle" : "", "family" : "Kuenzer", "given" : "Claudia", "non-dropping-particle" : "", "parse-names" : false, "suffix" : "" }, { "dropping-particle" : "", "family" : "Tuan", "given" : "Vo Quoc", "non-dropping-particle" : "", "parse-names" : false, "suffix" : "" } ], "container-title" : "APPLIED GEOGRAPHY", "id" : "ITEM-1", "issued" : { "date-parts" : [ [ "2013", "12" ] ] }, "page" : "167-184", "title" : "Assessing the ecosystem services value of Can Gio Mangrove Biosphere Reserve: Combining earth observation and household survey based analyses", "type" : "article-journal", "volume" : "45" }, "uris" : [ "http://www.mendeley.com/documents/?uuid=2fd1f3ab-26de-42e5-9091-fa6083387049" ] } ], "mendeley" : { "formattedCitation" : "(Kuenzer and Tuan, 2013)", "plainTextFormattedCitation" : "(Kuenzer and Tuan, 2013)", "previouslyFormattedCitation" : "(Kuenzer and Tuan, 2013)" }, "properties" : { "noteIndex" : 8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(Kuenzer and Tuan, 2013)</w:t>
            </w:r>
            <w:r w:rsidRPr="004A65FD">
              <w:rPr>
                <w:rFonts w:ascii="Cambria" w:eastAsia="Cambria" w:hAnsi="Cambria" w:cs="Cambria"/>
                <w:szCs w:val="24"/>
              </w:rPr>
              <w:fldChar w:fldCharType="end"/>
            </w:r>
            <w:r w:rsidRPr="004A65FD">
              <w:rPr>
                <w:rFonts w:ascii="Cambria" w:eastAsia="Cambria" w:hAnsi="Cambria" w:cs="Cambria"/>
                <w:szCs w:val="24"/>
              </w:rPr>
              <w:t xml:space="preserve">, US$560.55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"author" : [ { "dropping-particle" : "", "family" : "Otieno", "given" : "Philip", "non-dropping-particle" : "", "parse-names" : false, "suffix" : "" } ], "id" : "ITEM-1", "issued" : { "date-parts" : [ [ "2015" ] ] }, "publisher" : "Advanced Studies in Environmental Law and Policy (CASELAP), University of Nairobi", "title" : "LINKING ECONOMIC VALUES OF MANGROVE ECOSYSTEMS WITH THE GOVERNING INSTITUTIONAL FRAMEWORK FOR SUSTAINABLE MANAGEMENT OF THE TANA DELTA, KENYA", "type" : "thesis" }, "uris" : [ "http://www.mendeley.com/documents/?uuid=309aa37d-3a59-4b20-b225-21a7e9ed2140" ] } ], "mendeley" : { "formattedCitation" : "(Otieno, 2015)", "plainTextFormattedCitation" : "(Otieno, 2015)", "previouslyFormattedCitation" : "(Otieno, 2015)"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(Otieno, 2015)</w:t>
            </w:r>
            <w:r w:rsidRPr="004A65FD">
              <w:rPr>
                <w:rFonts w:ascii="Cambria" w:eastAsia="Cambria" w:hAnsi="Cambria" w:cs="Cambria"/>
                <w:szCs w:val="24"/>
              </w:rPr>
              <w:fldChar w:fldCharType="end"/>
            </w:r>
          </w:p>
        </w:tc>
      </w:tr>
      <w:tr w:rsidR="004368D7" w:rsidRPr="004A65FD" w14:paraId="05C7D141" w14:textId="77777777" w:rsidTr="004368D7">
        <w:tc>
          <w:tcPr>
            <w:tcW w:w="2395" w:type="dxa"/>
            <w:shd w:val="clear" w:color="auto" w:fill="auto"/>
            <w:tcMar>
              <w:top w:w="100" w:type="dxa"/>
              <w:left w:w="100" w:type="dxa"/>
              <w:bottom w:w="100" w:type="dxa"/>
              <w:right w:w="100" w:type="dxa"/>
            </w:tcMar>
          </w:tcPr>
          <w:p w14:paraId="62847090"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t>Water</w:t>
            </w:r>
          </w:p>
        </w:tc>
        <w:tc>
          <w:tcPr>
            <w:tcW w:w="7020" w:type="dxa"/>
            <w:shd w:val="clear" w:color="auto" w:fill="auto"/>
            <w:tcMar>
              <w:top w:w="100" w:type="dxa"/>
              <w:left w:w="100" w:type="dxa"/>
              <w:bottom w:w="100" w:type="dxa"/>
              <w:right w:w="100" w:type="dxa"/>
            </w:tcMar>
          </w:tcPr>
          <w:p w14:paraId="458E7914"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US$212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"http://dx.doi.org/10.1071/MF15066", "ISSN" : "1323-1650", "abstract" : "The Niger Delta, being the most extensive freshwater wetland and aquatic ecosystem in West Africa, provides numerous services both to local people and to the West African economy. Ongoing environmental pressure exerted by large-scale oil extraction and illegal timber logging, however, are suspected to have had a substantial impact on the Delta\u2019s ecosystems over the last decades. Knowledge on impact of these activities on the region\u2019s wetlands now or in the past is scarce and patchy. To address this lack of knowledge, this study assesses spatiotemporal changes in two wetlands in the region by using satellite data from 1984 to 2011 and GIS methods. The results show that both wetlands have experienced substantial degradation, particularly with respect to the area of forest lost. Although comprehensive environmental protection laws were introduced in 1988, ecosystem services of up to US$65 million in value were lost over the study period. The introduction of new legislation in 2007, however, is potentially a first step towards a more \u2018wise use\u2019 of wetlands in Nigeria.", "author" : [ { "dropping-particle" : "", "family" : "Ayanlade", "given" : "Ayansina", "non-dropping-particle" : "", "parse-names" : false, "suffix" : "" }, { "dropping-particle" : "", "family" : "Proske", "given" : "Ulrike", "non-dropping-particle" : "", "parse-names" : false, "suffix" : "" } ], "container-title" : "Marine and Freshwater Research", "id" : "ITEM-1", "issued" : { "date-parts" : [ [ "2015" ] ] }, "page" : "828-836", "title" : "Assessing wetland degradation and loss of ecosystem services in the Niger Delta, Nigeria", "type" : "article-journal" }, "uris" : [ "http://www.mendeley.com/documents/?uuid=10e6e7c4-c819-4335-aa8f-a7eccac31475" ] } ], "mendeley" : { "formattedCitation" : "(Ayanlade and Proske, 2015)", "plainTextFormattedCitation" : "(Ayanlade and Proske, 2015)", "previouslyFormattedCitation" : "(Ayanlade and Proske, 2015)"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(Ayanlade and Proske, 2015)</w:t>
            </w:r>
            <w:r w:rsidRPr="004A65FD">
              <w:rPr>
                <w:rFonts w:ascii="Cambria" w:eastAsia="Cambria" w:hAnsi="Cambria" w:cs="Cambria"/>
                <w:szCs w:val="24"/>
              </w:rPr>
              <w:fldChar w:fldCharType="end"/>
            </w:r>
            <w:r w:rsidRPr="004A65FD">
              <w:rPr>
                <w:rFonts w:ascii="Cambria" w:eastAsia="Cambria" w:hAnsi="Cambria" w:cs="Cambria"/>
                <w:szCs w:val="24"/>
              </w:rPr>
              <w:t xml:space="preserve">, US$1,385-6,716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report presents an overview assessment of ecosystem services of the Kingdom of Bahrain, as part of the supporting documentation that together with the Biodiversity Baseline Report, Stakeholder Analysis, and Protected Area Strategy, all comprise foundational elements for the development of an update to the National Biodiversity Strategy and Action Plan (NBSAP) and the revision of the CBD Fifth National Report of the Kingdom of Bahrain. Several methodologies were used in the Ecosystem Services Assessment, drawing on available data and published studies. The main ecosystem services being provided by the terrestrial and marine natural habitats of the Kingdom of Bahrain are first described, then summarized in terms of classes of ecosystem services being provided. Geographical areas within the Kingdom of Bahrain where there are potentially significant concentrations of ecosystem services are also highlighted. Valuation of the ecosystem services of the Kingdom of Bahrain is not possible without economic studies that utilize contingent valuation, travel cost method, and other social surveys. However, ranges of potential values are estimated using available information and benefits transfer, i.e. information derived from studies of that service in other parts of the world. In the absence of contingent valuation surveys of residents, visitors, and businessmen, these estimates of the ranges of values can provide a sense of the potential for investing in natural capital, as well as adequate information for trade-off analyses. The limitations of benefits transfer and the ways in which subsequent research in the Kingdom of Bahrain could fill data gaps and contextualize the ecosystem services valuation are discussed.", "author" : [ { "dropping-particle" : "", "family" : "Mubarak Bin Daina", "given" : "Mohamed", "non-dropping-particle" : "", "parse-names" : false, "suffix" : "" }, { "dropping-particle" : "", "family" : "Khamis", "given" : "Abdelqader", "non-dropping-particle" : "", "parse-names" : false, "suffix" : "" }, { "dropping-particle" : "", "family" : "Alqassim Abdulrazzaq", "given" : "Mohamed", "non-dropping-particle" : "", "parse-names" : false, "suffix" : "" }, { "dropping-particle" : "", "family" : "Sattout", "given" : "Elsa", "non-dropping-particle" : "", "parse-names" : false, "suffix" : "" }, { "dropping-particle" : "", "family" : "Alkhuzai", "given" : "Jameel", "non-dropping-particle" : "", "parse-names" : false, "suffix" : "" }, { "dropping-particle" : "", "family" : "Alhusseini", "given" : "Tamera", "non-dropping-particle" : "", "parse-names" : false, "suffix" : "" }, { "dropping-particle" : "", "family" : "Husain", "given" : "Eman", "non-dropping-particle" : "", "parse-names" : false, "suffix" : "" } ], "collection-title" : "Project report for the UNEP and GEF project \"Updating the National Biodiversity Strategy and Action Plan of the Kingdom of Bahrain\"", "id" : "ITEM-1", "issued" : { "date-parts" : [ [ "2015" ] ] }, "number-of-pages" : "64", "title" : "An Assessment and Mapping of the Potential Values of Ecosystem Services in the Kingdom of Bahrain", "type" : "report" }, "uris" : [ "http://www.mendeley.com/documents/?uuid=74216310-61c9-4390-9dbc-c56b589c92bf" ] } ], "mendeley" : { "formattedCitation" : "(Mubarak Bin Daina et al., 2015)", "plainTextFormattedCitation" : "(Mubarak Bin Daina et al., 2015)", "previouslyFormattedCitation" : "(Mubarak Bin Daina et al., 2015)"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(Mubarak Bin Daina et al., 2015)</w:t>
            </w:r>
            <w:r w:rsidRPr="004A65FD">
              <w:rPr>
                <w:rFonts w:ascii="Cambria" w:eastAsia="Cambria" w:hAnsi="Cambria" w:cs="Cambria"/>
                <w:szCs w:val="24"/>
              </w:rPr>
              <w:fldChar w:fldCharType="end"/>
            </w:r>
          </w:p>
        </w:tc>
      </w:tr>
      <w:tr w:rsidR="004368D7" w:rsidRPr="004A65FD" w14:paraId="123ADEEB" w14:textId="77777777" w:rsidTr="004368D7">
        <w:tc>
          <w:tcPr>
            <w:tcW w:w="2395" w:type="dxa"/>
            <w:shd w:val="clear" w:color="auto" w:fill="auto"/>
            <w:tcMar>
              <w:top w:w="100" w:type="dxa"/>
              <w:left w:w="100" w:type="dxa"/>
              <w:bottom w:w="100" w:type="dxa"/>
              <w:right w:w="100" w:type="dxa"/>
            </w:tcMar>
          </w:tcPr>
          <w:p w14:paraId="5DB36E0C"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t>Raw material</w:t>
            </w:r>
          </w:p>
        </w:tc>
        <w:tc>
          <w:tcPr>
            <w:tcW w:w="7020" w:type="dxa"/>
            <w:shd w:val="clear" w:color="auto" w:fill="auto"/>
            <w:tcMar>
              <w:top w:w="100" w:type="dxa"/>
              <w:left w:w="100" w:type="dxa"/>
              <w:bottom w:w="100" w:type="dxa"/>
              <w:right w:w="100" w:type="dxa"/>
            </w:tcMar>
          </w:tcPr>
          <w:p w14:paraId="3ADF82A5"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US$1.45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"10.1016/j.ecolecon.2012.07.018", "ISSN" : "0921-8009", "abstract" : "In the central region of the Gulf of Mexico, urban growth occurs mainly\nto support tourism and results in loss of natural ecosystems and\necosystem services. Our objectives were to analyze land use changes and\ncalculate the value of these changes in terms of lost ecosystem\nservices. We selected three study sites with contrasting infrastructure\nfor tourism: Boca del Rio, Chachalacas and Costa Esmeralda. From\n1995-2006, we found that urban sprawl was predominant, and occurred over\nmangroves, grasslands, croplands and the beach. Using the benefit\ntransfer method, we calculated a net loss (SUS 2006/ha/year) of $1.4 x\n10(3) in Boca del Rio. $7 x 10(5) in Chachalacas and $1 x 10(5) in\nCosta Esmeralda. Because the value of urban land is higher (from 45,000\nUSD/ha (2006) in Costa Esmeralda to 6 million in Boca del Rio) than the\ntotal estimated Ecosystem Services Value (106,000 USD/ha, including all\necosystems and ecosystem services), land use change may seem\neconomically profitable. However, after losing ecosystem services such\nas coastal protection or scenic value and recreation, the apparent gains\nfrom urban development are lost. Land use and policy making should\nconsider ecosystem service losses so that ecosystems are preserved and\nsociety benefited. (c) 2012 Elsevier B.V. All rights reserved.", "author" : [ { "dropping-particle" : "", "family" : "Mendoza-Gonzalez", "given" : "G", "non-dropping-particle" : "", "parse-names" : false, "suffix" : "" }, { "dropping-particle" : "", "family" : "Martinez", "given" : "M L", "non-dropping-particle" : "", "parse-names" : false, "suffix" : "" }, { "dropping-particle" : "", "family" : "Lithgow", "given" : "D", "non-dropping-particle" : "", "parse-names" : false, "suffix" : "" }, { "dropping-particle" : "", "family" : "Perez-Maqueo", "given" : "O", "non-dropping-particle" : "", "parse-names" : false, "suffix" : "" }, { "dropping-particle" : "", "family" : "Simonin", "given" : "P", "non-dropping-particle" : "", "parse-names" : false, "suffix" : "" } ], "container-title" : "ECOLOGICAL ECONOMICS", "id" : "ITEM-1", "issued" : { "date-parts" : [ [ "2012", "10" ] ] }, "page" : "23-32", "title" : "Land use change and its effects on the value of ecosystem services along the coast of the Gulf of Mexico", "type" : "article-journal", "volume" : "82" }, "uris" : [ "http://www.mendeley.com/documents/?uuid=9d38bd07-d154-4f88-ad0a-c018d4f70c36" ] } ], "mendeley" : { "formattedCitation" : "(Mendoza-Gonzalez et al., 2012)", "plainTextFormattedCitation" : "(Mendoza-Gonzalez et al., 2012)", "previouslyFormattedCitation" : "(Mendoza-Gonzalez et al., 2012)"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(Mendoza-Gonzalez et al., 2012)</w:t>
            </w:r>
            <w:r w:rsidRPr="004A65FD">
              <w:rPr>
                <w:rFonts w:ascii="Cambria" w:eastAsia="Cambria" w:hAnsi="Cambria" w:cs="Cambria"/>
                <w:szCs w:val="24"/>
              </w:rPr>
              <w:fldChar w:fldCharType="end"/>
            </w:r>
            <w:r w:rsidRPr="004A65FD">
              <w:rPr>
                <w:rFonts w:ascii="Cambria" w:eastAsia="Cambria" w:hAnsi="Cambria" w:cs="Cambria"/>
                <w:szCs w:val="24"/>
              </w:rPr>
              <w:t xml:space="preserve">, US$45.30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"10.13140/2.1.1896.0968", "abstract" : "This document reports on a study carried out to assess the value of the forest sector to Myanmar\u2019s economy, in order to justify and identify niches for developing forest-based payments for ecosystem services (PES) and other mechanisms that can be used to generate financing for forest conservation. The study focuses on nine categories of forest ecosystem services that are of high importance in economic and human wellbeing terms, and for which sufficient data are available to enable monetary valuation: wood-based biomass and energy, wild foods, animal-based energy, watershed protection, coastal protection, carbon sequestration, maintenance of nursery populations and habitats, pollination and seed dispersal, and nature-based recreation and tourism. The study first assesses the baseline: it identifies the ecosystem services that are currently being generated by the forest sector, and estimates their economic value. It then models two possible policy and management futures: \u201cForest Degradation\u201d, under which forest lands and resources continue to be degraded and over-exploited; and \u201cForest Conservation\u201d, under which forests are used sustainably and conserved effectively according to the goals and targets laid out in the Forestry Masterplan.", "author" : [ { "dropping-particle" : "", "family" : "Emerton", "given" : "Lucy", "non-dropping-particle" : "", "parse-names" : false, "suffix" : "" }, { "dropping-particle" : "", "family" : "Aung", "given" : "Yan Min", "non-dropping-particle" : "", "parse-names" : false, "suffix" : "" } ], "id" : "ITEM-1", "issue" : "February", "issued" : { "date-parts" : [ [ "2013" ] ] }, "page" : "44", "title" : "The Economic Value of Forest Ecosystem Services in Myanmar and Options for Sustainable Financing", "type" : "article-journal" }, "uris" : [ "http://www.mendeley.com/documents/?uuid=cace774b-3dbc-4874-970c-bb53dd6fc380" ] } ], "mendeley" : { "formattedCitation" : "(Emerton and Aung, 2013)", "plainTextFormattedCitation" : "(Emerton and Aung, 2013)", "previouslyFormattedCitation" : "(Emerton and Aung, 2013)"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(Emerton and Aung, 2013)</w:t>
            </w:r>
            <w:r w:rsidRPr="004A65FD">
              <w:rPr>
                <w:rFonts w:ascii="Cambria" w:eastAsia="Cambria" w:hAnsi="Cambria" w:cs="Cambria"/>
                <w:szCs w:val="24"/>
              </w:rPr>
              <w:fldChar w:fldCharType="end"/>
            </w:r>
            <w:r w:rsidRPr="004A65FD">
              <w:rPr>
                <w:rFonts w:ascii="Cambria" w:eastAsia="Cambria" w:hAnsi="Cambria" w:cs="Cambria"/>
                <w:szCs w:val="24"/>
              </w:rPr>
              <w:t xml:space="preserve">, </w:t>
            </w:r>
            <w:r>
              <w:rPr>
                <w:rFonts w:ascii="Cambria" w:eastAsia="Cambria" w:hAnsi="Cambria" w:cs="Cambria"/>
                <w:szCs w:val="24"/>
              </w:rPr>
              <w:t xml:space="preserve">US$50 </w:t>
            </w:r>
            <w:r>
              <w:rPr>
                <w:rFonts w:ascii="Cambria" w:eastAsia="Cambria" w:hAnsi="Cambria" w:cs="Cambria"/>
                <w:szCs w:val="24"/>
              </w:rPr>
              <w:fldChar w:fldCharType="begin" w:fldLock="1"/>
            </w:r>
            <w:r>
              <w:rPr>
                <w:rFonts w:ascii="Cambria" w:eastAsia="Cambria" w:hAnsi="Cambria" w:cs="Cambria"/>
                <w:szCs w:val="24"/>
              </w:rPr>
              <w:instrText>ADDIN CSL_CITATION { "citationItems" : [ { "id" : "ITEM-1", "itemData" : { "DOI" : "10.1051/kmae/2009009", "ISSN" : "1961-9502", "abstract" : "Wetlands, including mangroves, perform several functions such as inundation control, and protection from erosion, storm, floods and tidal damage, and generate goods and products such as fish and forest resources. These functions are of fundamental importance for society. The present study aims to identify the challenges of the mangrove wetlands of north Malabar, their uses and socio-economic influence on local people, and the value of ecosystem services, and to suggest the way forward for sustainable development.", "author" : [ { "dropping-particle" : "", "family" : "Khaleel", "given" : "K. M.", "non-dropping-particle" : "", "parse-names" : false, "suffix" : "" }, { "dropping-particle" : "", "family" : "Jaleel", "given" : "C. A.", "non-dropping-particle" : "", "parse-names" : false, "suffix" : "" }, { "dropping-particle" : "", "family" : "Jaleel", "given" : "C. A.", "non-dropping-particle" : "", "parse-names" : false, "suffix" : "" } ], "container-title" : "KNOWLEDGE AND MANAGEMENT OF AQUATIC ECOSYSTEMS", "id" : "ITEM-1", "issue" : "392", "issued" : { "date-parts" : [ [ "2009", "5", "12" ] ] }, "page" : "03", "publisher" : "EDP Sciences", "title" : "Environmental challenges to the mangrove wetlands of North Malabar (Kerala), India: Their sustainable development and influence on local people", "type" : "article-journal" }, "uris" : [ "http://www.mendeley.com/documents/?uuid=8094bb54-efa3-4bef-a0d4-046a9fb85dc8" ] }, { "id" : "ITEM-2",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"ITEM-2",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Khaleel et al., 2009)", "plainTextFormattedCitation" : "(Khaleel, 2012; Khaleel et al., 2009)", "previouslyFormattedCitation" : "(Khaleel, 2012; Khaleel et al., 2009)" }, "properties" : { "noteIndex" : 9 }, "schema" : "https://github.com/citation-style-language/schema/raw/master/csl-citation.json" }</w:instrText>
            </w:r>
            <w:r>
              <w:rPr>
                <w:rFonts w:ascii="Cambria" w:eastAsia="Cambria" w:hAnsi="Cambria" w:cs="Cambria"/>
                <w:szCs w:val="24"/>
              </w:rPr>
              <w:fldChar w:fldCharType="separate"/>
            </w:r>
            <w:r w:rsidRPr="008B28A5">
              <w:rPr>
                <w:rFonts w:ascii="Cambria" w:eastAsia="Cambria" w:hAnsi="Cambria" w:cs="Cambria"/>
                <w:noProof/>
                <w:szCs w:val="24"/>
              </w:rPr>
              <w:t>(Khaleel, 2012; Khaleel et al., 2009)</w:t>
            </w:r>
            <w:r>
              <w:rPr>
                <w:rFonts w:ascii="Cambria" w:eastAsia="Cambria" w:hAnsi="Cambria" w:cs="Cambria"/>
                <w:szCs w:val="24"/>
              </w:rPr>
              <w:fldChar w:fldCharType="end"/>
            </w:r>
            <w:r>
              <w:rPr>
                <w:rFonts w:ascii="Cambria" w:eastAsia="Cambria" w:hAnsi="Cambria" w:cs="Cambria"/>
                <w:szCs w:val="24"/>
              </w:rPr>
              <w:t xml:space="preserve">, </w:t>
            </w:r>
            <w:r w:rsidRPr="004A65FD">
              <w:rPr>
                <w:rFonts w:ascii="Cambria" w:eastAsia="Cambria" w:hAnsi="Cambria" w:cs="Cambria"/>
                <w:szCs w:val="24"/>
              </w:rPr>
              <w:t xml:space="preserve">US$79.50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"The present report is a first estimation of value of the Ecosystem Services - for human wellbeing, social welfare and economic growth - provided by the Canary Current Large Marine Ecosystem\u00b4s marine and coastal ecosystems. These ecosystems comprise of rich and diverse marine habitats, with an abundance of marine flora and fauna, especially fish, and ecologically important coastal habitats like mangroves, estuaries, seagrass beds and meadows, and extensive sandy beaches and dunes. All these ecosystems both represent important habitats for animals and plants, as well as crucial sources of income for local populations and national budgets. The estimation of the \"monetary value\" of these ecosystems was based on a formerly developed methodology applied in the Guinea Current LME region, and is a first and rough attempt to depict the importance of the ecosystems in monetary terms, which is always a difficult endeavor, especially with regard to the fragmentary data situation in the region. Accordingly, distributional effects of the values generated are not being analyzed in the current study.", "author" : [ { "dropping-particle" : "", "family" : "Interwies", "given" : "Eduard", "non-dropping-particle" : "", "parse-names" : false, "suffix" : "" }, { "dropping-particle" : "", "family" : "Gorlitz", "given" : "Stefan", "non-dropping-particle" : "", "parse-names" : false, "suffix" : "" } ], "id" : "ITEM-1", "issued" : { "date-parts" : [ [ "2013" ] ] }, "title" : "Economic and social valuation of the CCLME ecosystem services", "type" : "report" }, "uris" : [ "http://www.mendeley.com/documents/?uuid=ff450b07-f53f-4ee3-b6e6-62e9a827debe" ] } ], "mendeley" : { "formattedCitation" : "(Interwies and Gorlitz, 2013)", "plainTextFormattedCitation" : "(Interwies and Gorlitz, 2013)", "previouslyFormattedCitation" : "(Interwies and Gorlitz, 2013)"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(Interwies and Gorlitz, 2013)</w:t>
            </w:r>
            <w:r w:rsidRPr="004A65FD">
              <w:rPr>
                <w:rFonts w:ascii="Cambria" w:eastAsia="Cambria" w:hAnsi="Cambria" w:cs="Cambria"/>
                <w:szCs w:val="24"/>
              </w:rPr>
              <w:fldChar w:fldCharType="end"/>
            </w:r>
            <w:r w:rsidRPr="004A65FD">
              <w:rPr>
                <w:rFonts w:ascii="Cambria" w:eastAsia="Cambria" w:hAnsi="Cambria" w:cs="Cambria"/>
                <w:szCs w:val="24"/>
              </w:rPr>
              <w:t xml:space="preserve">, US$101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"10.1016/j.ecolecon.2012.03.015", "ISSN" : "09218009", "abstract" : "Evidence suggests that the ecological functions underlying many ecosystem goods and services are spatially variable. For coastal systems, a simple model is developed incorporating a spatial production function that declines across an ecological landscape. The basic model demonstrates how spatial production of ecosystem services affects the location and extent of landscape conversion. An extension allows for the risk of ecological collapse, when the critical size of the remaining landscape that precipitates the collapse is not known. Both models are simulated using the example of spatial variation in ecosystem services across a mangrove habitat that might be converted to shrimp aquaculture.", "author" : [ { "dropping-particle" : "", "family" : "Barbier", "given" : "Edward B.", "non-dropping-particle" : "", "parse-names" : false, "suffix" : "" } ], "container-title" : "Ecological Economics", "id" : "ITEM-1", "issued" : { "date-parts" : [ [ "2012", "6" ] ] }, "page" : "70-79", "title" : "A spatial model of coastal ecosystem services", "type" : "article-journal", "volume" : "78" }, "uris" : [ "http://www.mendeley.com/documents/?uuid=edad72e4-6c0a-40c3-a8ec-5f37fa146cb0" ] } ], "mendeley" : { "formattedCitation" : "(Barbier, 2012b)", "plainTextFormattedCitation" : "(Barbier, 2012b)", "previouslyFormattedCitation" : "(Barbier, 2012b)"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(Barbier, 2012b)</w:t>
            </w:r>
            <w:r w:rsidRPr="004A65FD">
              <w:rPr>
                <w:rFonts w:ascii="Cambria" w:eastAsia="Cambria" w:hAnsi="Cambria" w:cs="Cambria"/>
                <w:szCs w:val="24"/>
              </w:rPr>
              <w:fldChar w:fldCharType="end"/>
            </w:r>
            <w:r w:rsidRPr="004A65FD">
              <w:rPr>
                <w:rFonts w:ascii="Cambria" w:eastAsia="Cambria" w:hAnsi="Cambria" w:cs="Cambria"/>
                <w:szCs w:val="24"/>
              </w:rPr>
              <w:t xml:space="preserve">, US$110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US$212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"http://dx.doi.org/10.1071/MF15066", "ISSN" : "1323-1650", "abstract" : "The Niger Delta, being the most extensive freshwater wetland and aquatic ecosystem in West Africa, provides numerous services both to local people and to the West African economy. Ongoing environmental pressure exerted by large-scale oil extraction and illegal timber logging, however, are suspected to have had a substantial impact on the Delta\u2019s ecosystems over the last decades. Knowledge on impact of these activities on the region\u2019s wetlands now or in the past is scarce and patchy. To address this lack of knowledge, this study assesses spatiotemporal changes in two wetlands in the region by using satellite data from 1984 to 2011 and GIS methods. The results show that both wetlands have experienced substantial degradation, particularly with respect to the area of forest lost. Although comprehensive environmental protection laws were introduced in 1988, ecosystem services of up to US$65 million in value were lost over the study period. The introduction of new legislation in 2007, however, is potentially a first step towards a more \u2018wise use\u2019 of wetlands in Nigeria.", "author" : [ { "dropping-particle" : "", "family" : "Ayanlade", "given" : "Ayansina", "non-dropping-particle" : "", "parse-names" : false, "suffix" : "" }, { "dropping-particle" : "", "family" : "Proske", "given" : "Ulrike", "non-dropping-particle" : "", "parse-names" : false, "suffix" : "" } ], "container-title" : "Marine and Freshwater Research", "id" : "ITEM-1", "issued" : { "date-parts" : [ [ "2015" ] ] }, "page" : "828-836", "title" : "Assessing wetland degradation and loss of ecosystem services in the Niger Delta, Nigeria", "type" : "article-journal" }, "uris" : [ "http://www.mendeley.com/documents/?uuid=10e6e7c4-c819-4335-aa8f-a7eccac31475" ] } ], "mendeley" : { "formattedCitation" : "(Ayanlade and Proske, 2015)", "plainTextFormattedCitation" : "(Ayanlade and Proske, 2015)", "previouslyFormattedCitation" : "(Ayanlade and Proske, 2015)"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(Ayanlade and Proske, 2015)</w:t>
            </w:r>
            <w:r w:rsidRPr="004A65FD">
              <w:rPr>
                <w:rFonts w:ascii="Cambria" w:eastAsia="Cambria" w:hAnsi="Cambria" w:cs="Cambria"/>
                <w:szCs w:val="24"/>
              </w:rPr>
              <w:fldChar w:fldCharType="end"/>
            </w:r>
          </w:p>
          <w:p w14:paraId="2BA3C53D" w14:textId="77777777" w:rsidR="004368D7" w:rsidRPr="004A65FD" w:rsidRDefault="004368D7" w:rsidP="00575495">
            <w:pPr>
              <w:widowControl w:val="0"/>
              <w:spacing w:line="240" w:lineRule="auto"/>
              <w:rPr>
                <w:rFonts w:ascii="Cambria" w:eastAsia="Cambria" w:hAnsi="Cambria" w:cs="Cambria"/>
                <w:szCs w:val="24"/>
              </w:rPr>
            </w:pPr>
          </w:p>
          <w:p w14:paraId="44D29212"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Production function</w:t>
            </w:r>
            <w:r w:rsidRPr="004A65FD">
              <w:rPr>
                <w:rFonts w:ascii="Cambria" w:eastAsia="Cambria" w:hAnsi="Cambria" w:cs="Cambria"/>
                <w:szCs w:val="24"/>
              </w:rPr>
              <w:t xml:space="preserve">: US$151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"Programs such as REDD (reducing emissions from deforestation and forest degradation) that provide financial incentives to maintain natural carbon stocks are being implemented worldwide to address climate change and the conservation of threatened ecosystems. In developing countries, where the relative cost of conservation is high, these programs are especially attractive to promote sustainable resource use and prevent conversion of valuable ecosystems to other land uses. \r\n To incorporate REDD effectively in these areas, the financial costs and benefits resulting from the project implementation needs to be accessed. Quantification of income received from ecosystem services under baseline and project scenarios needs to be estimated, along with other costs of conservation management in order for a comprehensive comparison to be done. Ensuring that the project not only generates additional value, but also promotes the livelihoods of communities that rely on these ecosystems is key to the long-term sustainability of conservation efforts. \r\n This report serves as a cost-benefit analysis case study in Ambro-Ambanja Bay, Madagascar. This financial analysis looks at Blue Ventures\u2019 proposed conservation of mangrove forests in Northwestern Madagascar using a REDD project. Project cash flows center around net income derived from certain ecosystem services, carbon income generated from REDD and project implementation and transaction costs. One limitation of this analysis is the exclusion of several partial, indirect and non-use ecosystem services provided by the Ambro-Ambanja Bay mangrove forest. To address this, a total economic valuation framework of all ecosystem services provided by Ambro-Ambanja Bay mangroves was created to provide additional insight into the entire estimated value of healthy mangrove forests. \r\n The first chapter of this report provides a background on mangrove ecosystems, the state of Ambaro-Ambanja Bay mangroves, and the general objectives of the proposed project. \r\n The second chapter provides an overview of methods used to estimate deforestation, methods used to derive the net income generated from various ecosystem services, and estimates of the costs associated with the project. The chapter details how these costs and benefits were derived under the baseline and project scenarios to provide insight on the impacts the two scenarios have on the estimated financial cash flows. \r\n The third chapter consists of a financial analysis of the pro\u2026", "author" : [ { "dropping-particle" : "", "family" : "Witt", "given" : "Emily", "non-dropping-particle" : "", "parse-names" : false, "suffix" : "" } ], "id" : "ITEM-1", "issued" : { "date-parts" : [ [ "2016" ] ] }, "publisher" : "Duke University", "title" : "A Financial and Economic Assessment of the Conservation of Northwestern Madagascar Mangroves", "type" : "thesis" }, "uris" : [ "http://www.mendeley.com/documents/?uuid=1dfa0450-c9e7-43e7-97ce-ffac8ee4c323" ] } ], "mendeley" : { "formattedCitation" : "(Witt, 2016)", "plainTextFormattedCitation" : "(Witt, 2016)", "previouslyFormattedCitation" : "(Witt, 2016)"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(Witt, 2016)</w:t>
            </w:r>
            <w:r w:rsidRPr="004A65FD">
              <w:rPr>
                <w:rFonts w:ascii="Cambria" w:eastAsia="Cambria" w:hAnsi="Cambria" w:cs="Cambria"/>
                <w:szCs w:val="24"/>
              </w:rPr>
              <w:fldChar w:fldCharType="end"/>
            </w:r>
            <w:r w:rsidRPr="004A65FD">
              <w:rPr>
                <w:rFonts w:ascii="Cambria" w:eastAsia="Cambria" w:hAnsi="Cambria" w:cs="Cambria"/>
                <w:szCs w:val="24"/>
              </w:rPr>
              <w:t xml:space="preserve">, US$5,100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"10.1016/j.ocecoaman.2008.06.014", "ISSN" : "0964-5691", "abstract" : "A multiple of stakeholder goals, regarding natural resource utilisation, are integrated into an overall provincial strategic forest and fisheries utilisation decision support system providing a platform for defining tactical forest planning objectives within a 10-year planning horizon. The case study area is a 5362 ha mangrove forest enterprise, divided into a buffer zone and a full protection zone, which has 46 permanent staff, 575 farming households, 450 near-shore fishing families, and 200 landless families. The analyses are based on a modification of the forest management planning package PEB, which incorporates multi-objective (political, economic, and biological) linear programming using a 10-year planning horizon based on stand data. Numerous stakeholders' goals are included in the forest management plan. A revenue of US$ 2.6 million in the 10-year planning period is achieved of which 46% is generated from forestry in the full protection zone, 33% from non-farm forestry, and 21% from farm forestry in the buffer zone. The full protection zone forest has the potential to generate the highest revenue and, therefore, a discussion is made on allowing limited forestry in the zone. If the firewood value is included, the revenues would increase to US$ 3.4 million. Findings suggest that firewood collection for landless, fishermen, and farmers is sustainable and, therefore, ought to be legalized. The value of on-farm silviculture and firewood collection accounts for 10% of net revenues, which can be compared to the other income generators: tiger shrimp (8%), mud crab (6%), sluice-gate fishery (44%), animal husbandry (5%), and off-farm activities (27%). The ecological linkage between mangroves and fisheries provides a major additional gross margin of between US$ 4 and 12 million from fisheries alone. A discussion on the general applicability, strengths, and shortcomings of the system is made. (C) 2008 Elsevier Ltd. All rights reserved.", "author" : [ { "dropping-particle" : "", "family" : "Christensen", "given" : "Stig Moller", "non-dropping-particle" : "", "parse-names" : false, "suffix" : "" }, { "dropping-particle" : "", "family" : "Tarp", "given" : "Peter", "non-dropping-particle" : "", "parse-names" : false, "suffix" : "" }, { "dropping-particle" : "", "family" : "Hjortso", "given" : "Carsten Nico", "non-dropping-particle" : "", "parse-names" : false, "suffix" : "" } ], "container-title" : "OCEAN &amp; COASTAL MANAGEMENT", "id" : "ITEM-1", "issue" : "10", "issued" : { "date-parts" : [ [ "2008" ] ] }, "page" : "712-726", "title" : "Mangrove forest management planning in coastal buffer and conservation zones, Vietnam: A multimethodological approach incorporating multiple stakeholders", "type" : "article-journal", "volume" : "51" }, "uris" : [ "http://www.mendeley.com/documents/?uuid=84bc3ead-e4c4-4aa0-9e69-198b3e516980" ] } ], "mendeley" : { "formattedCitation" : "(Christensen et al., 2008)", "plainTextFormattedCitation" : "(Christensen et al., 2008)", "previouslyFormattedCitation" : "(Christensen et al., 2008)"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(Christensen et al., 2008)</w:t>
            </w:r>
            <w:r w:rsidRPr="004A65FD">
              <w:rPr>
                <w:rFonts w:ascii="Cambria" w:eastAsia="Cambria" w:hAnsi="Cambria" w:cs="Cambria"/>
                <w:szCs w:val="24"/>
              </w:rPr>
              <w:fldChar w:fldCharType="end"/>
            </w:r>
            <w:r w:rsidRPr="004A65FD">
              <w:rPr>
                <w:rFonts w:ascii="Cambria" w:eastAsia="Cambria" w:hAnsi="Cambria" w:cs="Cambria"/>
                <w:szCs w:val="24"/>
              </w:rPr>
              <w:t xml:space="preserve">, US$1,336-9201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paper builds on the conceptual basis developed under Phase 1 of the project and presents a framework, which illustrates the various components of an integrated ecosystem service and human well-being assessment. It describes and uses the clear, analytical framework presented in the Millennium Ecosystem Assessment - which links ecosystem services with human well-being - and shows how post-tsunami awareness and action created the recognition that coastal ecosystems and human well-being are interconnected and interdependent. This report describes the different services provided by coastal ecosystems and demonstrates clearly the critical importance of these interconnections. The challenges of investing in coastal ecosystem restoration are discussed under the premise of Total Economic Evaluation. Valuation of coastal ecosystems and ecosystem services can highlight both the benefits of conservation, as well as the costs of degradation and damage to both livelihoods and economies. This is demonstrated clearly by results from phase one and other studies from Sri Lanka and Thailand. In doing so, this report extends awareness on the value of coastal ecosystems, their products and services for human well-being (i.e., livelihood security and development benefits) and shows how economic valuation of coastal ecosystem services can be a valuable tool for conservation managers and development decision-makers. This report recognises that there is an urgent need to communicate clearly a framework, which would provide the conceptual basis for an integrated ecosystem service and human well-being assessment. It presents an integrated framework that includes four sub-assessments: on biodiversity, ecosystem services, economic values, on livelihoods and human well-being. It shows how, together, these four assessments provide an integrated framework that yields all required data for informed decision-making. The report also provides an overview of the indicators that could be used under each sub-assessment, as well as an example of an ecosystem assessment for Sri Lanka, that illustrates the information required for establishing a baseline. Building the capacity of coastal conservation and development decision-makers and managers in undertaking such an assessment is also a key priority. This is addressed by a second activity of this project, through the production of another output, namely a field manual.", "author" : [ { "dropping-particle" : "", "family" : "Kallesoe", "given" : "Mikkel", "non-dropping-particle" : "", "parse-names" : false, "suffix" : "" }, { "dropping-particle" : "", "family" : "Bambaradeniya", "given" : "Channa", "non-dropping-particle" : "", "parse-names" : false, "suffix" : "" }, { "dropping-particle" : "", "family" : "Ali Iftikhar", "given" : "Usman", "non-dropping-particle" : "", "parse-names" : false, "suffix" : "" }, { "dropping-particle" : "", "family" : "Ranasinghe", "given" : "Thushara", "non-dropping-particle" : "", "parse-names" : false, "suffix" : "" }, { "dropping-particle" : "", "family" : "Miththapala", "given" : "Sriyanie", "non-dropping-particle" : "", "parse-names" : false, "suffix" : "" }, { "dropping-particle" : "", "family" : "IUCN", "given" : "", "non-dropping-particle" : "", "parse-names" : false, "suffix" : "" } ], "id" : "ITEM-1", "issued" : { "date-parts" : [ [ "2008" ] ] }, "publisher" : "IUCN", "publisher-place" : "Gland, Switzerland", "title" : "Linking coastal ecosystems and human well-being: Learning from conceptual frameworks and empirical results", "type" : "bill" }, "uris" : [ "http://www.mendeley.com/documents/?uuid=059879db-e7dd-4d16-85ca-45091eb6cf70" ] } ], "mendeley" : { "formattedCitation" : "(Kallesoe et al., 2008)", "plainTextFormattedCitation" : "(Kallesoe et al., 2008)", "previouslyFormattedCitation" : "(Kallesoe et al., 2008)"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(Kallesoe et al., 2008)</w:t>
            </w:r>
            <w:r w:rsidRPr="004A65FD">
              <w:rPr>
                <w:rFonts w:ascii="Cambria" w:eastAsia="Cambria" w:hAnsi="Cambria" w:cs="Cambria"/>
                <w:szCs w:val="24"/>
              </w:rPr>
              <w:fldChar w:fldCharType="end"/>
            </w:r>
            <w:r w:rsidRPr="004A65FD">
              <w:rPr>
                <w:rFonts w:ascii="Cambria" w:eastAsia="Cambria" w:hAnsi="Cambria" w:cs="Cambria"/>
                <w:szCs w:val="24"/>
              </w:rPr>
              <w:t xml:space="preserve">, US$39,233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objective is to produce the economic valuation of mangrove ecosystem services in Vanuatu. It is part of the MESCAL project developed to address the main challenges to mangrove management and conservation. Specifically, the study contributes to the outcome n\u00ba1 (National Baseline Information about Climate Change Scenarios, use and values of Mangroves and Associated Ecosystems) as well as to the outcome n\u00ba4 (Increased Awareness, Advocacy and Capacity development). In response to market failures, economic valuation of mangrove ecosystem services (ES) is viewed as a promising approach at different levels. In this study the ES valuation was undertaken to raise awareness among decision-?\u2010makers, policy-?\u2010makers and the public regarding the benefits of the environment for society. Based on the general recognition that \u201cmoney talks\u201d, its role will be to strengthen the support to environment regulation and resource management actions. At the same time, this study can be part of a monitoring routine to inform management with economic indicators (\u201cwe manage better what we can measure\u201d).", "author" : [ { "dropping-particle" : "", "family" : "Pascal", "given" : "Nicolas", "non-dropping-particle" : "", "parse-names" : false, "suffix" : "" }, { "dropping-particle" : "", "family" : "Bulu", "given" : "Molu", "non-dropping-particle" : "", "parse-names" : false, "suffix" : "" } ], "id" : "ITEM-1", "issue" : "January", "issued" : { "date-parts" : [ [ "2013" ] ] }, "number-of-pages" : "1-146", "title" : "Economic valuation of mangrove ecosystem services, Vanuatu: Case study of Crab Bay (Malekula Is.) and Eratap (Efate Is.)", "type" : "report" }, "uris" : [ "http://www.mendeley.com/documents/?uuid=e843587b-2cbc-4e2a-b3fd-3f5cbed4622b" ] } ], "mendeley" : { "formattedCitation" : "(Pascal and Bulu, 2013)", "plainTextFormattedCitation" : "(Pascal and Bulu, 2013)", "previouslyFormattedCitation" : "(Pascal and Bulu, 2013)"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(Pascal and Bulu, 2013)</w:t>
            </w:r>
            <w:r w:rsidRPr="004A65FD">
              <w:rPr>
                <w:rFonts w:ascii="Cambria" w:eastAsia="Cambria" w:hAnsi="Cambria" w:cs="Cambria"/>
                <w:szCs w:val="24"/>
              </w:rPr>
              <w:fldChar w:fldCharType="end"/>
            </w:r>
          </w:p>
          <w:p w14:paraId="5D3A9F5E" w14:textId="77777777" w:rsidR="004368D7" w:rsidRPr="004A65FD" w:rsidRDefault="004368D7" w:rsidP="00575495">
            <w:pPr>
              <w:widowControl w:val="0"/>
              <w:spacing w:line="240" w:lineRule="auto"/>
              <w:rPr>
                <w:rFonts w:ascii="Cambria" w:eastAsia="Cambria" w:hAnsi="Cambria" w:cs="Cambria"/>
                <w:szCs w:val="24"/>
              </w:rPr>
            </w:pPr>
          </w:p>
          <w:p w14:paraId="2D00C964"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Market price</w:t>
            </w:r>
            <w:r w:rsidRPr="004A65FD">
              <w:rPr>
                <w:rFonts w:ascii="Cambria" w:eastAsia="Cambria" w:hAnsi="Cambria" w:cs="Cambria"/>
                <w:szCs w:val="24"/>
              </w:rPr>
              <w:t xml:space="preserve">: US$12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"10.3390/f6093028", "ISSN" : "1999-4907", "abstract" : "Mangroves are recognized as a provider of a variety of products and essential ecosystem services that contribute significantly to the livelihood of local communities. However, over the past decades, mangroves in many tropical areas including the Takalar district, South Sulawesi have degraded and decreased mainly due to conversion to aquaculture. Currently, little is known about the economic benefits of commercialization of aquaculture as compared to those derived from mangroves in the form of products and services. Here, we estimate the Total Economic Value (TEV) of mangrove benefits in order to compare it with the benefit value of commercial aquaculture. Market prices, replacement costs, benefit transfer value and Cost-Benefit Analyses (CBA) have been used for value determination and comparison. The results show that the per year TEV of mangroves in the study area (Takalar district, South Sulawesi) was in the range of 4370 thousands USD (kUSD) to 10,597 kUSD or 4 kUSD to 8 kUSD per hectare (the highest value contribution derived from the indirect use value (94%)), whereas commercial aquaculture had a net benefit value of 228 kUSD or 3 kUSD per hectare. In addition, the comparison of Net Present Value (NPV) between the benefit value of mangroves and that of commercial aquaculture revealed that conversion of mangroves into commercial aquaculture was not economically beneficial when the analysis was expanded to cover the costs of environmental and forest rehabilitation.", "author" : [ { "dropping-particle" : "", "family" : "Malik", "given" : "Abdul", "non-dropping-particle" : "", "parse-names" : false, "suffix" : "" }, { "dropping-particle" : "", "family" : "Fensholt", "given" : "Rasmus", "non-dropping-particle" : "", "parse-names" : false, "suffix" : "" }, { "dropping-particle" : "", "family" : "Mertz", "given" : "Ole", "non-dropping-particle" : "", "parse-names" : false, "suffix" : "" } ], "container-title" : "Forests", "id" : "ITEM-1", "issue" : "9", "issued" : { "date-parts" : [ [ "2015", "8", "31" ] ] }, "page" : "3028-3044", "publisher" : "Multidisciplinary Digital Publishing Institute", "title" : "Economic Valuation of Mangroves for Comparison with Commercial Aquaculture in South Sulawesi, Indonesia", "type" : "article-journal", "volume" : "6" }, "uris" : [ "http://www.mendeley.com/documents/?uuid=6d3408e8-12e2-44c4-9b6a-ac0fd15bd4af" ] } ], "mendeley" : { "formattedCitation" : "(Malik et al., 2015b)", "plainTextFormattedCitation" : "(Malik et al., 2015b)", "previouslyFormattedCitation" : "(Malik et al., 2015b)"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(Malik et al., 2015b)</w:t>
            </w:r>
            <w:r w:rsidRPr="004A65FD">
              <w:rPr>
                <w:rFonts w:ascii="Cambria" w:eastAsia="Cambria" w:hAnsi="Cambria" w:cs="Cambria"/>
                <w:szCs w:val="24"/>
              </w:rPr>
              <w:fldChar w:fldCharType="end"/>
            </w:r>
            <w:r w:rsidRPr="004A65FD">
              <w:rPr>
                <w:rFonts w:ascii="Cambria" w:eastAsia="Cambria" w:hAnsi="Cambria" w:cs="Cambria"/>
                <w:szCs w:val="24"/>
              </w:rPr>
              <w:t xml:space="preserve">, US$30.50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"Krabi River Estuary, a ramsar site located in southern Thailand, is dominated by two major natural vegetation assemblages, i.e. mangrove forests and seagrass beds. According to the cluster development strategy, the cabinet has approved in principle to develop Krabi as the global marine tourism center and economic gateway of Asia. This study aimed to assess the economic value of the site, using market price and benefit transfer. The impact on economic activities with the 5% annual decline of mangrove forests was evaluated. The estimated annual use value of the site was $9.7 million for recreation and tourism. The economic value of mangrove forests was $758/ha. The net present value of mangrove forests was $73.1 million based on 7% discount rate and 15-year time line. An approximate impact of mangrove change follows the study of Ruitenbeek (1992). It was assumed that the impact on local direct resource extraction and loss in biodiversity would occur at the year after the depletion of the forest. The impact on the productivity of local fishery would occur in the fifth year and on tourism in the tenth year. Thus, value loss of mangrove at the annual rate of 5% in the net present term became $21.0 million or $2.3 million per year. The results imply that a development project that causes the same rate of mangrove destruction must generate a least an income of $2.3 million per year to be considered as an economically feasible project.", "author" : [ { "dropping-particle" : "", "family" : "Janekarnkij", "given" : "Penporn", "non-dropping-particle" : "", "parse-names" : false, "suffix" : "" } ], "collection-title" : "ARE Working Paper", "id" : "ITEM-1", "issue" : "2553", "issued" : { "date-parts" : [ [ "2010" ] ] }, "number" : "No. 2553/4.", "number-of-pages" : "16-18", "publisher-place" : "Bangkok, Thailand", "title" : "Assessing the value of Krabi River Estuary Ramsar Site conservation and development", "type" : "report" }, "uris" : [ "http://www.mendeley.com/documents/?uuid=5dc32b82-13a8-407b-a2b0-a46c456c34e8" ] } ], "mendeley" : { "formattedCitation" : "(Janekarnkij, 2010)", "plainTextFormattedCitation" : "(Janekarnkij, 2010)", "previouslyFormattedCitation" : "(Janekarnkij, 2010)"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(Janekarnkij, 2010)</w:t>
            </w:r>
            <w:r w:rsidRPr="004A65FD">
              <w:rPr>
                <w:rFonts w:ascii="Cambria" w:eastAsia="Cambria" w:hAnsi="Cambria" w:cs="Cambria"/>
                <w:szCs w:val="24"/>
              </w:rPr>
              <w:fldChar w:fldCharType="end"/>
            </w:r>
            <w:r w:rsidRPr="004A65FD">
              <w:rPr>
                <w:rFonts w:ascii="Cambria" w:eastAsia="Cambria" w:hAnsi="Cambria" w:cs="Cambria"/>
                <w:szCs w:val="24"/>
              </w:rPr>
              <w:t xml:space="preserve">, US$35.70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was undertaken as part of UNEP efforts of promoting forests as a significant green economy asset for Kenya. Forests should be taken into account when calculating the national accounts because the global rush for land and the increasing demand for agricultural products and urban infrastructure continue to intensify the pressure on tropical and coastal forests. The fact that forests provide goods and services which currently have no valued assigned to in economic markets exacerbates the deforestation and land conversion. Mangrove forests are among the most productive and valuable ecosystems on earth. However, the economic value of the diverse functions they provide such as shoreline protection, nursery habitats and carbon storage are not accounted for by decision-makers. This study aims to demonstrate the economic value of mangrove forest services in Kenya, using the Gazi Bay mangrove forest ecosystem as an illustration. The study quantifies the Total Economic Value (TEV) of the Gazi Bay mangrove forest. The variables are divided into direct use, indirect use and non-use value. Direct use values include fishery, timber, eco-tourism, research and education, aquaculture and apiculture. They account for 20 per cent of the TEV. Indirect use values of the mangroves are shoreline protection, carbon sequestration and biodiversity. They represent 25 per cent of the TEV. The existence value, which represents the value of mangroves in an unharmed state, accounts for 55 per cent of the TEV. The analysis results in a TEV of US$ 1,092 per hectare per year. To quantify the value of the goods and services, different methods were applied. Most of the direct uses were calculated using the market value of the products. The Damage Costs Avoided Method was used to value the shoreline protection function of the mangroves. Biodiversity and existence value were derived using the Benefit Transfer Method (BT). It is acknowledged and stressed that this study suffers from research limitations. One reason is the lack of primary data and appropriate peer reviewed studies. Application of the BT should also be considered with caution. It is, however, recognized as one of the most widely used methodologies in the field of environmental valuation and serves as a first approach in determining non-marketable mangrove services. Therefore the results of this analysis should be considered as a first step towards quantifying the value of Kenyan mangrove goods and services. The resul\u2026", "author" : [ { "dropping-particle" : "", "family" : "Hoberg", "given" : "Janis", "non-dropping-particle" : "", "parse-names" : false, "suffix" : "" } ], "id" : "ITEM-1", "issued" : { "date-parts" : [ [ "2011" ] ] }, "title" : "Economic Analysis of Mangrove Forests: A case study in Gazi Bay, Kenya", "type" : "report" }, "uris" : [ "http://www.mendeley.com/documents/?uuid=5647e4af-3381-4729-8c20-57c26ba6f9fc" ] } ], "mendeley" : { "formattedCitation" : "(Hoberg, 2011)", "plainTextFormattedCitation" : "(Hoberg, 2011)", "previouslyFormattedCitation" : "(Hoberg, 2011)"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(Hoberg, 2011)</w:t>
            </w:r>
            <w:r w:rsidRPr="004A65FD">
              <w:rPr>
                <w:rFonts w:ascii="Cambria" w:eastAsia="Cambria" w:hAnsi="Cambria" w:cs="Cambria"/>
                <w:szCs w:val="24"/>
              </w:rPr>
              <w:fldChar w:fldCharType="end"/>
            </w:r>
            <w:r w:rsidRPr="004A65FD">
              <w:rPr>
                <w:rFonts w:ascii="Cambria" w:eastAsia="Cambria" w:hAnsi="Cambria" w:cs="Cambria"/>
                <w:szCs w:val="24"/>
              </w:rPr>
              <w:t xml:space="preserve">, US$41.54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"author" : [ { "dropping-particle" : "", "family" : "Otieno", "given" : "Philip", "non-dropping-particle" : "", "parse-names" : false, "suffix" : "" } ], "id" : "ITEM-1", "issued" : { "date-parts" : [ [ "2015" ] ] }, "publisher" : "Advanced Studies in Environmental Law and Policy (CASELAP), University of Nairobi", "title" : "LINKING ECONOMIC VALUES OF MANGROVE ECOSYSTEMS WITH THE GOVERNING INSTITUTIONAL FRAMEWORK FOR SUSTAINABLE MANAGEMENT OF THE TANA DELTA, KENYA", "type" : "thesis" }, "uris" : [ "http://www.mendeley.com/documents/?uuid=309aa37d-3a59-4b20-b225-21a7e9ed2140" ] } ], "mendeley" : { "formattedCitation" : "(Otieno, 2015)", "plainTextFormattedCitation" : "(Otieno, 2015)", "previouslyFormattedCitation" : "(Otieno, 2015)"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(Otieno, 2015)</w:t>
            </w:r>
            <w:r w:rsidRPr="004A65FD">
              <w:rPr>
                <w:rFonts w:ascii="Cambria" w:eastAsia="Cambria" w:hAnsi="Cambria" w:cs="Cambria"/>
                <w:szCs w:val="24"/>
              </w:rPr>
              <w:fldChar w:fldCharType="end"/>
            </w:r>
            <w:r w:rsidRPr="004A65FD">
              <w:rPr>
                <w:rFonts w:ascii="Cambria" w:eastAsia="Cambria" w:hAnsi="Cambria" w:cs="Cambria"/>
                <w:szCs w:val="24"/>
              </w:rPr>
              <w:t xml:space="preserve">, US$206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"10.1016/j.jenvman.2015.04.018", "ISSN" : "0301-4797", "abstract" : "Mangrove forests are under global pressure. Habitat destruction and degradation persist despite long-standing recognition of the important ecological functions of mangroves. Hence new approaches are needed to help stakeholders and policy-makers achieve sound management that is informed by the best science. Here we explore how the new policy concept of Climate Compatible Development (CCD) can be applied to achieve better outcomes. We use economic valuation approaches to combine socio-economic data, projections of forest cover based on quantitative risk mapping and storyline scenario building exercises to articulate the economic consequences of plausible alternative future scenarios for the mangrove forests of the South Kenya coast, as a case study of relevance to many other areas. Using data from 645 household surveys, 10 focus groups and 74 interviews conducted across four mangrove sites, and combining these with information on fish catches taken at three landing sites, a mangrove carbon trading project and published data allowed us to make a thorough (although still partial) economic valuation of the forests. This gave a current value of the South Coast mangroves of USD 6.5 million, or USD 1166 ha(-1), with 59% of this value on average derived from regulating services. Quantitative risk mapping, projecting recent trends over the next twenty years, suggests a 43% loss of forest cover over that time with 100% loss at the most vulnerable sites. Much of the forest lost between 1992 and 2012 has not been replaced by high value alternative land uses hence restoration of these areas is feasible and may not involve large opportunity costs. We invited thirty eight stakeholders to develop plausible storyline scenarios reflecting Business as Usual (BAU) and CCD which emphasises sustainable forest conservation and management in twenty years time, drawing on local and regional expert knowledge of relevant policy, social trends and cultures. Combining these scenarios with the quantitative projections and economic baseline allowed the modelling of likely value added and costs avoided under the CCD scenario. This suggests a net present value of more than US$20 million of adoption of CCD rather than BAU. This work adds to the economic evidence for mangrove conservation and helps to underline the importance of new real and emerging markets, such as for REDD + projects, in making this case for carbon-rich coastal habitats. It demonstrates a policy tool CCD that can be us\u2026", "author" : [ { "dropping-particle" : "", "family" : "Huxham", "given" : "Mark", "non-dropping-particle" : "", "parse-names" : false, "suffix" : "" }, { "dropping-particle" : "", "family" : "Emerton", "given" : "Lucy", "non-dropping-particle" : "", "parse-names" : false, "suffix" : "" }, { "dropping-particle" : "", "family" : "Kairo", "given" : "James", "non-dropping-particle" : "", "parse-names" : false, "suffix" : "" }, { "dropping-particle" : "", "family" : "Munyi", "given" : "Fridah", "non-dropping-particle" : "", "parse-names" : false, "suffix" : "" }, { "dropping-particle" : "", "family" : "Abdirizak", "given" : "Hassan", "non-dropping-particle" : "", "parse-names" : false, "suffix" : "" }, { "dropping-particle" : "", "family" : "Muriuki", "given" : "Tabitha", "non-dropping-particle" : "", "parse-names" : false, "suffix" : "" }, { "dropping-particle" : "", "family" : "Nunan", "given" : "Fiona", "non-dropping-particle" : "", "parse-names" : false, "suffix" : "" }, { "dropping-particle" : "", "family" : "Briers", "given" : "Robert A.", "non-dropping-particle" : "", "parse-names" : false, "suffix" : "" } ], "container-title" : "JOURNAL OF ENVIRONMENTAL MANAGEMENT", "id" : "ITEM-1", "issued" : { "date-parts" : [ [ "2015", "7" ] ] }, "page" : "168-181", "publisher" : "Academic Press", "title" : "Applying Climate Compatible Development and economic valuation to coastal management: A case study of Kenya's mangrove forests", "type" : "article-journal", "volume" : "157" }, "uris" : [ "http://www.mendeley.com/documents/?uuid=0895ef9b-a8ff-4441-85a3-3a34756fe18f" ] } ], "mendeley" : { "formattedCitation" : "(Huxham et al., 2015)", "plainTextFormattedCitation" : "(Huxham et al., 2015)", "previouslyFormattedCitation" : "(Huxham et al., 2015)"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(Huxham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US$2,040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"Mangrove ecosystem is among the most productive and valuable eosystems in the world.The services provided by mangrove ecosystems to human well-being are well acknowledged in literature. Mangrove forests provide not only direct use values such as timber materials and fisheries resources but also indirect use values, for instance coastal protection, carbon sequestration as well as biodiversity. Although mangrove forests play an important role in providing goods and services to humans in both direct and indirect ways, they are declining at alarming rates. Overexploitation of mangrove for timber, urban development, increase population in coastal areas, and especially conversion to aquaculture are the major threats to mangrove forests worldwide. Over the last two decades, many studies on the valuation of mangrove ecosystems using different valuation approaches have been carried out in order to increase the awareness of decision makers to mangrove ecosystems. This dissertation investigates a new approach for quantifying the value of mangrove ecosystem services using remote sensing and household socio-economic data. Specifically, the method differentiates mangrove cover fractions in a mangrove-aquaculture integrated farming system in Ca Mau Province, Mekong Delta using an object-based approach. Ca Mau Province serves as an interesting case study as it has special conditions. First, it is the Province that hosts one of the largest mangrove forest areas in the Mekong Delta. Second, mangrove forests in this Province have been declining rapidly due to expansion of shrimp farming. Last, it is the Province that has special characteristics of the integrated mangrove-quaculture farming system, where mangroves are planted in a shrimp pond with different mangroves densities. This dissertation reviews a comprehensive overview of methods applied for the valuation of mangrove ecosystem services undertaken for the last decades. The main findings of this research include the following: 1) a need for site/landscape-specific valuation of mangrove ecosystem due to the socio-economic context as well as inconsistency in the value-transfer approach; monetary valuation should be used to increase awareness of the importance of mangrove ecosystems to decision akers/local communities. 2) developed an object-based approach for estimating the percentage of mangroves in mixed mangrove-aquaculture farming systems. This approach is a first attempt to quantitatively estimate mangrove percen\u2026", "author" : [ { "dropping-particle" : "", "family" : "Vo", "given" : "Quoc Tuan", "non-dropping-particle" : "", "parse-names" : false, "suffix" : "" } ], "id" : "ITEM-1", "issued" : { "date-parts" : [ [ "2013" ] ] }, "publisher" : "Kiel University", "title" : "Valuation of Mangrove Ecosystems along the Coast of the Mekong Delta in Vietnam an approach combining socio-economic and remote sensing methods", "type" : "thesis" }, "uris" : [ "http://www.mendeley.com/documents/?uuid=a5bd7742-7ab5-4d09-abb5-5cb45c33b693" ] } ], "mendeley" : { "formattedCitation" : "(Vo, 2013)", "plainTextFormattedCitation" : "(Vo, 2013)", "previouslyFormattedCitation" : "(Vo, 2013)" }, "properties" : { "noteIndex" : 9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(Vo, 2013)</w:t>
            </w:r>
            <w:r w:rsidRPr="004A65FD">
              <w:rPr>
                <w:rFonts w:ascii="Cambria" w:eastAsia="Cambria" w:hAnsi="Cambria" w:cs="Cambria"/>
                <w:szCs w:val="24"/>
              </w:rPr>
              <w:fldChar w:fldCharType="end"/>
            </w:r>
          </w:p>
        </w:tc>
      </w:tr>
      <w:tr w:rsidR="004368D7" w:rsidRPr="004A65FD" w14:paraId="629F8134" w14:textId="77777777" w:rsidTr="004368D7">
        <w:tc>
          <w:tcPr>
            <w:tcW w:w="2395" w:type="dxa"/>
            <w:shd w:val="clear" w:color="auto" w:fill="auto"/>
            <w:tcMar>
              <w:top w:w="100" w:type="dxa"/>
              <w:left w:w="100" w:type="dxa"/>
              <w:bottom w:w="100" w:type="dxa"/>
              <w:right w:w="100" w:type="dxa"/>
            </w:tcMar>
          </w:tcPr>
          <w:p w14:paraId="77868BD3"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t>Waste treatment</w:t>
            </w:r>
          </w:p>
        </w:tc>
        <w:tc>
          <w:tcPr>
            <w:tcW w:w="7020" w:type="dxa"/>
            <w:shd w:val="clear" w:color="auto" w:fill="auto"/>
            <w:tcMar>
              <w:top w:w="100" w:type="dxa"/>
              <w:left w:w="100" w:type="dxa"/>
              <w:bottom w:w="100" w:type="dxa"/>
              <w:right w:w="100" w:type="dxa"/>
            </w:tcMar>
          </w:tcPr>
          <w:p w14:paraId="79E5C5A6"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US$30.80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"The present report is a first estimation of value of the Ecosystem Services - for human wellbeing, social welfare and economic growth - provided by the Canary Current Large Marine Ecosystem\u00b4s marine and coastal ecosystems. These ecosystems comprise of rich and diverse marine habitats, with an abundance of marine flora and fauna, especially fish, and ecologically important coastal habitats like mangroves, estuaries, seagrass beds and meadows, and extensive sandy beaches and dunes. All these ecosystems both represent important habitats for animals and plants, as well as crucial sources of income for local populations and national budgets. The estimation of the \"monetary value\" of these ecosystems was based on a formerly developed methodology applied in the Guinea Current LME region, and is a first and rough attempt to depict the importance of the ecosystems in monetary terms, which is always a difficult endeavor, especially with regard to the fragmentary data situation in the region. Accordingly, distributional effects of the values generated are not being analyzed in the current study.", "author" : [ { "dropping-particle" : "", "family" : "Interwies", "given" : "Eduard", "non-dropping-particle" : "", "parse-names" : false, "suffix" : "" }, { "dropping-particle" : "", "family" : "Gorlitz", "given" : "Stefan", "non-dropping-particle" : "", "parse-names" : false, "suffix" : "" } ], "id" : "ITEM-1", "issued" : { "date-parts" : [ [ "2013" ] ] }, "title" : "Economic and social valuation of the CCLME ecosystem services", "type" : "report" }, "uris" : [ "http://www.mendeley.com/documents/?uuid=ff450b07-f53f-4ee3-b6e6-62e9a827debe" ] } ], "mendeley" : { "formattedCitation" : "(Interwies and Gorlitz, 2013)", "plainTextFormattedCitation" : "(Interwies and Gorlitz, 2013)", "previouslyFormattedCitation" : "(Interwies and Gorlitz, 2013)"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(Interwies and Gorlitz, 2013)</w:t>
            </w:r>
            <w:r w:rsidRPr="004A65FD">
              <w:rPr>
                <w:rFonts w:ascii="Cambria" w:eastAsia="Cambria" w:hAnsi="Cambria" w:cs="Cambria"/>
                <w:szCs w:val="24"/>
              </w:rPr>
              <w:fldChar w:fldCharType="end"/>
            </w:r>
            <w:r w:rsidRPr="004A65FD">
              <w:rPr>
                <w:rFonts w:ascii="Cambria" w:eastAsia="Cambria" w:hAnsi="Cambria" w:cs="Cambria"/>
                <w:szCs w:val="24"/>
              </w:rPr>
              <w:t xml:space="preserve">, US$569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"10.1016/j.ecolecon.2012.07.018", "ISSN" : "09218009", "abstract" : "In the central region of the Gulf of Mexico, urban growth occurs mainly to support tourism and results in loss of natural ecosystems and ecosystem services. Our objectives were to analyze land use changes and calculate the value of these changes in terms of lost ecosystem services. We selected three study sites with contrasting infrastructure for tourism: Boca del R\u00edo, Chachalacas and Costa Esmeralda. From 1995\u20132006, we found that urban sprawl was predominant, and occurred over mangroves, grasslands, croplands and the beach. Using the benefit transfer method, we calculated a net loss ($US 2006/ha/year) of $1.4\u00d7103 in Boca del R\u00edo, $7\u00d7105 in Chachalacas and $1\u00d7105 in Costa Esmeralda. Because the value of urban land is higher (from 45,000 USD/ha (2006) in Costa Esmeralda to 6million in Boca del R\u00edo) than the total estimated Ecosystem Services Value (106,000 USD/ha, including all ecosystems and ecosystem services), land use change may seem economically profitable. However, after losing ecosystem services such as coastal protection or scenic value and recreation, the apparent gains from urban development are lost. Land use and policy making should consider ecosystem service losses so that ecosystems are preserved and society benefited.", "author" : [ { "dropping-particle" : "", "family" : "Mendoza-Gonz\u00e1lez", "given" : "G.", "non-dropping-particle" : "", "parse-names" : false, "suffix" : "" }, { "dropping-particle" : "", "family" : "Mart\u00ednez", "given" : "M.L.", "non-dropping-particle" : "", "parse-names" : false, "suffix" : "" }, { "dropping-particle" : "", "family" : "Lithgow", "given" : "D.", "non-dropping-particle" : "", "parse-names" : false, "suffix" : "" }, { "dropping-particle" : "", "family" : "P\u00e9rez-Maqueo", "given" : "O.", "non-dropping-particle" : "", "parse-names" : false, "suffix" : "" }, { "dropping-particle" : "", "family" : "Simonin", "given" : "P.", "non-dropping-particle" : "", "parse-names" : false, "suffix" : "" } ], "container-title" : "Ecological Economics", "id" : "ITEM-1", "issued" : { "date-parts" : [ [ "2012", "10" ] ] }, "page" : "23-32", "title" : "Land use change and its effects on the value of ecosystem services along the coast of the Gulf of Mexico", "type" : "article-journal", "volume" : "82" }, "uris" : [ "http://www.mendeley.com/documents/?uuid=3add7f25-dd1f-4391-bb6f-170960872225" ] } ], "mendeley" : { "formattedCitation" : "(Mendoza-Gonz\u00e1lez et al., 2012)", "plainTextFormattedCitation" : "(Mendoza-Gonz\u00e1lez et al., 2012)", "previouslyFormattedCitation" : "(Mendoza-Gonz\u00e1lez et al., 2012)"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(Mendoza-González et al., 2012)</w:t>
            </w:r>
            <w:r w:rsidRPr="004A65FD">
              <w:rPr>
                <w:rFonts w:ascii="Cambria" w:eastAsia="Cambria" w:hAnsi="Cambria" w:cs="Cambria"/>
                <w:szCs w:val="24"/>
              </w:rPr>
              <w:fldChar w:fldCharType="end"/>
            </w:r>
            <w:r w:rsidRPr="004A65FD">
              <w:rPr>
                <w:rFonts w:ascii="Cambria" w:eastAsia="Cambria" w:hAnsi="Cambria" w:cs="Cambria"/>
                <w:szCs w:val="24"/>
              </w:rPr>
              <w:t xml:space="preserve">, US$660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"ITEM-1",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"plainTextFormattedCitation" : "(Khaleel, 2012)", "previouslyFormattedCitation" : "(Khaleel, 2012)"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w:t>
            </w:r>
            <w:r w:rsidRPr="004A65FD">
              <w:rPr>
                <w:rFonts w:ascii="Cambria" w:eastAsia="Cambria" w:hAnsi="Cambria" w:cs="Cambria"/>
                <w:szCs w:val="24"/>
              </w:rPr>
              <w:fldChar w:fldCharType="end"/>
            </w:r>
            <w:r w:rsidRPr="004A65FD">
              <w:rPr>
                <w:rFonts w:ascii="Cambria" w:eastAsia="Cambria" w:hAnsi="Cambria" w:cs="Cambria"/>
                <w:szCs w:val="24"/>
              </w:rPr>
              <w:t xml:space="preserve">US$760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US$6,696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"Kala Oya Basin (KGB) is one of the largest river basins in Sri Lanka which covers an area of around 2,870 knr and expands over three provinces and four districts. The river basin covers many different types of ecosystems, valuable biodiversity resources and characterized by conflicting user interests and serious degradation issues. The present study attempts valuation of ecosystem services provided by the river basin and aims at providing recommendations for river basin management. Carbon storage and soil conservation functions, recreation, production services of homegardens, and mangrove services were valued using data collectedfrom various primary and secondary sources and using benefit transfer approach as the main valuation method. The annual value of the ecosystem services of the KGB is Rs million 23,500. The highest economic value was resulted from the carbon values (77%). The estimated value represents 1.16% ofGDP (of2004) of the country and 7.33% of the agricultural sector GDP which highlights the significance of the potential economic gains of the basin. Development of appropriation mechanisms for the yet unrealized values and identification of conservation and monitoring priorities are the key issues identified by the present study However the study emphasizes the needfor more complex models that integrate economics, hydrology, and equity aspects which could ensure long term sustenance of the service provision of the river basin.", "author" : [ { "dropping-particle" : "", "family" : "Gunawardena", "given" : "UAD Prasanthi", "non-dropping-particle" : "", "parse-names" : false, "suffix" : "" } ], "container-title" : "Vidyodaya Jounal of Humanities and Social Science Joint Golden Jubilee Issue of Vidyodaya", "id" : "ITEM-1", "issued" : { "date-parts" : [ [ "2009" ] ] }, "page" : "239-266", "title" : "Valuation of Ecosystem Services of Kala Oya River Basin: Implications for River Basin Management", "type" : "article-journal" }, "uris" : [ "http://www.mendeley.com/documents/?uuid=296e5d04-10b9-4561-9cde-c4a910bb916b" ] } ], "mendeley" : { "formattedCitation" : "(Gunawardena, 2009)", "plainTextFormattedCitation" : "(Gunawardena, 2009)", "previouslyFormattedCitation" : "(Gunawardena, 2009)"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(Gunawardena, 2009)</w:t>
            </w:r>
            <w:r w:rsidRPr="004A65FD">
              <w:rPr>
                <w:rFonts w:ascii="Cambria" w:eastAsia="Cambria" w:hAnsi="Cambria" w:cs="Cambria"/>
                <w:szCs w:val="24"/>
              </w:rPr>
              <w:fldChar w:fldCharType="end"/>
            </w:r>
            <w:r w:rsidRPr="004A65FD">
              <w:rPr>
                <w:rFonts w:ascii="Cambria" w:eastAsia="Cambria" w:hAnsi="Cambria" w:cs="Cambria"/>
                <w:szCs w:val="24"/>
              </w:rPr>
              <w:t xml:space="preserve">, US$11,000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"The primary aim of this study is to determine the value of natural assets that affect the two key stakeholders in the tourism industry the Fijian taukei ni vanua/iqoliqoli owners and the resort owners. The underlying factor that led to this study was the possible and potential positive and negative implications of the impending iqoliqoli Bill legislation may have on the tourism industry. Moreover the study is one of the first steps to seek some means at which the overall harmonious relationship between Fijian taukei ni vanua/i qoliqoli and resorts can be maintained.The eleven iqoliqoli along the Coral Coast indicate saleable assets (fish and invertebrates) or its direct use value based on two scenarios of MSY ranged from per year in scenario A (or F$30,014.22 to F$3,001,422.02 to F$8,025,022.29 per Km2 per F$80,250.02 per hectare per year) and F$75,723.07 to F$547,998.90 per Km2 year in scenario B (or F$757.23 to F$5,480 per hectare per year). In addition the direct use value of mangrove is about US$11,000 a hectare (Hamilton and Snedaker eds. in Brown et al. 1993).", "author" : [ { "dropping-particle" : "", "family" : "Korovulavula", "given" : "Isoa", "non-dropping-particle" : "", "parse-names" : false, "suffix" : "" }, { "dropping-particle" : "", "family" : "O 'garra", "given" : "Tanya", "non-dropping-particle" : "", "parse-names" : false, "suffix" : "" }, { "dropping-particle" : "", "family" : "Fong", "given" : "Patrick", "non-dropping-particle" : "", "parse-names" : false, "suffix" : "" }, { "dropping-particle" : "", "family" : "Ratuniata", "given" : "Rusiate", "non-dropping-particle" : "", "parse-names" : false, "suffix" : "" }, { "dropping-particle" : "", "family" : "Mckay", "given" : "Ken", "non-dropping-particle" : "", "parse-names" : false, "suffix" : "" } ], "collection-title" : "COMPONENT 2A - Project 2A2 Knowledge, monitoring, management and benefi cial use of coral reef ecosystems", "id" : "ITEM-1", "issue" : "January", "issued" : { "date-parts" : [ [ "2008" ] ] }, "number" : "Coral Reef Initiatives for the Pacific", "title" : "Final Report Economic Valuation Iqoliqoli - Tourism Study Support", "type" : "report" }, "uris" : [ "http://www.mendeley.com/documents/?uuid=4c69cab5-854c-467a-b03c-98ce3f9285b5" ] } ], "mendeley" : { "formattedCitation" : "(Korovulavula et al., 2008)", "plainTextFormattedCitation" : "(Korovulavula et al., 2008)", "previouslyFormattedCitation" : "(Korovulavula et al., 2008)"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(Korovulavula et al., 2008)</w:t>
            </w:r>
            <w:r w:rsidRPr="004A65FD">
              <w:rPr>
                <w:rFonts w:ascii="Cambria" w:eastAsia="Cambria" w:hAnsi="Cambria" w:cs="Cambria"/>
                <w:szCs w:val="24"/>
              </w:rPr>
              <w:fldChar w:fldCharType="end"/>
            </w:r>
          </w:p>
          <w:p w14:paraId="7EDC7A32" w14:textId="77777777" w:rsidR="004368D7" w:rsidRPr="004A65FD" w:rsidRDefault="004368D7" w:rsidP="00575495">
            <w:pPr>
              <w:widowControl w:val="0"/>
              <w:spacing w:line="240" w:lineRule="auto"/>
              <w:rPr>
                <w:rFonts w:ascii="Cambria" w:eastAsia="Cambria" w:hAnsi="Cambria" w:cs="Cambria"/>
                <w:szCs w:val="24"/>
              </w:rPr>
            </w:pPr>
          </w:p>
          <w:p w14:paraId="6B48CAF8"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Replacement cost</w:t>
            </w:r>
            <w:r w:rsidRPr="004A65FD">
              <w:rPr>
                <w:rFonts w:ascii="Cambria" w:eastAsia="Cambria" w:hAnsi="Cambria" w:cs="Cambria"/>
                <w:szCs w:val="24"/>
              </w:rPr>
              <w:t xml:space="preserve">: US$72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"10.1007/s11852-010-0133-0", "ISSN" : "1400-0350", "abstract" : "This study aimed at the ecological-economic valuation of the Potengi estuary mangrove wetlands, based on the integration of spatial data (mangrove forest coverage map, Nautical Chart, Environmental Sensitivity Chart) with data from literature on the biogeochemistry of nitrogen (N), phosphorus (P), and heavy metals in the mangrove estuary wetland Potengi) and field verification data (topographic profile of mangrove forest, GPS routes obtained in the field in the touristy sightseeing areas and plots of mariculture). The ecological and economic valuation of the services performed by the Potengi estuary mangrove wetlands, mainly as biogeochemical barrier for the transport of P, N and heavy metals in tropical coastal areas, were obtained just as if the retention of those elements was necessary by Wastewater Treatment Plants (WTP) with Stabilization Ponds, typical in the estuary, and Zeolitic plant, respectively. Closer to real scenarios were observed for obtaining the values of these ecological services, such as the release of the P, N and heavy metals in domestic and industrial sewage in the estuary, the capability of dilution and the influence of the tides in the estuary. The tourism potential of the Potengi estuary mangrove wetlands were assessed according to the current forms of use, and potential of aquaculture through the main types of farming in mangrove areas. For these ecological services, considerable values were obtained of about USS15,500/ha, such as costs of implementation and construction of sewage treatment plants, as well as costs of sewage treatment plants. Nearly US$ 12.500 / ha amount each year from tourism and aquaculture income, demonstrating the economic viability of the Potengi estuary mangrove wetlands conservation.", "author" : [ { "dropping-particle" : "", "family" : "Souza", "given" : "Flavo E S", "non-dropping-particle" : "", "parse-names" : false, "suffix" : "" }, { "dropping-particle" : "", "family" : "Silva", "given" : "Carlos Augusto", "non-dropping-particle" : "", "parse-names" : false, "suffix" : "" } ], "container-title" : "JOURNAL OF COASTAL CONSERVATION", "id" : "ITEM-1", "issue" : "1", "issued" : { "date-parts" : [ [ "2011", "3" ] ] }, "page" : "195-206", "title" : "Ecological and economic valuation of the Potengi estuary mangrove wetlands (NE, Brazil) using ancillary spatial data", "type" : "article-journal", "volume" : "15" }, "uris" : [ "http://www.mendeley.com/documents/?uuid=b5fbe667-3ff9-452e-8c98-2c35cbf8777e" ] } ], "mendeley" : { "formattedCitation" : "(Souza and Silva, 2011)", "plainTextFormattedCitation" : "(Souza and Silva, 2011)", "previouslyFormattedCitation" : "(Souza and Silva, 2011)"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(Souza and Silva, 2011)</w:t>
            </w:r>
            <w:r w:rsidRPr="004A65FD">
              <w:rPr>
                <w:rFonts w:ascii="Cambria" w:eastAsia="Cambria" w:hAnsi="Cambria" w:cs="Cambria"/>
                <w:szCs w:val="24"/>
              </w:rPr>
              <w:fldChar w:fldCharType="end"/>
            </w:r>
          </w:p>
        </w:tc>
      </w:tr>
      <w:tr w:rsidR="004368D7" w:rsidRPr="004A65FD" w14:paraId="352DE583" w14:textId="77777777" w:rsidTr="004368D7">
        <w:tc>
          <w:tcPr>
            <w:tcW w:w="2395" w:type="dxa"/>
            <w:shd w:val="clear" w:color="auto" w:fill="auto"/>
            <w:tcMar>
              <w:top w:w="100" w:type="dxa"/>
              <w:left w:w="100" w:type="dxa"/>
              <w:bottom w:w="100" w:type="dxa"/>
              <w:right w:w="100" w:type="dxa"/>
            </w:tcMar>
          </w:tcPr>
          <w:p w14:paraId="1C2CA480"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t>Climate regulation</w:t>
            </w:r>
          </w:p>
        </w:tc>
        <w:tc>
          <w:tcPr>
            <w:tcW w:w="7020" w:type="dxa"/>
            <w:shd w:val="clear" w:color="auto" w:fill="auto"/>
            <w:tcMar>
              <w:top w:w="100" w:type="dxa"/>
              <w:left w:w="100" w:type="dxa"/>
              <w:bottom w:w="100" w:type="dxa"/>
              <w:right w:w="100" w:type="dxa"/>
            </w:tcMar>
          </w:tcPr>
          <w:p w14:paraId="21B264F8"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US$2.20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"Krabi River Estuary, a ramsar site located in southern Thailand, is dominated by two major natural vegetation assemblages, i.e. mangrove forests and seagrass beds. According to the cluster development strategy, the cabinet has approved in principle to develop Krabi as the global marine tourism center and economic gateway of Asia. This study aimed to assess the economic value of the site, using market price and benefit transfer. The impact on economic activities with the 5% annual decline of mangrove forests was evaluated. The estimated annual use value of the site was $9.7 million for recreation and tourism. The economic value of mangrove forests was $758/ha. The net present value of mangrove forests was $73.1 million based on 7% discount rate and 15-year time line. An approximate impact of mangrove change follows the study of Ruitenbeek (1992). It was assumed that the impact on local direct resource extraction and loss in biodiversity would occur at the year after the depletion of the forest. The impact on the productivity of local fishery would occur in the fifth year and on tourism in the tenth year. Thus, value loss of mangrove at the annual rate of 5% in the net present term became $21.0 million or $2.3 million per year. The results imply that a development project that causes the same rate of mangrove destruction must generate a least an income of $2.3 million per year to be considered as an economically feasible project.", "author" : [ { "dropping-particle" : "", "family" : "Janekarnkij", "given" : "Penporn", "non-dropping-particle" : "", "parse-names" : false, "suffix" : "" } ], "collection-title" : "ARE Working Paper", "id" : "ITEM-1", "issue" : "2553", "issued" : { "date-parts" : [ [ "2010" ] ] }, "number" : "No. 2553/4.", "number-of-pages" : "16-18", "publisher-place" : "Bangkok, Thailand", "title" : "Assessing the value of Krabi River Estuary Ramsar Site conservation and development", "type" : "report" }, "uris" : [ "http://www.mendeley.com/documents/?uuid=5dc32b82-13a8-407b-a2b0-a46c456c34e8" ] } ], "mendeley" : { "formattedCitation" : "(Janekarnkij, 2010)", "plainTextFormattedCitation" : "(Janekarnkij, 2010)", "previouslyFormattedCitation" : "(Janekarnkij, 2010)"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(Janekarnkij, 2010)</w:t>
            </w:r>
            <w:r w:rsidRPr="004A65FD">
              <w:rPr>
                <w:rFonts w:ascii="Cambria" w:eastAsia="Cambria" w:hAnsi="Cambria" w:cs="Cambria"/>
                <w:szCs w:val="24"/>
              </w:rPr>
              <w:fldChar w:fldCharType="end"/>
            </w:r>
            <w:r w:rsidRPr="004A65FD">
              <w:rPr>
                <w:rFonts w:ascii="Cambria" w:eastAsia="Cambria" w:hAnsi="Cambria" w:cs="Cambria"/>
                <w:szCs w:val="24"/>
              </w:rPr>
              <w:t xml:space="preserve">, US$186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"http://dx.doi.org/10.1071/MF15066", "ISSN" : "1323-1650", "abstract" : "The Niger Delta, being the most extensive freshwater wetland and aquatic ecosystem in West Africa, provides numerous services both to local people and to the West African economy. Ongoing environmental pressure exerted by large-scale oil extraction and illegal timber logging, however, are suspected to have had a substantial impact on the Delta\u2019s ecosystems over the last decades. Knowledge on impact of these activities on the region\u2019s wetlands now or in the past is scarce and patchy. To address this lack of knowledge, this study assesses spatiotemporal changes in two wetlands in the region by using satellite data from 1984 to 2011 and GIS methods. The results show that both wetlands have experienced substantial degradation, particularly with respect to the area of forest lost. Although comprehensive environmental protection laws were introduced in 1988, ecosystem services of up to US$65 million in value were lost over the study period. The introduction of new legislation in 2007, however, is potentially a first step towards a more \u2018wise use\u2019 of wetlands in Nigeria.", "author" : [ { "dropping-particle" : "", "family" : "Ayanlade", "given" : "Ayansina", "non-dropping-particle" : "", "parse-names" : false, "suffix" : "" }, { "dropping-particle" : "", "family" : "Proske", "given" : "Ulrike", "non-dropping-particle" : "", "parse-names" : false, "suffix" : "" } ], "container-title" : "Marine and Freshwater Research", "id" : "ITEM-1", "issued" : { "date-parts" : [ [ "2015" ] ] }, "page" : "828-836", "title" : "Assessing wetland degradation and loss of ecosystem services in the Niger Delta, Nigeria", "type" : "article-journal" }, "uris" : [ "http://www.mendeley.com/documents/?uuid=10e6e7c4-c819-4335-aa8f-a7eccac31475" ] } ], "mendeley" : { "formattedCitation" : "(Ayanlade and Proske, 2015)", "plainTextFormattedCitation" : "(Ayanlade and Proske, 2015)", "previouslyFormattedCitation" : "(Ayanlade and Proske, 2015)"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(Ayanlade and Proske, 2015)</w:t>
            </w:r>
            <w:r w:rsidRPr="004A65FD">
              <w:rPr>
                <w:rFonts w:ascii="Cambria" w:eastAsia="Cambria" w:hAnsi="Cambria" w:cs="Cambria"/>
                <w:szCs w:val="24"/>
              </w:rPr>
              <w:fldChar w:fldCharType="end"/>
            </w:r>
            <w:r w:rsidRPr="004A65FD">
              <w:rPr>
                <w:rFonts w:ascii="Cambria" w:eastAsia="Cambria" w:hAnsi="Cambria" w:cs="Cambria"/>
                <w:szCs w:val="24"/>
              </w:rPr>
              <w:t xml:space="preserve">, US$219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"10.1016/j.ecoser.2015.04.007", "ISSN" : "2212-0416", "abstract" : "This paper highlights the importance of using household survey and remote sensing data for the assessment of mangrove ecosystem services (fisheries and timber related products, carbon sequestration, storm protection) in Ca Mau Province, Vietnam. The results indicate that remote sensing plays an important role in ecosystem service valuation in the large areas where mangroves and aquaculture are mixed. We estimated the value of mangrove ecosystem services using market price and replacement cost approaches to determine an initial assessment of the overall contribution of mangroves to human well-being. The total estimated value was US$ 600 million/year for 187,533 ha (approximately US$ 3000/ ha/year), which is slightly smaller than the gross domestic product (GDP) of the province (US$ 0.69 billion in 2010). However, this is only a partial estimate that does not consider other services (tourism, biocliversity, cultural and social values), clue to the absence of primary data The main contribution of this study is that it is the first to combine the approaches of remote sensing and household survey for the quantification of mangrove ecosystem services in the mangrove-shrimp integrated system. Our findings indicate that the continued expansion of acivaculture has reduced the benefits to local communities provided by the mangrove ecosystem. (C) 2015 Elsevier B.V. All rights reserved,", "author" : [ { "dropping-particle" : "", "family" : "Quoc Vo", "given" : "Tuan", "non-dropping-particle" : "", "parse-names" : false, "suffix" : "" }, { "dropping-particle" : "", "family" : "Kuenzer", "given" : "C.", "non-dropping-particle" : "", "parse-names" : false, "suffix" : "" }, { "dropping-particle" : "", "family" : "Oppelt", "given" : "N.", "non-dropping-particle" : "", "parse-names" : false, "suffix" : "" }, { "dropping-particle" : "", "family" : "Vo", "given" : "Tuan Quoc", "non-dropping-particle" : "", "parse-names" : false, "suffix" : "" }, { "dropping-particle" : "", "family" : "Kuenzer", "given" : "C.", "non-dropping-particle" : "", "parse-names" : false, "suffix" : "" }, { "dropping-particle" : "", "family" : "Oppelt", "given" : "N.", "non-dropping-particle" : "", "parse-names" : false, "suffix" : "" } ], "container-title" : "ECOSYSTEM SERVICES", "id" : "ITEM-1", "issued" : { "date-parts" : [ [ "2015", "8" ] ] }, "page" : "67-75", "publisher" : "Elsevier", "title" : "How remote sensing supports mangrove ecosystem service valuation: A case study in Ca Mau province, Vietnam", "type" : "article-journal", "volume" : "14" }, "uris" : [ "http://www.mendeley.com/documents/?uuid=497ce339-8553-4e13-b243-d385c76e60d4" ] } ], "mendeley" : { "formattedCitation" : "(Quoc Vo et al., 2015)", "plainTextFormattedCitation" : "(Quoc Vo et al., 2015)", "previouslyFormattedCitation" : "(Quoc Vo et al., 2015)"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(Quoc Vo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US$59-6,538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"10.1016/j.apgeog.2013.08.012", "ISSN" : "0143-6228", "abstract" : "In this paper we present the results of an ecosystem service value derivation for the Can Gio Mangrove Biosphere Reserve in Vietnam. We combine earth-observation-based mapping at the main species level with the result of an extensive socio-economic household survey to assess the value of direct and indirect ecosystem services provided by Can Gio's mangroves. Remotely sensed optical and radar data from 2011 were used to derive the precise extent of mangrove coverage. Household survey results led to an understanding of the value placed on mangroves by different occupational groups, namely, forest managers, fisherman, shrimp farmers, and other farmers. Common to all is a lack of understanding of the value of a natural resource if no direct income is generated. At the same time, depending on occupation, a clear trend towards appreciating and understanding the importance of mangroves can be observed: it is the highest with local and migratory fisherman, followed by forest managers, while shrimp farmers have the least knowledge about mangrove benefits, and also express the least willingness to further protect them. Values derived from the household surveys as well as secondary sources in combination with remotesensing-based mapping enabled us to determine the ecosystem services value of Can Gio mangroves for selected categories of advantages. (C) 2013 Elsevier Ltd. All rights reserved.", "author" : [ { "dropping-particle" : "", "family" : "Kuenzer", "given" : "Claudia", "non-dropping-particle" : "", "parse-names" : false, "suffix" : "" }, { "dropping-particle" : "", "family" : "Tuan", "given" : "Vo Quoc", "non-dropping-particle" : "", "parse-names" : false, "suffix" : "" } ], "container-title" : "APPLIED GEOGRAPHY", "id" : "ITEM-1", "issued" : { "date-parts" : [ [ "2013", "12" ] ] }, "page" : "167-184", "title" : "Assessing the ecosystem services value of Can Gio Mangrove Biosphere Reserve: Combining earth observation and household survey based analyses", "type" : "article-journal", "volume" : "45" }, "uris" : [ "http://www.mendeley.com/documents/?uuid=2fd1f3ab-26de-42e5-9091-fa6083387049" ] } ], "mendeley" : { "formattedCitation" : "(Kuenzer and Tuan, 2013)", "plainTextFormattedCitation" : "(Kuenzer and Tuan, 2013)", "previouslyFormattedCitation" : "(Kuenzer and Tuan, 2013)"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(Kuenzer and Tuan, 2013)</w:t>
            </w:r>
            <w:r w:rsidRPr="004A65FD">
              <w:rPr>
                <w:rFonts w:ascii="Cambria" w:eastAsia="Cambria" w:hAnsi="Cambria" w:cs="Cambria"/>
                <w:szCs w:val="24"/>
              </w:rPr>
              <w:fldChar w:fldCharType="end"/>
            </w:r>
            <w:r w:rsidRPr="004A65FD">
              <w:rPr>
                <w:rFonts w:ascii="Cambria" w:eastAsia="Cambria" w:hAnsi="Cambria" w:cs="Cambria"/>
                <w:szCs w:val="24"/>
              </w:rPr>
              <w:t xml:space="preserve">, US$1,100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p>
          <w:p w14:paraId="53D83A69" w14:textId="77777777" w:rsidR="004368D7" w:rsidRPr="004A65FD" w:rsidRDefault="004368D7" w:rsidP="00575495">
            <w:pPr>
              <w:widowControl w:val="0"/>
              <w:spacing w:line="240" w:lineRule="auto"/>
              <w:rPr>
                <w:rFonts w:ascii="Cambria" w:eastAsia="Cambria" w:hAnsi="Cambria" w:cs="Cambria"/>
                <w:szCs w:val="24"/>
              </w:rPr>
            </w:pPr>
          </w:p>
          <w:p w14:paraId="2945B074"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Market price</w:t>
            </w:r>
            <w:r w:rsidRPr="004A65FD">
              <w:rPr>
                <w:rFonts w:ascii="Cambria" w:eastAsia="Cambria" w:hAnsi="Cambria" w:cs="Cambria"/>
                <w:szCs w:val="24"/>
              </w:rPr>
              <w:t xml:space="preserve">: US$30.50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"10.1890/10-1510.1", "ISSN" : "0012-9615", "abstract" : "The global decline in estuarine and coastal ecosystems (ECEs) is affecting a number of critical benefits, or ecosystem services. We review the main ecological services across a variety of ECEs, including marshes, mangroves, nearshore coral reefs, seagrass beds, and sand beaches and dunes. Where possible, we indicate estimates of the key economic values arising from these services, and discuss how the natural variability of ECEs impacts their benefits, the synergistic relationships of ECEs across seascapes, and management implications. Although reliable valuation estimates are beginning to emerge for the key services of some ECEs, such as coral reefs, salt marshes, and mangroves, many of the important benefits of seagrass beds and sand dunes and beaches have not been assessed properly. Even for coral reefs, marshes, and mangroves, important ecological services have yet to be valued reliably, such as cross-ecosystem nutrient transfer (coral reefs), erosion control (marshes), and pollution control (mangroves). An important issue for valuing certain ECE services, such as coastal protection and habitat\u2013fishery linkages, is that the ecological functions underlying these services vary spatially and temporally. Allowing for the connectivity between ECE habitats also may have important implications for assessing the ecological functions underlying key ecosystems services, such coastal protection, control of erosion, and habitat\u2013fishery linkages. Finally, we conclude by suggesting an action plan for protecting and/or enhancing the immediate and longer-term values of ECE services. Because the connectivity of ECEs across land\u2013sea gradients also influences the provision of certain ecosystem services, management of the entire seascape will be necessary to preserve such synergistic effects. Other key elements of an action plan include further ecological and economic collaborative research on valuing ECE services, improving institutional and legal frameworks for management, controlling and regulating destructive economic activities, and developing ecological restoration options.", "author" : [ { "dropping-particle" : "", "family" : "Barbier", "given" : "Edward B.", "non-dropping-particle" : "", "parse-names" : false, "suffix" : "" }, { "dropping-particle" : "", "family" : "Hacker", "given" : "Sally D.", "non-dropping-particle" : "", "parse-names" : false, "suffix" : "" }, { "dropping-particle" : "", "family" : "Kennedy", "given" : "Chris", "non-dropping-particle" : "", "parse-names" : false, "suffix" : "" }, { "dropping-particle" : "", "family" : "Koch", "given" : "Evamaria W.", "non-dropping-particle" : "", "parse-names" : false, "suffix" : "" }, { "dropping-particle" : "", "family" : "Stier", "given" : "Adrian C.", "non-dropping-particle" : "", "parse-names" : false, "suffix" : "" }, { "dropping-particle" : "", "family" : "Silliman", "given" : "Brian R.", "non-dropping-particle" : "", "parse-names" : false, "suffix" : "" } ], "container-title" : "Ecological Monographs", "id" : "ITEM-1", "issue" : "2", "issued" : { "date-parts" : [ [ "2011", "5" ] ] }, "page" : "169-193", "title" : "The value of estuarine and coastal ecosystem services", "type" : "article-journal", "volume" : "81" }, "uris" : [ "http://www.mendeley.com/documents/?uuid=5d6fc153-a4ce-4f89-9f65-cb6f7ff82e64" ] } ], "mendeley" : { "formattedCitation" : "(Barbier et al., 2011)", "plainTextFormattedCitation" : "(Barbier et al., 2011)", "previouslyFormattedCitation" : "(Barbier et al., 2011)"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(Barbier et al., 2011)</w:t>
            </w:r>
            <w:r w:rsidRPr="004A65FD">
              <w:rPr>
                <w:rFonts w:ascii="Cambria" w:eastAsia="Cambria" w:hAnsi="Cambria" w:cs="Cambria"/>
                <w:szCs w:val="24"/>
              </w:rPr>
              <w:fldChar w:fldCharType="end"/>
            </w:r>
            <w:r w:rsidRPr="004A65FD">
              <w:rPr>
                <w:rFonts w:ascii="Cambria" w:eastAsia="Cambria" w:hAnsi="Cambria" w:cs="Cambria"/>
                <w:szCs w:val="24"/>
              </w:rPr>
              <w:t xml:space="preserve">, US$44.42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"10.1080/10549810902791523", "ISBN" : "10549811", "ISSN" : "1054-9811", "abstract" : "Economic analysis of mangrove reforestation is provided for a replanted Rhizophora mucronata plantation at Gazi Bay, Kenya. Major goods and services from a 12-year plantation were identified as: firewood and building poles, coastal protection, ecotourism, research and education, carbon sequestration and on-site fisheries. The net value of extractable wood products was estimated at US$379.17/ha/yr. For nonextractable products, however, the net value ranged from US$44.42/ha/yr in carbon sequestration to US$1,586.66/ha/yr in coastal protection. The total economic value of a 12-year-old Rhizophora plantation was therefore US$2902.87/ha/yr. Since most of these benefits cannot be internalized, there is need for governments to promote community efforts in mangrove reforestation through finding ways of marketing ecosystem services of the replanted forests. \u00a9 Taylor &amp; Francis Group, LLC.", "author" : [ { "dropping-particle" : "", "family" : "Kairo", "given" : "James G.", "non-dropping-particle" : "", "parse-names" : false, "suffix" : "" }, { "dropping-particle" : "", "family" : "Wanjiru", "given" : "Caroline", "non-dropping-particle" : "", "parse-names" : false, "suffix" : "" }, { "dropping-particle" : "", "family" : "Ochiewo", "given" : "Jacob", "non-dropping-particle" : "", "parse-names" : false, "suffix" : "" } ], "container-title" : "Journal of Sustainable Forestry", "id" : "ITEM-1", "issue" : "November", "issued" : { "date-parts" : [ [ "2009" ] ] }, "page" : "395-414", "title" : "Net Pay: Economic Analysis of a Replanted Mangrove Plantation in Kenya", "type" : "article-journal", "volume" : "28" }, "uris" : [ "http://www.mendeley.com/documents/?uuid=dbefade1-cfc6-41df-803f-f637a62c1581" ] } ], "mendeley" : { "formattedCitation" : "(Kairo et al., 2009)", "plainTextFormattedCitation" : "(Kairo et al., 2009)", "previouslyFormattedCitation" : "(Kairo et al., 2009)"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(Kairo et al., 2009)</w:t>
            </w:r>
            <w:r w:rsidRPr="004A65FD">
              <w:rPr>
                <w:rFonts w:ascii="Cambria" w:eastAsia="Cambria" w:hAnsi="Cambria" w:cs="Cambria"/>
                <w:szCs w:val="24"/>
              </w:rPr>
              <w:fldChar w:fldCharType="end"/>
            </w:r>
            <w:r w:rsidRPr="004A65FD">
              <w:rPr>
                <w:rFonts w:ascii="Cambria" w:eastAsia="Cambria" w:hAnsi="Cambria" w:cs="Cambria"/>
                <w:szCs w:val="24"/>
              </w:rPr>
              <w:t xml:space="preserve">, US$126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was undertaken as part of UNEP efforts of promoting forests as a significant green economy asset for Kenya. Forests should be taken into account when calculating the national accounts because the global rush for land and the increasing demand for agricultural products and urban infrastructure continue to intensify the pressure on tropical and coastal forests. The fact that forests provide goods and services which currently have no valued assigned to in economic markets exacerbates the deforestation and land conversion. Mangrove forests are among the most productive and valuable ecosystems on earth. However, the economic value of the diverse functions they provide such as shoreline protection, nursery habitats and carbon storage are not accounted for by decision-makers. This study aims to demonstrate the economic value of mangrove forest services in Kenya, using the Gazi Bay mangrove forest ecosystem as an illustration. The study quantifies the Total Economic Value (TEV) of the Gazi Bay mangrove forest. The variables are divided into direct use, indirect use and non-use value. Direct use values include fishery, timber, eco-tourism, research and education, aquaculture and apiculture. They account for 20 per cent of the TEV. Indirect use values of the mangroves are shoreline protection, carbon sequestration and biodiversity. They represent 25 per cent of the TEV. The existence value, which represents the value of mangroves in an unharmed state, accounts for 55 per cent of the TEV. The analysis results in a TEV of US$ 1,092 per hectare per year. To quantify the value of the goods and services, different methods were applied. Most of the direct uses were calculated using the market value of the products. The Damage Costs Avoided Method was used to value the shoreline protection function of the mangroves. Biodiversity and existence value were derived using the Benefit Transfer Method (BT). It is acknowledged and stressed that this study suffers from research limitations. One reason is the lack of primary data and appropriate peer reviewed studies. Application of the BT should also be considered with caution. It is, however, recognized as one of the most widely used methodologies in the field of environmental valuation and serves as a first approach in determining non-marketable mangrove services. Therefore the results of this analysis should be considered as a first step towards quantifying the value of Kenyan mangrove goods and services. The resul\u2026", "author" : [ { "dropping-particle" : "", "family" : "Hoberg", "given" : "Janis", "non-dropping-particle" : "", "parse-names" : false, "suffix" : "" } ], "id" : "ITEM-1", "issued" : { "date-parts" : [ [ "2011" ] ] }, "title" : "Economic Analysis of Mangrove Forests: A case study in Gazi Bay, Kenya", "type" : "report" }, "uris" : [ "http://www.mendeley.com/documents/?uuid=5647e4af-3381-4729-8c20-57c26ba6f9fc" ] } ], "mendeley" : { "formattedCitation" : "(Hoberg, 2011)", "plainTextFormattedCitation" : "(Hoberg, 2011)", "previouslyFormattedCitation" : "(Hoberg, 2011)"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(Hoberg, 2011)</w:t>
            </w:r>
            <w:r w:rsidRPr="004A65FD">
              <w:rPr>
                <w:rFonts w:ascii="Cambria" w:eastAsia="Cambria" w:hAnsi="Cambria" w:cs="Cambria"/>
                <w:szCs w:val="24"/>
              </w:rPr>
              <w:fldChar w:fldCharType="end"/>
            </w:r>
            <w:r w:rsidRPr="004A65FD">
              <w:rPr>
                <w:rFonts w:ascii="Cambria" w:eastAsia="Cambria" w:hAnsi="Cambria" w:cs="Cambria"/>
                <w:szCs w:val="24"/>
              </w:rPr>
              <w:t xml:space="preserve">, US$251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"10.1016/j.jenvman.2015.04.018", "ISSN" : "0301-4797", "abstract" : "Mangrove forests are under global pressure. Habitat destruction and degradation persist despite long-standing recognition of the important ecological functions of mangroves. Hence new approaches are needed to help stakeholders and policy-makers achieve sound management that is informed by the best science. Here we explore how the new policy concept of Climate Compatible Development (CCD) can be applied to achieve better outcomes. We use economic valuation approaches to combine socio-economic data, projections of forest cover based on quantitative risk mapping and storyline scenario building exercises to articulate the economic consequences of plausible alternative future scenarios for the mangrove forests of the South Kenya coast, as a case study of relevance to many other areas. Using data from 645 household surveys, 10 focus groups and 74 interviews conducted across four mangrove sites, and combining these with information on fish catches taken at three landing sites, a mangrove carbon trading project and published data allowed us to make a thorough (although still partial) economic valuation of the forests. This gave a current value of the South Coast mangroves of USD 6.5 million, or USD 1166 ha(-1), with 59% of this value on average derived from regulating services. Quantitative risk mapping, projecting recent trends over the next twenty years, suggests a 43% loss of forest cover over that time with 100% loss at the most vulnerable sites. Much of the forest lost between 1992 and 2012 has not been replaced by high value alternative land uses hence restoration of these areas is feasible and may not involve large opportunity costs. We invited thirty eight stakeholders to develop plausible storyline scenarios reflecting Business as Usual (BAU) and CCD which emphasises sustainable forest conservation and management in twenty years time, drawing on local and regional expert knowledge of relevant policy, social trends and cultures. Combining these scenarios with the quantitative projections and economic baseline allowed the modelling of likely value added and costs avoided under the CCD scenario. This suggests a net present value of more than US$20 million of adoption of CCD rather than BAU. This work adds to the economic evidence for mangrove conservation and helps to underline the importance of new real and emerging markets, such as for REDD + projects, in making this case for carbon-rich coastal habitats. It demonstrates a policy tool CCD that can be us\u2026", "author" : [ { "dropping-particle" : "", "family" : "Huxham", "given" : "Mark", "non-dropping-particle" : "", "parse-names" : false, "suffix" : "" }, { "dropping-particle" : "", "family" : "Emerton", "given" : "Lucy", "non-dropping-particle" : "", "parse-names" : false, "suffix" : "" }, { "dropping-particle" : "", "family" : "Kairo", "given" : "James", "non-dropping-particle" : "", "parse-names" : false, "suffix" : "" }, { "dropping-particle" : "", "family" : "Munyi", "given" : "Fridah", "non-dropping-particle" : "", "parse-names" : false, "suffix" : "" }, { "dropping-particle" : "", "family" : "Abdirizak", "given" : "Hassan", "non-dropping-particle" : "", "parse-names" : false, "suffix" : "" }, { "dropping-particle" : "", "family" : "Muriuki", "given" : "Tabitha", "non-dropping-particle" : "", "parse-names" : false, "suffix" : "" }, { "dropping-particle" : "", "family" : "Nunan", "given" : "Fiona", "non-dropping-particle" : "", "parse-names" : false, "suffix" : "" }, { "dropping-particle" : "", "family" : "Briers", "given" : "Robert A.", "non-dropping-particle" : "", "parse-names" : false, "suffix" : "" } ], "container-title" : "JOURNAL OF ENVIRONMENTAL MANAGEMENT", "id" : "ITEM-1", "issued" : { "date-parts" : [ [ "2015", "7" ] ] }, "page" : "168-181", "publisher" : "Academic Press", "title" : "Applying Climate Compatible Development and economic valuation to coastal management: A case study of Kenya's mangrove forests", "type" : "article-journal", "volume" : "157" }, "uris" : [ "http://www.mendeley.com/documents/?uuid=0895ef9b-a8ff-4441-85a3-3a34756fe18f" ] } ], "mendeley" : { "formattedCitation" : "(Huxham et al., 2015)", "plainTextFormattedCitation" : "(Huxham et al., 2015)", "previouslyFormattedCitation" : "(Huxham et al., 2015)"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(Huxham et al., 2015)</w:t>
            </w:r>
            <w:r w:rsidRPr="004A65FD">
              <w:rPr>
                <w:rFonts w:ascii="Cambria" w:eastAsia="Cambria" w:hAnsi="Cambria" w:cs="Cambria"/>
                <w:szCs w:val="24"/>
              </w:rPr>
              <w:fldChar w:fldCharType="end"/>
            </w:r>
            <w:r w:rsidRPr="004A65FD">
              <w:rPr>
                <w:rFonts w:ascii="Cambria" w:eastAsia="Cambria" w:hAnsi="Cambria" w:cs="Cambria"/>
                <w:szCs w:val="24"/>
              </w:rPr>
              <w:t>, US$550-</w:t>
            </w:r>
            <w:r w:rsidRPr="004A65FD">
              <w:rPr>
                <w:rFonts w:ascii="Cambria" w:eastAsia="Cambria" w:hAnsi="Cambria" w:cs="Cambria"/>
                <w:szCs w:val="24"/>
              </w:rPr>
              <w:lastRenderedPageBreak/>
              <w:t xml:space="preserve">1,100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"10.3390/f6093028", "ISSN" : "1999-4907", "abstract" : "Mangroves are recognized as a provider of a variety of products and essential ecosystem services that contribute significantly to the livelihood of local communities. However, over the past decades, mangroves in many tropical areas including the Takalar district, South Sulawesi have degraded and decreased mainly due to conversion to aquaculture. Currently, little is known about the economic benefits of commercialization of aquaculture as compared to those derived from mangroves in the form of products and services. Here, we estimate the Total Economic Value (TEV) of mangrove benefits in order to compare it with the benefit value of commercial aquaculture. Market prices, replacement costs, benefit transfer value and Cost-Benefit Analyses (CBA) have been used for value determination and comparison. The results show that the per year TEV of mangroves in the study area (Takalar district, South Sulawesi) was in the range of 4370 thousands USD (kUSD) to 10,597 kUSD or 4 kUSD to 8 kUSD per hectare (the highest value contribution derived from the indirect use value (94%)), whereas commercial aquaculture had a net benefit value of 228 kUSD or 3 kUSD per hectare. In addition, the comparison of Net Present Value (NPV) between the benefit value of mangroves and that of commercial aquaculture revealed that conversion of mangroves into commercial aquaculture was not economically beneficial when the analysis was expanded to cover the costs of environmental and forest rehabilitation.", "author" : [ { "dropping-particle" : "", "family" : "Malik", "given" : "Abdul", "non-dropping-particle" : "", "parse-names" : false, "suffix" : "" }, { "dropping-particle" : "", "family" : "Fensholt", "given" : "Rasmus", "non-dropping-particle" : "", "parse-names" : false, "suffix" : "" }, { "dropping-particle" : "", "family" : "Mertz", "given" : "Ole", "non-dropping-particle" : "", "parse-names" : false, "suffix" : "" } ], "container-title" : "Forests", "id" : "ITEM-1", "issue" : "9", "issued" : { "date-parts" : [ [ "2015", "8", "31" ] ] }, "page" : "3028-3044", "publisher" : "Multidisciplinary Digital Publishing Institute", "title" : "Economic Valuation of Mangroves for Comparison with Commercial Aquaculture in South Sulawesi, Indonesia", "type" : "article-journal", "volume" : "6" }, "uris" : [ "http://www.mendeley.com/documents/?uuid=6d3408e8-12e2-44c4-9b6a-ac0fd15bd4af" ] } ], "mendeley" : { "formattedCitation" : "(Malik et al., 2015b)", "plainTextFormattedCitation" : "(Malik et al., 2015b)", "previouslyFormattedCitation" : "(Malik et al., 2015b)"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(Malik et al., 2015b)</w:t>
            </w:r>
            <w:r w:rsidRPr="004A65FD">
              <w:rPr>
                <w:rFonts w:ascii="Cambria" w:eastAsia="Cambria" w:hAnsi="Cambria" w:cs="Cambria"/>
                <w:szCs w:val="24"/>
              </w:rPr>
              <w:fldChar w:fldCharType="end"/>
            </w:r>
          </w:p>
          <w:p w14:paraId="718F119A" w14:textId="77777777" w:rsidR="004368D7" w:rsidRPr="004A65FD" w:rsidRDefault="004368D7" w:rsidP="00575495">
            <w:pPr>
              <w:widowControl w:val="0"/>
              <w:spacing w:line="240" w:lineRule="auto"/>
              <w:rPr>
                <w:rFonts w:ascii="Cambria" w:eastAsia="Cambria" w:hAnsi="Cambria" w:cs="Cambria"/>
                <w:szCs w:val="24"/>
              </w:rPr>
            </w:pPr>
          </w:p>
          <w:p w14:paraId="18A33B62"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Production function</w:t>
            </w:r>
            <w:r w:rsidRPr="004A65FD">
              <w:rPr>
                <w:rFonts w:ascii="Cambria" w:eastAsia="Cambria" w:hAnsi="Cambria" w:cs="Cambria"/>
                <w:szCs w:val="24"/>
              </w:rPr>
              <w:t xml:space="preserve">: US$414,411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objective is to produce the economic valuation of mangrove ecosystem services in Vanuatu. It is part of the MESCAL project developed to address the main challenges to mangrove management and conservation. Specifically, the study contributes to the outcome n\u00ba1 (National Baseline Information about Climate Change Scenarios, use and values of Mangroves and Associated Ecosystems) as well as to the outcome n\u00ba4 (Increased Awareness, Advocacy and Capacity development). In response to market failures, economic valuation of mangrove ecosystem services (ES) is viewed as a promising approach at different levels. In this study the ES valuation was undertaken to raise awareness among decision-?\u2010makers, policy-?\u2010makers and the public regarding the benefits of the environment for society. Based on the general recognition that \u201cmoney talks\u201d, its role will be to strengthen the support to environment regulation and resource management actions. At the same time, this study can be part of a monitoring routine to inform management with economic indicators (\u201cwe manage better what we can measure\u201d).", "author" : [ { "dropping-particle" : "", "family" : "Pascal", "given" : "Nicolas", "non-dropping-particle" : "", "parse-names" : false, "suffix" : "" }, { "dropping-particle" : "", "family" : "Bulu", "given" : "Molu", "non-dropping-particle" : "", "parse-names" : false, "suffix" : "" } ], "id" : "ITEM-1", "issue" : "January", "issued" : { "date-parts" : [ [ "2013" ] ] }, "number-of-pages" : "1-146", "title" : "Economic valuation of mangrove ecosystem services, Vanuatu: Case study of Crab Bay (Malekula Is.) and Eratap (Efate Is.)", "type" : "report" }, "uris" : [ "http://www.mendeley.com/documents/?uuid=e843587b-2cbc-4e2a-b3fd-3f5cbed4622b" ] } ], "mendeley" : { "formattedCitation" : "(Pascal and Bulu, 2013)", "plainTextFormattedCitation" : "(Pascal and Bulu, 2013)", "previouslyFormattedCitation" : "(Pascal and Bulu, 2013)"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(Pascal and Bulu, 2013)</w:t>
            </w:r>
            <w:r w:rsidRPr="004A65FD">
              <w:rPr>
                <w:rFonts w:ascii="Cambria" w:eastAsia="Cambria" w:hAnsi="Cambria" w:cs="Cambria"/>
                <w:szCs w:val="24"/>
              </w:rPr>
              <w:fldChar w:fldCharType="end"/>
            </w:r>
          </w:p>
          <w:p w14:paraId="4929CA96" w14:textId="77777777" w:rsidR="004368D7" w:rsidRPr="004A65FD" w:rsidRDefault="004368D7" w:rsidP="00575495">
            <w:pPr>
              <w:widowControl w:val="0"/>
              <w:spacing w:line="240" w:lineRule="auto"/>
              <w:rPr>
                <w:rFonts w:ascii="Cambria" w:eastAsia="Cambria" w:hAnsi="Cambria" w:cs="Cambria"/>
                <w:szCs w:val="24"/>
              </w:rPr>
            </w:pPr>
          </w:p>
          <w:p w14:paraId="634DA7DE"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Social cost of carbon</w:t>
            </w:r>
            <w:r w:rsidRPr="004A65FD">
              <w:rPr>
                <w:rFonts w:ascii="Cambria" w:eastAsia="Cambria" w:hAnsi="Cambria" w:cs="Cambria"/>
                <w:szCs w:val="24"/>
              </w:rPr>
              <w:t>: No per ha per year estimates published.</w:t>
            </w:r>
          </w:p>
        </w:tc>
      </w:tr>
      <w:tr w:rsidR="004368D7" w:rsidRPr="004A65FD" w14:paraId="4445E8E7" w14:textId="77777777" w:rsidTr="004368D7">
        <w:tc>
          <w:tcPr>
            <w:tcW w:w="2395" w:type="dxa"/>
            <w:shd w:val="clear" w:color="auto" w:fill="auto"/>
            <w:tcMar>
              <w:top w:w="100" w:type="dxa"/>
              <w:left w:w="100" w:type="dxa"/>
              <w:bottom w:w="100" w:type="dxa"/>
              <w:right w:w="100" w:type="dxa"/>
            </w:tcMar>
          </w:tcPr>
          <w:p w14:paraId="3CCAA1B7"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lastRenderedPageBreak/>
              <w:t>Erosion prevention</w:t>
            </w:r>
          </w:p>
        </w:tc>
        <w:tc>
          <w:tcPr>
            <w:tcW w:w="7020" w:type="dxa"/>
            <w:shd w:val="clear" w:color="auto" w:fill="auto"/>
            <w:tcMar>
              <w:top w:w="100" w:type="dxa"/>
              <w:left w:w="100" w:type="dxa"/>
              <w:bottom w:w="100" w:type="dxa"/>
              <w:right w:w="100" w:type="dxa"/>
            </w:tcMar>
          </w:tcPr>
          <w:p w14:paraId="64FFFEE0"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US$38.25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"Krabi River Estuary, a ramsar site located in southern Thailand, is dominated by two major natural vegetation assemblages, i.e. mangrove forests and seagrass beds. According to the cluster development strategy, the cabinet has approved in principle to develop Krabi as the global marine tourism center and economic gateway of Asia. This study aimed to assess the economic value of the site, using market price and benefit transfer. The impact on economic activities with the 5% annual decline of mangrove forests was evaluated. The estimated annual use value of the site was $9.7 million for recreation and tourism. The economic value of mangrove forests was $758/ha. The net present value of mangrove forests was $73.1 million based on 7% discount rate and 15-year time line. An approximate impact of mangrove change follows the study of Ruitenbeek (1992). It was assumed that the impact on local direct resource extraction and loss in biodiversity would occur at the year after the depletion of the forest. The impact on the productivity of local fishery would occur in the fifth year and on tourism in the tenth year. Thus, value loss of mangrove at the annual rate of 5% in the net present term became $21.0 million or $2.3 million per year. The results imply that a development project that causes the same rate of mangrove destruction must generate a least an income of $2.3 million per year to be considered as an economically feasible project.", "author" : [ { "dropping-particle" : "", "family" : "Janekarnkij", "given" : "Penporn", "non-dropping-particle" : "", "parse-names" : false, "suffix" : "" } ], "collection-title" : "ARE Working Paper", "id" : "ITEM-1", "issue" : "2553", "issued" : { "date-parts" : [ [ "2010" ] ] }, "number" : "No. 2553/4.", "number-of-pages" : "16-18", "publisher-place" : "Bangkok, Thailand", "title" : "Assessing the value of Krabi River Estuary Ramsar Site conservation and development", "type" : "report" }, "uris" : [ "http://www.mendeley.com/documents/?uuid=5dc32b82-13a8-407b-a2b0-a46c456c34e8" ] } ], "mendeley" : { "formattedCitation" : "(Janekarnkij, 2010)", "plainTextFormattedCitation" : "(Janekarnkij, 2010)", "previouslyFormattedCitation" : "(Janekarnkij, 2010)"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(Janekarnkij, 2010)</w:t>
            </w:r>
            <w:r w:rsidRPr="004A65FD">
              <w:rPr>
                <w:rFonts w:ascii="Cambria" w:eastAsia="Cambria" w:hAnsi="Cambria" w:cs="Cambria"/>
                <w:szCs w:val="24"/>
              </w:rPr>
              <w:fldChar w:fldCharType="end"/>
            </w:r>
            <w:r w:rsidRPr="004A65FD">
              <w:rPr>
                <w:rFonts w:ascii="Cambria" w:eastAsia="Cambria" w:hAnsi="Cambria" w:cs="Cambria"/>
                <w:szCs w:val="24"/>
              </w:rPr>
              <w:t xml:space="preserve">, US$186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"http://dx.doi.org/10.1071/MF15066", "ISSN" : "1323-1650", "abstract" : "The Niger Delta, being the most extensive freshwater wetland and aquatic ecosystem in West Africa, provides numerous services both to local people and to the West African economy. Ongoing environmental pressure exerted by large-scale oil extraction and illegal timber logging, however, are suspected to have had a substantial impact on the Delta\u2019s ecosystems over the last decades. Knowledge on impact of these activities on the region\u2019s wetlands now or in the past is scarce and patchy. To address this lack of knowledge, this study assesses spatiotemporal changes in two wetlands in the region by using satellite data from 1984 to 2011 and GIS methods. The results show that both wetlands have experienced substantial degradation, particularly with respect to the area of forest lost. Although comprehensive environmental protection laws were introduced in 1988, ecosystem services of up to US$65 million in value were lost over the study period. The introduction of new legislation in 2007, however, is potentially a first step towards a more \u2018wise use\u2019 of wetlands in Nigeria.", "author" : [ { "dropping-particle" : "", "family" : "Ayanlade", "given" : "Ayansina", "non-dropping-particle" : "", "parse-names" : false, "suffix" : "" }, { "dropping-particle" : "", "family" : "Proske", "given" : "Ulrike", "non-dropping-particle" : "", "parse-names" : false, "suffix" : "" } ], "container-title" : "Marine and Freshwater Research", "id" : "ITEM-1", "issued" : { "date-parts" : [ [ "2015" ] ] }, "page" : "828-836", "title" : "Assessing wetland degradation and loss of ecosystem services in the Niger Delta, Nigeria", "type" : "article-journal" }, "uris" : [ "http://www.mendeley.com/documents/?uuid=10e6e7c4-c819-4335-aa8f-a7eccac31475" ] } ], "mendeley" : { "formattedCitation" : "(Ayanlade and Proske, 2015)", "plainTextFormattedCitation" : "(Ayanlade and Proske, 2015)", "previouslyFormattedCitation" : "(Ayanlade and Proske, 2015)"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(Ayanlade and Proske, 2015)</w:t>
            </w:r>
            <w:r w:rsidRPr="004A65FD">
              <w:rPr>
                <w:rFonts w:ascii="Cambria" w:eastAsia="Cambria" w:hAnsi="Cambria" w:cs="Cambria"/>
                <w:szCs w:val="24"/>
              </w:rPr>
              <w:fldChar w:fldCharType="end"/>
            </w:r>
            <w:r w:rsidRPr="004A65FD">
              <w:rPr>
                <w:rFonts w:ascii="Cambria" w:eastAsia="Cambria" w:hAnsi="Cambria" w:cs="Cambria"/>
                <w:szCs w:val="24"/>
              </w:rPr>
              <w:t xml:space="preserve">, US$672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"10.1080/08920750601169634", "ISBN" : "0892-0753", "ISSN" : "0892-0753", "PMID" : "24654448", "abstract" : "This article provides results on the net bene\ufb01ts generated from the natural resources in the Bohol Marine Triangle (BMT) in the Philippines. The BMT spans over 112,000 ha and its coastal ecosystems are rich in biodiversity and provide economic opportunities to the coastal communities. With a 10% discount rate, the accumulated total net bene\ufb01ts for the BMT resources over a 10-year period is US$11.54 million. Tourism and the municipal \ufb01sheries are the most important direct use values of the coastal and marine resources of the BMT accounting for 44% and 39% of the total net bene\ufb01ts. Annual revenues attributed to ecosystems were as follows: coral reefs, US$1.26 million; beach/intertidal area, US$1.12 million; marine waters, US$646,501; mangrove, US$239,561; and seagrass, US$105,990. The large market values indicate the dependence of the local community on the BMT coastal and marine resources. In the same way, non-market values show the important life-support functions of coastal and marine ecosystems. The net bene\ufb01ts re\ufb02ect the magnitude of potential losses due to improper management of coastal and marine resources in the BMT. This valuation highlights the importance of the coastal services to the BMT economy and draws attention to the bene\ufb01ts the local stakeholders derive from BMT coastal resources. Policy measures can now take into account these values to justify a suf\ufb01cient investment in coastal management efforts to sustain the \ufb02ow of coastal services in the interest of current and future generations.", "author" : [ { "dropping-particle" : "", "family" : "Samonte-Tan", "given" : "Giselle P. B.", "non-dropping-particle" : "", "parse-names" : false, "suffix" : "" }, { "dropping-particle" : "", "family" : "White", "given" : "Alan T.", "non-dropping-particle" : "", "parse-names" : false, "suffix" : "" }, { "dropping-particle" : "", "family" : "Tercero", "given" : "Mary Ann", "non-dropping-particle" : "", "parse-names" : false, "suffix" : "" }, { "dropping-particle" : "", "family" : "Diviva", "given" : "John", "non-dropping-particle" : "", "parse-names" : false, "suffix" : "" }, { "dropping-particle" : "", "family" : "Tabara", "given" : "Esperanza", "non-dropping-particle" : "", "parse-names" : false, "suffix" : "" }, { "dropping-particle" : "", "family" : "Caballes", "given" : "Ciemon", "non-dropping-particle" : "", "parse-names" : false, "suffix" : "" } ], "container-title" : "Coastal Management", "id" : "ITEM-1", "issue" : "2-3", "issued" : { "date-parts" : [ [ "2007", "3", "16" ] ] }, "page" : "319-338", "title" : "Economic Valuation of Coastal and Marine Resources: Bohol Marine Triangle, Philippines", "type" : "article-journal", "volume" : "35" }, "uris" : [ "http://www.mendeley.com/documents/?uuid=e7ed141f-f59e-4608-a572-5a7a5ca26541" ] } ], "mendeley" : { "formattedCitation" : "(Samonte-Tan et al., 2007)", "plainTextFormattedCitation" : "(Samonte-Tan et al., 2007)", "previouslyFormattedCitation" : "(Samonte-Tan et al., 2007)"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(Samonte-Tan et al., 2007)</w:t>
            </w:r>
            <w:r w:rsidRPr="004A65FD">
              <w:rPr>
                <w:rFonts w:ascii="Cambria" w:eastAsia="Cambria" w:hAnsi="Cambria" w:cs="Cambria"/>
                <w:szCs w:val="24"/>
              </w:rPr>
              <w:fldChar w:fldCharType="end"/>
            </w:r>
            <w:r w:rsidRPr="004A65FD">
              <w:rPr>
                <w:rFonts w:ascii="Cambria" w:eastAsia="Cambria" w:hAnsi="Cambria" w:cs="Cambria"/>
                <w:szCs w:val="24"/>
              </w:rPr>
              <w:t xml:space="preserve">, US$800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"ITEM-1",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"plainTextFormattedCitation" : "(Khaleel, 2012)", "previouslyFormattedCitation" : "(Khaleel, 2012)"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w:t>
            </w:r>
            <w:r w:rsidRPr="004A65FD">
              <w:rPr>
                <w:rFonts w:ascii="Cambria" w:eastAsia="Cambria" w:hAnsi="Cambria" w:cs="Cambria"/>
                <w:szCs w:val="24"/>
              </w:rPr>
              <w:fldChar w:fldCharType="end"/>
            </w:r>
            <w:r w:rsidRPr="004A65FD">
              <w:rPr>
                <w:rFonts w:ascii="Cambria" w:eastAsia="Cambria" w:hAnsi="Cambria" w:cs="Cambria"/>
                <w:szCs w:val="24"/>
              </w:rPr>
              <w:t xml:space="preserve">, US$973.95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"10.13140/2.1.1896.0968", "abstract" : "This document reports on a study carried out to assess the value of the forest sector to Myanmar\u2019s economy, in order to justify and identify niches for developing forest-based payments for ecosystem services (PES) and other mechanisms that can be used to generate financing for forest conservation. The study focuses on nine categories of forest ecosystem services that are of high importance in economic and human wellbeing terms, and for which sufficient data are available to enable monetary valuation: wood-based biomass and energy, wild foods, animal-based energy, watershed protection, coastal protection, carbon sequestration, maintenance of nursery populations and habitats, pollination and seed dispersal, and nature-based recreation and tourism. The study first assesses the baseline: it identifies the ecosystem services that are currently being generated by the forest sector, and estimates their economic value. It then models two possible policy and management futures: \u201cForest Degradation\u201d, under which forest lands and resources continue to be degraded and over-exploited; and \u201cForest Conservation\u201d, under which forests are used sustainably and conserved effectively according to the goals and targets laid out in the Forestry Masterplan.", "author" : [ { "dropping-particle" : "", "family" : "Emerton", "given" : "Lucy", "non-dropping-particle" : "", "parse-names" : false, "suffix" : "" }, { "dropping-particle" : "", "family" : "Aung", "given" : "Yan Min", "non-dropping-particle" : "", "parse-names" : false, "suffix" : "" } ], "id" : "ITEM-1", "issue" : "February", "issued" : { "date-parts" : [ [ "2013" ] ] }, "page" : "44", "title" : "The Economic Value of Forest Ecosystem Services in Myanmar and Options for Sustainable Financing", "type" : "article-journal" }, "uris" : [ "http://www.mendeley.com/documents/?uuid=cace774b-3dbc-4874-970c-bb53dd6fc380" ] } ], "mendeley" : { "formattedCitation" : "(Emerton and Aung, 2013)", "plainTextFormattedCitation" : "(Emerton and Aung, 2013)", "previouslyFormattedCitation" : "(Emerton and Aung, 2013)"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(Emerton and Aung, 2013)</w:t>
            </w:r>
            <w:r w:rsidRPr="004A65FD">
              <w:rPr>
                <w:rFonts w:ascii="Cambria" w:eastAsia="Cambria" w:hAnsi="Cambria" w:cs="Cambria"/>
                <w:szCs w:val="24"/>
              </w:rPr>
              <w:fldChar w:fldCharType="end"/>
            </w:r>
            <w:r w:rsidRPr="004A65FD">
              <w:rPr>
                <w:rFonts w:ascii="Cambria" w:eastAsia="Cambria" w:hAnsi="Cambria" w:cs="Cambria"/>
                <w:szCs w:val="24"/>
              </w:rPr>
              <w:t xml:space="preserve"> US$1200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10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US$1,340.60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"The present report is a first estimation of value of the Ecosystem Services - for human wellbeing, social welfare and economic growth - provided by the Canary Current Large Marine Ecosystem\u00b4s marine and coastal ecosystems. These ecosystems comprise of rich and diverse marine habitats, with an abundance of marine flora and fauna, especially fish, and ecologically important coastal habitats like mangroves, estuaries, seagrass beds and meadows, and extensive sandy beaches and dunes. All these ecosystems both represent important habitats for animals and plants, as well as crucial sources of income for local populations and national budgets. The estimation of the \"monetary value\" of these ecosystems was based on a formerly developed methodology applied in the Guinea Current LME region, and is a first and rough attempt to depict the importance of the ecosystems in monetary terms, which is always a difficult endeavor, especially with regard to the fragmentary data situation in the region. Accordingly, distributional effects of the values generated are not being analyzed in the current study.", "author" : [ { "dropping-particle" : "", "family" : "Interwies", "given" : "Eduard", "non-dropping-particle" : "", "parse-names" : false, "suffix" : "" }, { "dropping-particle" : "", "family" : "Gorlitz", "given" : "Stefan", "non-dropping-particle" : "", "parse-names" : false, "suffix" : "" } ], "id" : "ITEM-1", "issued" : { "date-parts" : [ [ "2013" ] ] }, "title" : "Economic and social valuation of the CCLME ecosystem services", "type" : "report" }, "uris" : [ "http://www.mendeley.com/documents/?uuid=ff450b07-f53f-4ee3-b6e6-62e9a827debe" ] } ], "mendeley" : { "formattedCitation" : "(Interwies and Gorlitz, 2013)", "plainTextFormattedCitation" : "(Interwies and Gorlitz, 2013)", "previouslyFormattedCitation" : "(Interwies and Gorlitz, 2013)"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(Interwies and Gorlitz, 2013)</w:t>
            </w:r>
            <w:r w:rsidRPr="004A65FD">
              <w:rPr>
                <w:rFonts w:ascii="Cambria" w:eastAsia="Cambria" w:hAnsi="Cambria" w:cs="Cambria"/>
                <w:szCs w:val="24"/>
              </w:rPr>
              <w:fldChar w:fldCharType="end"/>
            </w:r>
          </w:p>
          <w:p w14:paraId="4BE1BCC1" w14:textId="77777777" w:rsidR="004368D7" w:rsidRPr="004A65FD" w:rsidRDefault="004368D7" w:rsidP="00575495">
            <w:pPr>
              <w:widowControl w:val="0"/>
              <w:spacing w:line="240" w:lineRule="auto"/>
              <w:rPr>
                <w:rFonts w:ascii="Cambria" w:eastAsia="Cambria" w:hAnsi="Cambria" w:cs="Cambria"/>
                <w:szCs w:val="24"/>
              </w:rPr>
            </w:pPr>
          </w:p>
          <w:p w14:paraId="2E1308BD"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Market price</w:t>
            </w:r>
            <w:r w:rsidRPr="004A65FD">
              <w:rPr>
                <w:rFonts w:ascii="Cambria" w:eastAsia="Cambria" w:hAnsi="Cambria" w:cs="Cambria"/>
                <w:szCs w:val="24"/>
              </w:rPr>
              <w:t xml:space="preserve">: US$395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"10.1016/j.jenvman.2015.04.018", "ISSN" : "0301-4797", "abstract" : "Mangrove forests are under global pressure. Habitat destruction and degradation persist despite long-standing recognition of the important ecological functions of mangroves. Hence new approaches are needed to help stakeholders and policy-makers achieve sound management that is informed by the best science. Here we explore how the new policy concept of Climate Compatible Development (CCD) can be applied to achieve better outcomes. We use economic valuation approaches to combine socio-economic data, projections of forest cover based on quantitative risk mapping and storyline scenario building exercises to articulate the economic consequences of plausible alternative future scenarios for the mangrove forests of the South Kenya coast, as a case study of relevance to many other areas. Using data from 645 household surveys, 10 focus groups and 74 interviews conducted across four mangrove sites, and combining these with information on fish catches taken at three landing sites, a mangrove carbon trading project and published data allowed us to make a thorough (although still partial) economic valuation of the forests. This gave a current value of the South Coast mangroves of USD 6.5 million, or USD 1166 ha(-1), with 59% of this value on average derived from regulating services. Quantitative risk mapping, projecting recent trends over the next twenty years, suggests a 43% loss of forest cover over that time with 100% loss at the most vulnerable sites. Much of the forest lost between 1992 and 2012 has not been replaced by high value alternative land uses hence restoration of these areas is feasible and may not involve large opportunity costs. We invited thirty eight stakeholders to develop plausible storyline scenarios reflecting Business as Usual (BAU) and CCD which emphasises sustainable forest conservation and management in twenty years time, drawing on local and regional expert knowledge of relevant policy, social trends and cultures. Combining these scenarios with the quantitative projections and economic baseline allowed the modelling of likely value added and costs avoided under the CCD scenario. This suggests a net present value of more than US$20 million of adoption of CCD rather than BAU. This work adds to the economic evidence for mangrove conservation and helps to underline the importance of new real and emerging markets, such as for REDD + projects, in making this case for carbon-rich coastal habitats. It demonstrates a policy tool CCD that can be us\u2026", "author" : [ { "dropping-particle" : "", "family" : "Huxham", "given" : "Mark", "non-dropping-particle" : "", "parse-names" : false, "suffix" : "" }, { "dropping-particle" : "", "family" : "Emerton", "given" : "Lucy", "non-dropping-particle" : "", "parse-names" : false, "suffix" : "" }, { "dropping-particle" : "", "family" : "Kairo", "given" : "James", "non-dropping-particle" : "", "parse-names" : false, "suffix" : "" }, { "dropping-particle" : "", "family" : "Munyi", "given" : "Fridah", "non-dropping-particle" : "", "parse-names" : false, "suffix" : "" }, { "dropping-particle" : "", "family" : "Abdirizak", "given" : "Hassan", "non-dropping-particle" : "", "parse-names" : false, "suffix" : "" }, { "dropping-particle" : "", "family" : "Muriuki", "given" : "Tabitha", "non-dropping-particle" : "", "parse-names" : false, "suffix" : "" }, { "dropping-particle" : "", "family" : "Nunan", "given" : "Fiona", "non-dropping-particle" : "", "parse-names" : false, "suffix" : "" }, { "dropping-particle" : "", "family" : "Briers", "given" : "Robert A.", "non-dropping-particle" : "", "parse-names" : false, "suffix" : "" } ], "container-title" : "JOURNAL OF ENVIRONMENTAL MANAGEMENT", "id" : "ITEM-1", "issued" : { "date-parts" : [ [ "2015", "7" ] ] }, "page" : "168-181", "publisher" : "Academic Press", "title" : "Applying Climate Compatible Development and economic valuation to coastal management: A case study of Kenya's mangrove forests", "type" : "article-journal", "volume" : "157" }, "uris" : [ "http://www.mendeley.com/documents/?uuid=0895ef9b-a8ff-4441-85a3-3a34756fe18f" ] } ], "mendeley" : { "formattedCitation" : "(Huxham et al., 2015)", "plainTextFormattedCitation" : "(Huxham et al., 2015)", "previouslyFormattedCitation" : "(Huxham et al., 2015)"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(Huxham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US$660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"10.1016/j.ecoser.2015.04.007", "ISSN" : "2212-0416", "abstract" : "This paper highlights the importance of using household survey and remote sensing data for the assessment of mangrove ecosystem services (fisheries and timber related products, carbon sequestration, storm protection) in Ca Mau Province, Vietnam. The results indicate that remote sensing plays an important role in ecosystem service valuation in the large areas where mangroves and aquaculture are mixed. We estimated the value of mangrove ecosystem services using market price and replacement cost approaches to determine an initial assessment of the overall contribution of mangroves to human well-being. The total estimated value was US$ 600 million/year for 187,533 ha (approximately US$ 3000/ ha/year), which is slightly smaller than the gross domestic product (GDP) of the province (US$ 0.69 billion in 2010). However, this is only a partial estimate that does not consider other services (tourism, biocliversity, cultural and social values), clue to the absence of primary data The main contribution of this study is that it is the first to combine the approaches of remote sensing and household survey for the quantification of mangrove ecosystem services in the mangrove-shrimp integrated system. Our findings indicate that the continued expansion of acivaculture has reduced the benefits to local communities provided by the mangrove ecosystem. (C) 2015 Elsevier B.V. All rights reserved,", "author" : [ { "dropping-particle" : "", "family" : "Quoc Vo", "given" : "Tuan", "non-dropping-particle" : "", "parse-names" : false, "suffix" : "" }, { "dropping-particle" : "", "family" : "Kuenzer", "given" : "C.", "non-dropping-particle" : "", "parse-names" : false, "suffix" : "" }, { "dropping-particle" : "", "family" : "Oppelt", "given" : "N.", "non-dropping-particle" : "", "parse-names" : false, "suffix" : "" }, { "dropping-particle" : "", "family" : "Vo", "given" : "Tuan Quoc", "non-dropping-particle" : "", "parse-names" : false, "suffix" : "" }, { "dropping-particle" : "", "family" : "Kuenzer", "given" : "C.", "non-dropping-particle" : "", "parse-names" : false, "suffix" : "" }, { "dropping-particle" : "", "family" : "Oppelt", "given" : "N.", "non-dropping-particle" : "", "parse-names" : false, "suffix" : "" } ], "container-title" : "ECOSYSTEM SERVICES", "id" : "ITEM-1", "issued" : { "date-parts" : [ [ "2015", "8" ] ] }, "page" : "67-75", "publisher" : "Elsevier", "title" : "How remote sensing supports mangrove ecosystem service valuation: A case study in Ca Mau province, Vietnam", "type" : "article-journal", "volume" : "14" }, "uris" : [ "http://www.mendeley.com/documents/?uuid=497ce339-8553-4e13-b243-d385c76e60d4" ] } ], "mendeley" : { "formattedCitation" : "(Quoc Vo et al., 2015)", "plainTextFormattedCitation" : "(Quoc Vo et al., 2015)", "previouslyFormattedCitation" : "(Quoc Vo et al., 2015)"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(Quoc Vo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US$3,896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"10.1016/j.apgeog.2013.08.012", "ISSN" : "0143-6228", "abstract" : "In this paper we present the results of an ecosystem service value derivation for the Can Gio Mangrove Biosphere Reserve in Vietnam. We combine earth-observation-based mapping at the main species level with the result of an extensive socio-economic household survey to assess the value of direct and indirect ecosystem services provided by Can Gio's mangroves. Remotely sensed optical and radar data from 2011 were used to derive the precise extent of mangrove coverage. Household survey results led to an understanding of the value placed on mangroves by different occupational groups, namely, forest managers, fisherman, shrimp farmers, and other farmers. Common to all is a lack of understanding of the value of a natural resource if no direct income is generated. At the same time, depending on occupation, a clear trend towards appreciating and understanding the importance of mangroves can be observed: it is the highest with local and migratory fisherman, followed by forest managers, while shrimp farmers have the least knowledge about mangrove benefits, and also express the least willingness to further protect them. Values derived from the household surveys as well as secondary sources in combination with remotesensing-based mapping enabled us to determine the ecosystem services value of Can Gio mangroves for selected categories of advantages. (C) 2013 Elsevier Ltd. All rights reserved.", "author" : [ { "dropping-particle" : "", "family" : "Kuenzer", "given" : "Claudia", "non-dropping-particle" : "", "parse-names" : false, "suffix" : "" }, { "dropping-particle" : "", "family" : "Tuan", "given" : "Vo Quoc", "non-dropping-particle" : "", "parse-names" : false, "suffix" : "" } ], "container-title" : "APPLIED GEOGRAPHY", "id" : "ITEM-1", "issued" : { "date-parts" : [ [ "2013", "12" ] ] }, "page" : "167-184", "title" : "Assessing the ecosystem services value of Can Gio Mangrove Biosphere Reserve: Combining earth observation and household survey based analyses", "type" : "article-journal", "volume" : "45" }, "uris" : [ "http://www.mendeley.com/documents/?uuid=2fd1f3ab-26de-42e5-9091-fa6083387049" ] } ], "mendeley" : { "formattedCitation" : "(Kuenzer and Tuan, 2013)", "plainTextFormattedCitation" : "(Kuenzer and Tuan, 2013)", "previouslyFormattedCitation" : "(Kuenzer and Tuan, 2013)"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(Kuenzer and Tuan, 2013)</w:t>
            </w:r>
            <w:r w:rsidRPr="004A65FD">
              <w:rPr>
                <w:rFonts w:ascii="Cambria" w:eastAsia="Cambria" w:hAnsi="Cambria" w:cs="Cambria"/>
                <w:szCs w:val="24"/>
              </w:rPr>
              <w:fldChar w:fldCharType="end"/>
            </w:r>
          </w:p>
          <w:p w14:paraId="2B42FF39" w14:textId="77777777" w:rsidR="004368D7" w:rsidRPr="004A65FD" w:rsidRDefault="004368D7" w:rsidP="00575495">
            <w:pPr>
              <w:widowControl w:val="0"/>
              <w:spacing w:line="240" w:lineRule="auto"/>
              <w:rPr>
                <w:rFonts w:ascii="Cambria" w:eastAsia="Cambria" w:hAnsi="Cambria" w:cs="Cambria"/>
                <w:szCs w:val="24"/>
              </w:rPr>
            </w:pPr>
          </w:p>
        </w:tc>
      </w:tr>
      <w:tr w:rsidR="004368D7" w:rsidRPr="004A65FD" w14:paraId="1BB48BAA" w14:textId="77777777" w:rsidTr="004368D7">
        <w:tc>
          <w:tcPr>
            <w:tcW w:w="2395" w:type="dxa"/>
            <w:shd w:val="clear" w:color="auto" w:fill="auto"/>
            <w:tcMar>
              <w:top w:w="100" w:type="dxa"/>
              <w:left w:w="100" w:type="dxa"/>
              <w:bottom w:w="100" w:type="dxa"/>
              <w:right w:w="100" w:type="dxa"/>
            </w:tcMar>
          </w:tcPr>
          <w:p w14:paraId="4904AC6D"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t>Moderation of extreme events</w:t>
            </w:r>
          </w:p>
        </w:tc>
        <w:tc>
          <w:tcPr>
            <w:tcW w:w="7020" w:type="dxa"/>
            <w:shd w:val="clear" w:color="auto" w:fill="auto"/>
            <w:tcMar>
              <w:top w:w="100" w:type="dxa"/>
              <w:left w:w="100" w:type="dxa"/>
              <w:bottom w:w="100" w:type="dxa"/>
              <w:right w:w="100" w:type="dxa"/>
            </w:tcMar>
          </w:tcPr>
          <w:p w14:paraId="64E89E67"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US$16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"Krabi River Estuary, a ramsar site located in southern Thailand, is dominated by two major natural vegetation assemblages, i.e. mangrove forests and seagrass beds. According to the cluster development strategy, the cabinet has approved in principle to develop Krabi as the global marine tourism center and economic gateway of Asia. This study aimed to assess the economic value of the site, using market price and benefit transfer. The impact on economic activities with the 5% annual decline of mangrove forests was evaluated. The estimated annual use value of the site was $9.7 million for recreation and tourism. The economic value of mangrove forests was $758/ha. The net present value of mangrove forests was $73.1 million based on 7% discount rate and 15-year time line. An approximate impact of mangrove change follows the study of Ruitenbeek (1992). It was assumed that the impact on local direct resource extraction and loss in biodiversity would occur at the year after the depletion of the forest. The impact on the productivity of local fishery would occur in the fifth year and on tourism in the tenth year. Thus, value loss of mangrove at the annual rate of 5% in the net present term became $21.0 million or $2.3 million per year. The results imply that a development project that causes the same rate of mangrove destruction must generate a least an income of $2.3 million per year to be considered as an economically feasible project.", "author" : [ { "dropping-particle" : "", "family" : "Janekarnkij", "given" : "Penporn", "non-dropping-particle" : "", "parse-names" : false, "suffix" : "" } ], "collection-title" : "ARE Working Paper", "id" : "ITEM-1", "issue" : "2553", "issued" : { "date-parts" : [ [ "2010" ] ] }, "number" : "No. 2553/4.", "number-of-pages" : "16-18", "publisher-place" : "Bangkok, Thailand", "title" : "Assessing the value of Krabi River Estuary Ramsar Site conservation and development", "type" : "report" }, "uris" : [ "http://www.mendeley.com/documents/?uuid=5dc32b82-13a8-407b-a2b0-a46c456c34e8" ] } ], "mendeley" : { "formattedCitation" : "(Janekarnkij, 2010)", "plainTextFormattedCitation" : "(Janekarnkij, 2010)", "previouslyFormattedCitation" : "(Janekarnkij, 2010)"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(Janekarnkij, 2010)</w:t>
            </w:r>
            <w:r w:rsidRPr="004A65FD">
              <w:rPr>
                <w:rFonts w:ascii="Cambria" w:eastAsia="Cambria" w:hAnsi="Cambria" w:cs="Cambria"/>
                <w:szCs w:val="24"/>
              </w:rPr>
              <w:fldChar w:fldCharType="end"/>
            </w:r>
            <w:r w:rsidRPr="004A65FD">
              <w:rPr>
                <w:rFonts w:ascii="Cambria" w:eastAsia="Cambria" w:hAnsi="Cambria" w:cs="Cambria"/>
                <w:szCs w:val="24"/>
              </w:rPr>
              <w:t xml:space="preserve">, US$40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w:t>
            </w:r>
            <w:r>
              <w:rPr>
                <w:rFonts w:ascii="Cambria" w:eastAsia="Cambria" w:hAnsi="Cambria" w:cs="Cambria"/>
                <w:szCs w:val="24"/>
              </w:rPr>
              <w:t xml:space="preserve">US$639.35 </w:t>
            </w:r>
            <w:r>
              <w:rPr>
                <w:rFonts w:ascii="Cambria" w:eastAsia="Cambria" w:hAnsi="Cambria" w:cs="Cambria"/>
                <w:szCs w:val="24"/>
              </w:rPr>
              <w:fldChar w:fldCharType="begin" w:fldLock="1"/>
            </w:r>
            <w:r>
              <w:rPr>
                <w:rFonts w:ascii="Cambria" w:eastAsia="Cambria" w:hAnsi="Cambria" w:cs="Cambria"/>
                <w:szCs w:val="24"/>
              </w:rPr>
              <w:instrText>ADDIN CSL_CITATION { "citationItems" : [ { "id" : "ITEM-1", "itemData" : { "DOI" : "10.13140/2.1.1896.0968", "abstract" : "This document reports on a study carried out to assess the value of the forest sector to Myanmar\u2019s economy, in order to justify and identify niches for developing forest-based payments for ecosystem services (PES) and other mechanisms that can be used to generate financing for forest conservation. The study focuses on nine categories of forest ecosystem services that are of high importance in economic and human wellbeing terms, and for which sufficient data are available to enable monetary valuation: wood-based biomass and energy, wild foods, animal-based energy, watershed protection, coastal protection, carbon sequestration, maintenance of nursery populations and habitats, pollination and seed dispersal, and nature-based recreation and tourism. The study first assesses the baseline: it identifies the ecosystem services that are currently being generated by the forest sector, and estimates their economic value. It then models two possible policy and management futures: \u201cForest Degradation\u201d, under which forest lands and resources continue to be degraded and over-exploited; and \u201cForest Conservation\u201d, under which forests are used sustainably and conserved effectively according to the goals and targets laid out in the Forestry Masterplan.", "author" : [ { "dropping-particle" : "", "family" : "Emerton", "given" : "Lucy", "non-dropping-particle" : "", "parse-names" : false, "suffix" : "" }, { "dropping-particle" : "", "family" : "Aung", "given" : "Yan Min", "non-dropping-particle" : "", "parse-names" : false, "suffix" : "" } ], "id" : "ITEM-1", "issue" : "February", "issued" : { "date-parts" : [ [ "2013" ] ] }, "page" : "44", "title" : "The Economic Value of Forest Ecosystem Services in Myanmar and Options for Sustainable Financing", "type" : "article-journal" }, "uris" : [ "http://www.mendeley.com/documents/?uuid=cace774b-3dbc-4874-970c-bb53dd6fc380" ] } ], "mendeley" : { "formattedCitation" : "(Emerton and Aung, 2013)", "plainTextFormattedCitation" : "(Emerton and Aung, 2013)", "previouslyFormattedCitation" : "(Emerton and Aung, 2013)" }, "properties" : { "noteIndex" : 10 }, "schema" : "https://github.com/citation-style-language/schema/raw/master/csl-citation.json" }</w:instrText>
            </w:r>
            <w:r>
              <w:rPr>
                <w:rFonts w:ascii="Cambria" w:eastAsia="Cambria" w:hAnsi="Cambria" w:cs="Cambria"/>
                <w:szCs w:val="24"/>
              </w:rPr>
              <w:fldChar w:fldCharType="separate"/>
            </w:r>
            <w:r w:rsidRPr="00C843E4">
              <w:rPr>
                <w:rFonts w:ascii="Cambria" w:eastAsia="Cambria" w:hAnsi="Cambria" w:cs="Cambria"/>
                <w:noProof/>
                <w:szCs w:val="24"/>
              </w:rPr>
              <w:t>(Emerton and Aung, 2013)</w:t>
            </w:r>
            <w:r>
              <w:rPr>
                <w:rFonts w:ascii="Cambria" w:eastAsia="Cambria" w:hAnsi="Cambria" w:cs="Cambria"/>
                <w:szCs w:val="24"/>
              </w:rPr>
              <w:fldChar w:fldCharType="end"/>
            </w:r>
            <w:r>
              <w:rPr>
                <w:rFonts w:ascii="Cambria" w:eastAsia="Cambria" w:hAnsi="Cambria" w:cs="Cambria"/>
                <w:szCs w:val="24"/>
              </w:rPr>
              <w:t xml:space="preserve">, </w:t>
            </w:r>
            <w:r w:rsidRPr="004A65FD">
              <w:rPr>
                <w:rFonts w:ascii="Cambria" w:eastAsia="Cambria" w:hAnsi="Cambria" w:cs="Cambria"/>
                <w:szCs w:val="24"/>
              </w:rPr>
              <w:t xml:space="preserve">US$1,340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"The present report is a first estimation of value of the Ecosystem Services - for human wellbeing, social welfare and economic growth - provided by the Canary Current Large Marine Ecosystem\u00b4s marine and coastal ecosystems. These ecosystems comprise of rich and diverse marine habitats, with an abundance of marine flora and fauna, especially fish, and ecologically important coastal habitats like mangroves, estuaries, seagrass beds and meadows, and extensive sandy beaches and dunes. All these ecosystems both represent important habitats for animals and plants, as well as crucial sources of income for local populations and national budgets. The estimation of the \"monetary value\" of these ecosystems was based on a formerly developed methodology applied in the Guinea Current LME region, and is a first and rough attempt to depict the importance of the ecosystems in monetary terms, which is always a difficult endeavor, especially with regard to the fragmentary data situation in the region. Accordingly, distributional effects of the values generated are not being analyzed in the current study.", "author" : [ { "dropping-particle" : "", "family" : "Interwies", "given" : "Eduard", "non-dropping-particle" : "", "parse-names" : false, "suffix" : "" }, { "dropping-particle" : "", "family" : "Gorlitz", "given" : "Stefan", "non-dropping-particle" : "", "parse-names" : false, "suffix" : "" } ], "id" : "ITEM-1", "issued" : { "date-parts" : [ [ "2013" ] ] }, "title" : "Economic and social valuation of the CCLME ecosystem services", "type" : "report" }, "uris" : [ "http://www.mendeley.com/documents/?uuid=ff450b07-f53f-4ee3-b6e6-62e9a827debe" ] } ], "mendeley" : { "formattedCitation" : "(Interwies and Gorlitz, 2013)", "plainTextFormattedCitation" : "(Interwies and Gorlitz, 2013)", "previouslyFormattedCitation" : "(Interwies and Gorlitz, 2013)"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(Interwies and Gorlitz, 2013)</w:t>
            </w:r>
            <w:r w:rsidRPr="004A65FD">
              <w:rPr>
                <w:rFonts w:ascii="Cambria" w:eastAsia="Cambria" w:hAnsi="Cambria" w:cs="Cambria"/>
                <w:szCs w:val="24"/>
              </w:rPr>
              <w:fldChar w:fldCharType="end"/>
            </w:r>
            <w:r w:rsidRPr="004A65FD">
              <w:rPr>
                <w:rFonts w:ascii="Cambria" w:eastAsia="Cambria" w:hAnsi="Cambria" w:cs="Cambria"/>
                <w:szCs w:val="24"/>
              </w:rPr>
              <w:t xml:space="preserve">, US$1,356.66-1,631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"Mangroves provide an abundant supply of ecosystem services such as coastal protection, fish nursery, recreation, and carbon sequestration. After a severe loss of mangroves predominately due to shrimp farming from 1969 to 2000, Ecuador realized the importance of mangroves and their related ecosystem services. In response, the government\u2019s interest grew to understand ecosystem services valuation (ESV) models that provide robust valuation for the ecosystem services(ES). \r\n Working with the Conservation Strategy Fund (CSF), this report identified and evaluated applicable ESV models, valued and mapped the ecosystem services values of Ecuadorian mangrove with ESV models. \r\n This report aims to calculate the value of ecosystem services of mangroves with the existing modeling tools. The following models were initially considered: InVEST, AIRES, MIMES, Co$ting Nature, EcoServ, LUCI, and SolVES. Each model is different, and therefore likely to generate a different valuation of ecosystem services for the same area. \r\n In addition, the report compared the variance within models for four different scenarios: status-quo, lose-all, reforestation, full-recovery. Results include both numerical information and highlight the usefulness of each different modeling tool. Based on results and analyses, suggestions are made on suitable ESV models for mangrove ecosystems, and decision support information are provided to Socio Manglar program of Ministry of Environment of Ecuador.", "author" : [ { "dropping-particle" : "", "family" : "Burgess", "given" : "Paul", "non-dropping-particle" : "", "parse-names" : false, "suffix" : "" }, { "dropping-particle" : "", "family" : "Li", "given" : "Xiangyi", "non-dropping-particle" : "", "parse-names" : false, "suffix" : "" }, { "dropping-particle" : "", "family" : "Qin", "given" : "Siyu", "non-dropping-particle" : "", "parse-names" : false, "suffix" : "" } ], "id" : "ITEM-1", "issued" : { "date-parts" : [ [ "2015" ] ] }, "page" : "59", "title" : "Mangroves in Ecuador: An application and comparison of ecosystem service models", "type" : "article-journal" }, "uris" : [ "http://www.mendeley.com/documents/?uuid=e363bc2d-353e-4c79-bf12-6e24fce132ff" ] } ], "mendeley" : { "formattedCitation" : "(Burgess et al., 2015)", "plainTextFormattedCitation" : "(Burgess et al., 2015)", "previouslyFormattedCitation" : "(Burgess et al., 2015)"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(Burgess et al., 2015)</w:t>
            </w:r>
            <w:r w:rsidRPr="004A65FD">
              <w:rPr>
                <w:rFonts w:ascii="Cambria" w:eastAsia="Cambria" w:hAnsi="Cambria" w:cs="Cambria"/>
                <w:szCs w:val="24"/>
              </w:rPr>
              <w:fldChar w:fldCharType="end"/>
            </w:r>
            <w:r w:rsidRPr="004A65FD">
              <w:rPr>
                <w:rFonts w:ascii="Cambria" w:eastAsia="Cambria" w:hAnsi="Cambria" w:cs="Cambria"/>
                <w:szCs w:val="24"/>
              </w:rPr>
              <w:t xml:space="preserve">US$1,500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"ITEM-1",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"plainTextFormattedCitation" : "(Khaleel, 2012)", "previouslyFormattedCitation" : "(Khaleel, 2012)"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w:t>
            </w:r>
            <w:r w:rsidRPr="004A65FD">
              <w:rPr>
                <w:rFonts w:ascii="Cambria" w:eastAsia="Cambria" w:hAnsi="Cambria" w:cs="Cambria"/>
                <w:szCs w:val="24"/>
              </w:rPr>
              <w:fldChar w:fldCharType="end"/>
            </w:r>
            <w:r w:rsidRPr="004A65FD">
              <w:rPr>
                <w:rFonts w:ascii="Cambria" w:eastAsia="Cambria" w:hAnsi="Cambria" w:cs="Cambria"/>
                <w:szCs w:val="24"/>
              </w:rPr>
              <w:t xml:space="preserve">, US$1,839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"Kala Oya Basin (KGB) is one of the largest river basins in Sri Lanka which covers an area of around 2,870 knr and expands over three provinces and four districts. The river basin covers many different types of ecosystems, valuable biodiversity resources and characterized by conflicting user interests and serious degradation issues. The present study attempts valuation of ecosystem services provided by the river basin and aims at providing recommendations for river basin management. Carbon storage and soil conservation functions, recreation, production services of homegardens, and mangrove services were valued using data collectedfrom various primary and secondary sources and using benefit transfer approach as the main valuation method. The annual value of the ecosystem services of the KGB is Rs million 23,500. The highest economic value was resulted from the carbon values (77%). The estimated value represents 1.16% ofGDP (of2004) of the country and 7.33% of the agricultural sector GDP which highlights the significance of the potential economic gains of the basin. Development of appropriation mechanisms for the yet unrealized values and identification of conservation and monitoring priorities are the key issues identified by the present study However the study emphasizes the needfor more complex models that integrate economics, hydrology, and equity aspects which could ensure long term sustenance of the service provision of the river basin.", "author" : [ { "dropping-particle" : "", "family" : "Gunawardena", "given" : "UAD Prasanthi", "non-dropping-particle" : "", "parse-names" : false, "suffix" : "" } ], "container-title" : "Vidyodaya Jounal of Humanities and Social Science Joint Golden Jubilee Issue of Vidyodaya", "id" : "ITEM-1", "issued" : { "date-parts" : [ [ "2009" ] ] }, "page" : "239-266", "title" : "Valuation of Ecosystem Services of Kala Oya River Basin: Implications for River Basin Management", "type" : "article-journal" }, "uris" : [ "http://www.mendeley.com/documents/?uuid=296e5d04-10b9-4561-9cde-c4a910bb916b" ] } ], "mendeley" : { "formattedCitation" : "(Gunawardena, 2009)", "plainTextFormattedCitation" : "(Gunawardena, 2009)", "previouslyFormattedCitation" : "(Gunawardena, 2009)"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(Gunawardena, 2009)</w:t>
            </w:r>
            <w:r w:rsidRPr="004A65FD">
              <w:rPr>
                <w:rFonts w:ascii="Cambria" w:eastAsia="Cambria" w:hAnsi="Cambria" w:cs="Cambria"/>
                <w:szCs w:val="24"/>
              </w:rPr>
              <w:fldChar w:fldCharType="end"/>
            </w:r>
            <w:r w:rsidRPr="004A65FD">
              <w:rPr>
                <w:rFonts w:ascii="Cambria" w:eastAsia="Cambria" w:hAnsi="Cambria" w:cs="Cambria"/>
                <w:szCs w:val="24"/>
              </w:rPr>
              <w:t xml:space="preserve">, US$2,000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US$3,116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report presents an overview assessment of ecosystem services of the Kingdom of Bahrain, as part of the supporting documentation that together with the Biodiversity Baseline Report, Stakeholder Analysis, and Protected Area Strategy, all comprise foundational elements for the development of an update to the National Biodiversity Strategy and Action Plan (NBSAP) and the revision of the CBD Fifth National Report of the Kingdom of Bahrain. Several methodologies were used in the Ecosystem Services Assessment, drawing on available data and published studies. The main ecosystem services being provided by the terrestrial and marine natural habitats of the Kingdom of Bahrain are first described, then summarized in terms of classes of ecosystem services being provided. Geographical areas within the Kingdom of Bahrain where there are potentially significant concentrations of ecosystem services are also highlighted. Valuation of the ecosystem services of the Kingdom of Bahrain is not possible without economic studies that utilize contingent valuation, travel cost method, and other social surveys. However, ranges of potential values are estimated using available information and benefits transfer, i.e. information derived from studies of that service in other parts of the world. In the absence of contingent valuation surveys of residents, visitors, and businessmen, these estimates of the ranges of values can provide a sense of the potential for investing in natural capital, as well as adequate information for trade-off analyses. The limitations of benefits transfer and the ways in which subsequent research in the Kingdom of Bahrain could fill data gaps and contextualize the ecosystem services valuation are discussed.", "author" : [ { "dropping-particle" : "", "family" : "Mubarak Bin Daina", "given" : "Mohamed", "non-dropping-particle" : "", "parse-names" : false, "suffix" : "" }, { "dropping-particle" : "", "family" : "Khamis", "given" : "Abdelqader", "non-dropping-particle" : "", "parse-names" : false, "suffix" : "" }, { "dropping-particle" : "", "family" : "Alqassim Abdulrazzaq", "given" : "Mohamed", "non-dropping-particle" : "", "parse-names" : false, "suffix" : "" }, { "dropping-particle" : "", "family" : "Sattout", "given" : "Elsa", "non-dropping-particle" : "", "parse-names" : false, "suffix" : "" }, { "dropping-particle" : "", "family" : "Alkhuzai", "given" : "Jameel", "non-dropping-particle" : "", "parse-names" : false, "suffix" : "" }, { "dropping-particle" : "", "family" : "Alhusseini", "given" : "Tamera", "non-dropping-particle" : "", "parse-names" : false, "suffix" : "" }, { "dropping-particle" : "", "family" : "Husain", "given" : "Eman", "non-dropping-particle" : "", "parse-names" : false, "suffix" : "" } ], "collection-title" : "Project report for the UNEP and GEF project \"Updating the National Biodiversity Strategy and Action Plan of the Kingdom of Bahrain\"", "id" : "ITEM-1", "issued" : { "date-parts" : [ [ "2015" ] ] }, "number-of-pages" : "64", "title" : "An Assessment and Mapping of the Potential Values of Ecosystem Services in the Kingdom of Bahrain", "type" : "report" }, "uris" : [ "http://www.mendeley.com/documents/?uuid=74216310-61c9-4390-9dbc-c56b589c92bf" ] } ], "mendeley" : { "formattedCitation" : "(Mubarak Bin Daina et al., 2015)", "plainTextFormattedCitation" : "(Mubarak Bin Daina et al., 2015)", "previouslyFormattedCitation" : "(Mubarak Bin Daina et al., 2015)"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(Mubarak Bin Daina et al., 2015)</w:t>
            </w:r>
            <w:r w:rsidRPr="004A65FD">
              <w:rPr>
                <w:rFonts w:ascii="Cambria" w:eastAsia="Cambria" w:hAnsi="Cambria" w:cs="Cambria"/>
                <w:szCs w:val="24"/>
              </w:rPr>
              <w:fldChar w:fldCharType="end"/>
            </w:r>
          </w:p>
          <w:p w14:paraId="4B11B613" w14:textId="77777777" w:rsidR="004368D7" w:rsidRPr="004A65FD" w:rsidRDefault="004368D7" w:rsidP="00575495">
            <w:pPr>
              <w:widowControl w:val="0"/>
              <w:spacing w:line="240" w:lineRule="auto"/>
              <w:rPr>
                <w:rFonts w:ascii="Cambria" w:eastAsia="Cambria" w:hAnsi="Cambria" w:cs="Cambria"/>
                <w:szCs w:val="24"/>
              </w:rPr>
            </w:pPr>
          </w:p>
          <w:p w14:paraId="0182DCE2"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Replacement cost</w:t>
            </w:r>
            <w:r w:rsidRPr="004A65FD">
              <w:rPr>
                <w:rFonts w:ascii="Cambria" w:eastAsia="Cambria" w:hAnsi="Cambria" w:cs="Cambria"/>
                <w:szCs w:val="24"/>
              </w:rPr>
              <w:t xml:space="preserve">: US$35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"10.1016/j.jenvman.2015.04.018", "ISSN" : "0301-4797", "abstract" : "Mangrove forests are under global pressure. Habitat destruction and degradation persist despite long-standing recognition of the important ecological functions of mangroves. Hence new approaches are needed to help stakeholders and policy-makers achieve sound management that is informed by the best science. Here we explore how the new policy concept of Climate Compatible Development (CCD) can be applied to achieve better outcomes. We use economic valuation approaches to combine socio-economic data, projections of forest cover based on quantitative risk mapping and storyline scenario building exercises to articulate the economic consequences of plausible alternative future scenarios for the mangrove forests of the South Kenya coast, as a case study of relevance to many other areas. Using data from 645 household surveys, 10 focus groups and 74 interviews conducted across four mangrove sites, and combining these with information on fish catches taken at three landing sites, a mangrove carbon trading project and published data allowed us to make a thorough (although still partial) economic valuation of the forests. This gave a current value of the South Coast mangroves of USD 6.5 million, or USD 1166 ha(-1), with 59% of this value on average derived from regulating services. Quantitative risk mapping, projecting recent trends over the next twenty years, suggests a 43% loss of forest cover over that time with 100% loss at the most vulnerable sites. Much of the forest lost between 1992 and 2012 has not been replaced by high value alternative land uses hence restoration of these areas is feasible and may not involve large opportunity costs. We invited thirty eight stakeholders to develop plausible storyline scenarios reflecting Business as Usual (BAU) and CCD which emphasises sustainable forest conservation and management in twenty years time, drawing on local and regional expert knowledge of relevant policy, social trends and cultures. Combining these scenarios with the quantitative projections and economic baseline allowed the modelling of likely value added and costs avoided under the CCD scenario. This suggests a net present value of more than US$20 million of adoption of CCD rather than BAU. This work adds to the economic evidence for mangrove conservation and helps to underline the importance of new real and emerging markets, such as for REDD + projects, in making this case for carbon-rich coastal habitats. It demonstrates a policy tool CCD that can be us\u2026", "author" : [ { "dropping-particle" : "", "family" : "Huxham", "given" : "Mark", "non-dropping-particle" : "", "parse-names" : false, "suffix" : "" }, { "dropping-particle" : "", "family" : "Emerton", "given" : "Lucy", "non-dropping-particle" : "", "parse-names" : false, "suffix" : "" }, { "dropping-particle" : "", "family" : "Kairo", "given" : "James", "non-dropping-particle" : "", "parse-names" : false, "suffix" : "" }, { "dropping-particle" : "", "family" : "Munyi", "given" : "Fridah", "non-dropping-particle" : "", "parse-names" : false, "suffix" : "" }, { "dropping-particle" : "", "family" : "Abdirizak", "given" : "Hassan", "non-dropping-particle" : "", "parse-names" : false, "suffix" : "" }, { "dropping-particle" : "", "family" : "Muriuki", "given" : "Tabitha", "non-dropping-particle" : "", "parse-names" : false, "suffix" : "" }, { "dropping-particle" : "", "family" : "Nunan", "given" : "Fiona", "non-dropping-particle" : "", "parse-names" : false, "suffix" : "" }, { "dropping-particle" : "", "family" : "Briers", "given" : "Robert A.", "non-dropping-particle" : "", "parse-names" : false, "suffix" : "" } ], "container-title" : "JOURNAL OF ENVIRONMENTAL MANAGEMENT", "id" : "ITEM-1", "issued" : { "date-parts" : [ [ "2015", "7" ] ] }, "page" : "168-181", "publisher" : "Academic Press", "title" : "Applying Climate Compatible Development and economic valuation to coastal management: A case study of Kenya's mangrove forests", "type" : "article-journal", "volume" : "157" }, "uris" : [ "http://www.mendeley.com/documents/?uuid=0895ef9b-a8ff-4441-85a3-3a34756fe18f" ] } ], "mendeley" : { "formattedCitation" : "(Huxham et al., 2015)", "plainTextFormattedCitation" : "(Huxham et al., 2015)", "previouslyFormattedCitation" : "(Huxham et al., 2015)"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(Huxham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US$660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"10.1016/j.ecoser.2015.04.007", "ISSN" : "2212-0416", "abstract" : "This paper highlights the importance of using household survey and remote sensing data for the assessment of mangrove ecosystem services (fisheries and timber related products, carbon sequestration, storm protection) in Ca Mau Province, Vietnam. The results indicate that remote sensing plays an important role in ecosystem service valuation in the large areas where mangroves and aquaculture are mixed. We estimated the value of mangrove ecosystem services using market price and replacement cost approaches to determine an initial assessment of the overall contribution of mangroves to human well-being. The total estimated value was US$ 600 million/year for 187,533 ha (approximately US$ 3000/ ha/year), which is slightly smaller than the gross domestic product (GDP) of the province (US$ 0.69 billion in 2010). However, this is only a partial estimate that does not consider other services (tourism, biocliversity, cultural and social values), clue to the absence of primary data The main contribution of this study is that it is the first to combine the approaches of remote sensing and household survey for the quantification of mangrove ecosystem services in the mangrove-shrimp integrated system. Our findings indicate that the continued expansion of acivaculture has reduced the benefits to local communities provided by the mangrove ecosystem. (C) 2015 Elsevier B.V. All rights reserved,", "author" : [ { "dropping-particle" : "", "family" : "Quoc Vo", "given" : "Tuan", "non-dropping-particle" : "", "parse-names" : false, "suffix" : "" }, { "dropping-particle" : "", "family" : "Kuenzer", "given" : "C.", "non-dropping-particle" : "", "parse-names" : false, "suffix" : "" }, { "dropping-particle" : "", "family" : "Oppelt", "given" : "N.", "non-dropping-particle" : "", "parse-names" : false, "suffix" : "" }, { "dropping-particle" : "", "family" : "Vo", "given" : "Tuan Quoc", "non-dropping-particle" : "", "parse-names" : false, "suffix" : "" }, { "dropping-particle" : "", "family" : "Kuenzer", "given" : "C.", "non-dropping-particle" : "", "parse-names" : false, "suffix" : "" }, { "dropping-particle" : "", "family" : "Oppelt", "given" : "N.", "non-dropping-particle" : "", "parse-names" : false, "suffix" : "" } ], "container-title" : "ECOSYSTEM SERVICES", "id" : "ITEM-1", "issued" : { "date-parts" : [ [ "2015", "8" ] ] }, "page" : "67-75", "publisher" : "Elsevier", "title" : "How remote sensing supports mangrove ecosystem service valuation: A case study in Ca Mau province, Vietnam", "type" : "article-journal", "volume" : "14" }, "uris" : [ "http://www.mendeley.com/documents/?uuid=497ce339-8553-4e13-b243-d385c76e60d4" ] } ], "mendeley" : { "formattedCitation" : "(Quoc Vo et al., 2015)", "plainTextFormattedCitation" : "(Quoc Vo et al., 2015)", "previouslyFormattedCitation" : "(Quoc Vo et al., 2015)"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(Quoc Vo et al., 2015)</w:t>
            </w:r>
            <w:r w:rsidRPr="004A65FD">
              <w:rPr>
                <w:rFonts w:ascii="Cambria" w:eastAsia="Cambria" w:hAnsi="Cambria" w:cs="Cambria"/>
                <w:szCs w:val="24"/>
              </w:rPr>
              <w:fldChar w:fldCharType="end"/>
            </w:r>
            <w:r w:rsidRPr="004A65FD">
              <w:rPr>
                <w:rFonts w:ascii="Cambria" w:eastAsia="Cambria" w:hAnsi="Cambria" w:cs="Cambria"/>
                <w:szCs w:val="24"/>
              </w:rPr>
              <w:t xml:space="preserve">, US$694-3,767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"10.3390/f6093028", "ISSN" : "1999-4907", "abstract" : "Mangroves are recognized as a provider of a variety of products and essential ecosystem services that contribute significantly to the livelihood of local communities. However, over the past decades, mangroves in many tropical areas including the Takalar district, South Sulawesi have degraded and decreased mainly due to conversion to aquaculture. Currently, little is known about the economic benefits of commercialization of aquaculture as compared to those derived from mangroves in the form of products and services. Here, we estimate the Total Economic Value (TEV) of mangrove benefits in order to compare it with the benefit value of commercial aquaculture. Market prices, replacement costs, benefit transfer value and Cost-Benefit Analyses (CBA) have been used for value determination and comparison. The results show that the per year TEV of mangroves in the study area (Takalar district, South Sulawesi) was in the range of 4370 thousands USD (kUSD) to 10,597 kUSD or 4 kUSD to 8 kUSD per hectare (the highest value contribution derived from the indirect use value (94%)), whereas commercial aquaculture had a net benefit value of 228 kUSD or 3 kUSD per hectare. In addition, the comparison of Net Present Value (NPV) between the benefit value of mangroves and that of commercial aquaculture revealed that conversion of mangroves into commercial aquaculture was not economically beneficial when the analysis was expanded to cover the costs of environmental and forest rehabilitation.", "author" : [ { "dropping-particle" : "", "family" : "Malik", "given" : "Abdul", "non-dropping-particle" : "", "parse-names" : false, "suffix" : "" }, { "dropping-particle" : "", "family" : "Fensholt", "given" : "Rasmus", "non-dropping-particle" : "", "parse-names" : false, "suffix" : "" }, { "dropping-particle" : "", "family" : "Mertz", "given" : "Ole", "non-dropping-particle" : "", "parse-names" : false, "suffix" : "" } ], "container-title" : "Forests", "id" : "ITEM-1", "issue" : "9", "issued" : { "date-parts" : [ [ "2015", "8", "31" ] ] }, "page" : "3028-3044", "publisher" : "Multidisciplinary Digital Publishing Institute", "title" : "Economic Valuation of Mangroves for Comparison with Commercial Aquaculture in South Sulawesi, Indonesia", "type" : "article-journal", "volume" : "6" }, "uris" : [ "http://www.mendeley.com/documents/?uuid=6d3408e8-12e2-44c4-9b6a-ac0fd15bd4af" ] } ], "mendeley" : { "formattedCitation" : "(Malik et al., 2015b)", "plainTextFormattedCitation" : "(Malik et al., 2015b)", "previouslyFormattedCitation" : "(Malik et al., 2015b)"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(Malik et al., 2015b)</w:t>
            </w:r>
            <w:r w:rsidRPr="004A65FD">
              <w:rPr>
                <w:rFonts w:ascii="Cambria" w:eastAsia="Cambria" w:hAnsi="Cambria" w:cs="Cambria"/>
                <w:szCs w:val="24"/>
              </w:rPr>
              <w:fldChar w:fldCharType="end"/>
            </w:r>
            <w:r w:rsidRPr="004A65FD">
              <w:rPr>
                <w:rFonts w:ascii="Cambria" w:eastAsia="Cambria" w:hAnsi="Cambria" w:cs="Cambria"/>
                <w:szCs w:val="24"/>
              </w:rPr>
              <w:t xml:space="preserve">, US$1,879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"10.1016/j.ecolecon.2012.03.015", "ISSN" : "09218009", "abstract" : "Evidence suggests that the ecological functions underlying many ecosystem goods and services are spatially variable. For coastal systems, a simple model is developed incorporating a spatial production function that declines across an ecological landscape. The basic model demonstrates how spatial production of ecosystem services affects the location and extent of landscape conversion. An extension allows for the risk of ecological collapse, when the critical size of the remaining landscape that precipitates the collapse is not known. Both models are simulated using the example of spatial variation in ecosystem services across a mangrove habitat that might be converted to shrimp aquaculture.", "author" : [ { "dropping-particle" : "", "family" : "Barbier", "given" : "Edward B.", "non-dropping-particle" : "", "parse-names" : false, "suffix" : "" } ], "container-title" : "Ecological Economics", "id" : "ITEM-1", "issued" : { "date-parts" : [ [ "2012", "6" ] ] }, "page" : "70-79", "title" : "A spatial model of coastal ecosystem services", "type" : "article-journal", "volume" : "78" }, "uris" : [ "http://www.mendeley.com/documents/?uuid=edad72e4-6c0a-40c3-a8ec-5f37fa146cb0" ] } ], "mendeley" : { "formattedCitation" : "(Barbier, 2012b)", "plainTextFormattedCitation" : "(Barbier, 2012b)", "previouslyFormattedCitation" : "(Barbier, 2012b)"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(Barbier, 2012b)</w:t>
            </w:r>
            <w:r w:rsidRPr="004A65FD">
              <w:rPr>
                <w:rFonts w:ascii="Cambria" w:eastAsia="Cambria" w:hAnsi="Cambria" w:cs="Cambria"/>
                <w:szCs w:val="24"/>
              </w:rPr>
              <w:fldChar w:fldCharType="end"/>
            </w:r>
          </w:p>
          <w:p w14:paraId="146085BF" w14:textId="77777777" w:rsidR="004368D7" w:rsidRPr="004A65FD" w:rsidRDefault="004368D7" w:rsidP="00575495">
            <w:pPr>
              <w:widowControl w:val="0"/>
              <w:spacing w:line="240" w:lineRule="auto"/>
              <w:rPr>
                <w:rFonts w:ascii="Cambria" w:eastAsia="Cambria" w:hAnsi="Cambria" w:cs="Cambria"/>
                <w:szCs w:val="24"/>
              </w:rPr>
            </w:pPr>
          </w:p>
          <w:p w14:paraId="55F7BA57"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Avoided cost</w:t>
            </w:r>
            <w:r w:rsidRPr="004A65FD">
              <w:rPr>
                <w:rFonts w:ascii="Cambria" w:eastAsia="Cambria" w:hAnsi="Cambria" w:cs="Cambria"/>
                <w:szCs w:val="24"/>
              </w:rPr>
              <w:t xml:space="preserve">: US$91.70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was undertaken as part of UNEP efforts of promoting forests as a significant green economy asset for Kenya. Forests should be taken into account when calculating the national accounts because the global rush for land and the increasing demand for agricultural products and urban infrastructure continue to intensify the pressure on tropical and coastal forests. The fact that forests provide goods and services which currently have no valued assigned to in economic markets exacerbates the deforestation and land conversion. Mangrove forests are among the most productive and valuable ecosystems on earth. However, the economic value of the diverse functions they provide such as shoreline protection, nursery habitats and carbon storage are not accounted for by decision-makers. This study aims to demonstrate the economic value of mangrove forest services in Kenya, using the Gazi Bay mangrove forest ecosystem as an illustration. The study quantifies the Total Economic Value (TEV) of the Gazi Bay mangrove forest. The variables are divided into direct use, indirect use and non-use value. Direct use values include fishery, timber, eco-tourism, research and education, aquaculture and apiculture. They account for 20 per cent of the TEV. Indirect use values of the mangroves are shoreline protection, carbon sequestration and biodiversity. They represent 25 per cent of the TEV. The existence value, which represents the value of mangroves in an unharmed state, accounts for 55 per cent of the TEV. The analysis results in a TEV of US$ 1,092 per hectare per year. To quantify the value of the goods and services, different methods were applied. Most of the direct uses were calculated using the market value of the products. The Damage Costs Avoided Method was used to value the shoreline protection function of the mangroves. Biodiversity and existence value were derived using the Benefit Transfer Method (BT). It is acknowledged and stressed that this study suffers from research limitations. One reason is the lack of primary data and appropriate peer reviewed studies. Application of the BT should also be considered with caution. It is, however, recognized as one of the most widely used methodologies in the field of environmental valuation and serves as a first approach in determining non-marketable mangrove services. Therefore the results of this analysis should be considered as a first step towards quantifying the value of Kenyan mangrove goods and services. The resul\u2026", "author" : [ { "dropping-particle" : "", "family" : "Hoberg", "given" : "Janis", "non-dropping-particle" : "", "parse-names" : false, "suffix" : "" } ], "id" : "ITEM-1", "issued" : { "date-parts" : [ [ "2011" ] ] }, "title" : "Economic Analysis of Mangrove Forests: A case study in Gazi Bay, Kenya", "type" : "report" }, "uris" : [ "http://www.mendeley.com/documents/?uuid=5647e4af-3381-4729-8c20-57c26ba6f9fc" ] } ], "mendeley" : { "formattedCitation" : "(Hoberg, 2011)", "plainTextFormattedCitation" : "(Hoberg, 2011)", "previouslyFormattedCitation" : "(Hoberg, 2011)"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(Hoberg, 2011)</w:t>
            </w:r>
            <w:r w:rsidRPr="004A65FD">
              <w:rPr>
                <w:rFonts w:ascii="Cambria" w:eastAsia="Cambria" w:hAnsi="Cambria" w:cs="Cambria"/>
                <w:szCs w:val="24"/>
              </w:rPr>
              <w:fldChar w:fldCharType="end"/>
            </w:r>
          </w:p>
        </w:tc>
      </w:tr>
      <w:tr w:rsidR="004368D7" w:rsidRPr="004A65FD" w14:paraId="5CCF3771" w14:textId="77777777" w:rsidTr="004368D7">
        <w:tc>
          <w:tcPr>
            <w:tcW w:w="2395" w:type="dxa"/>
            <w:shd w:val="clear" w:color="auto" w:fill="auto"/>
            <w:tcMar>
              <w:top w:w="100" w:type="dxa"/>
              <w:left w:w="100" w:type="dxa"/>
              <w:bottom w:w="100" w:type="dxa"/>
              <w:right w:w="100" w:type="dxa"/>
            </w:tcMar>
          </w:tcPr>
          <w:p w14:paraId="785EB1B3"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t>Maintenance of soil fertility and nutrient cycling</w:t>
            </w:r>
          </w:p>
        </w:tc>
        <w:tc>
          <w:tcPr>
            <w:tcW w:w="7020" w:type="dxa"/>
            <w:shd w:val="clear" w:color="auto" w:fill="auto"/>
            <w:tcMar>
              <w:top w:w="100" w:type="dxa"/>
              <w:left w:w="100" w:type="dxa"/>
              <w:bottom w:w="100" w:type="dxa"/>
              <w:right w:w="100" w:type="dxa"/>
            </w:tcMar>
          </w:tcPr>
          <w:p w14:paraId="5C2A4613"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US$640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"ITEM-1", "issue" : "6", "issued" : { "date-parts" : [ [ "2012" ] ] }, "page" : "253-256", "title" : "Study on the Socio-Economic Influence of the Mangrove Wetlands of North Malabar (Kerala), India", "type" : "article-journal", "volume" : "4" }, "uris" : [ "http://www.mendeley.com/documents/?uuid=4e45004e-6280-4d80-9210-ac23413d44a7" ] }, { "id" : "ITEM-2",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"ITEM-2",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"(Khaleel, 2012; Ullah et al., 2010)", "plainTextFormattedCitation" : "(Khaleel, 2012; Ullah et al., 2010)", "previouslyFormattedCitation" : "(Khaleel, 2012; Ullah et al., 2010)"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 Ullah et al., 2010)</w:t>
            </w:r>
            <w:r w:rsidRPr="004A65FD">
              <w:rPr>
                <w:rFonts w:ascii="Cambria" w:eastAsia="Cambria" w:hAnsi="Cambria" w:cs="Cambria"/>
                <w:szCs w:val="24"/>
              </w:rPr>
              <w:fldChar w:fldCharType="end"/>
            </w:r>
          </w:p>
        </w:tc>
      </w:tr>
      <w:tr w:rsidR="004368D7" w:rsidRPr="004A65FD" w14:paraId="5AB9649F" w14:textId="77777777" w:rsidTr="004368D7">
        <w:tc>
          <w:tcPr>
            <w:tcW w:w="2395" w:type="dxa"/>
            <w:shd w:val="clear" w:color="auto" w:fill="auto"/>
            <w:tcMar>
              <w:top w:w="100" w:type="dxa"/>
              <w:left w:w="100" w:type="dxa"/>
              <w:bottom w:w="100" w:type="dxa"/>
              <w:right w:w="100" w:type="dxa"/>
            </w:tcMar>
          </w:tcPr>
          <w:p w14:paraId="148EE383"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rPr>
              <w:t>Regulation of water flows</w:t>
            </w:r>
          </w:p>
        </w:tc>
        <w:tc>
          <w:tcPr>
            <w:tcW w:w="7020" w:type="dxa"/>
            <w:shd w:val="clear" w:color="auto" w:fill="auto"/>
            <w:tcMar>
              <w:top w:w="100" w:type="dxa"/>
              <w:left w:w="100" w:type="dxa"/>
              <w:bottom w:w="100" w:type="dxa"/>
              <w:right w:w="100" w:type="dxa"/>
            </w:tcMar>
          </w:tcPr>
          <w:p w14:paraId="43BA3CC0"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US$540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11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US$660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"ITEM-1",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"plainTextFormattedCitation" : "(Khaleel, 2012)", "previouslyFormattedCitation" : "(Khaleel, 2012)"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w:t>
            </w:r>
            <w:r w:rsidRPr="004A65FD">
              <w:rPr>
                <w:rFonts w:ascii="Cambria" w:eastAsia="Cambria" w:hAnsi="Cambria" w:cs="Cambria"/>
                <w:szCs w:val="24"/>
              </w:rPr>
              <w:fldChar w:fldCharType="end"/>
            </w:r>
          </w:p>
        </w:tc>
      </w:tr>
      <w:tr w:rsidR="004368D7" w:rsidRPr="004A65FD" w14:paraId="49F0A8A9" w14:textId="77777777" w:rsidTr="004368D7">
        <w:tc>
          <w:tcPr>
            <w:tcW w:w="2395" w:type="dxa"/>
            <w:shd w:val="clear" w:color="auto" w:fill="auto"/>
            <w:tcMar>
              <w:top w:w="100" w:type="dxa"/>
              <w:left w:w="100" w:type="dxa"/>
              <w:bottom w:w="100" w:type="dxa"/>
              <w:right w:w="100" w:type="dxa"/>
            </w:tcMar>
          </w:tcPr>
          <w:p w14:paraId="1555FD8F"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hAnsi="Cambria"/>
              </w:rPr>
              <w:t>Maintenance of genetic diversity</w:t>
            </w:r>
          </w:p>
        </w:tc>
        <w:tc>
          <w:tcPr>
            <w:tcW w:w="7020" w:type="dxa"/>
            <w:shd w:val="clear" w:color="auto" w:fill="auto"/>
            <w:tcMar>
              <w:top w:w="100" w:type="dxa"/>
              <w:left w:w="100" w:type="dxa"/>
              <w:bottom w:w="100" w:type="dxa"/>
              <w:right w:w="100" w:type="dxa"/>
            </w:tcMar>
          </w:tcPr>
          <w:p w14:paraId="06962AB2"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US$2.43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"Programs such as REDD (reducing emissions from deforestation and forest degradation) that provide financial incentives to maintain natural carbon stocks are being implemented worldwide to address climate change and the conservation of threatened ecosystems. In developing countries, where the relative cost of conservation is high, these programs are especially attractive to promote sustainable resource use and prevent conversion of valuable ecosystems to other land uses. \r\n To incorporate REDD effectively in these areas, the financial costs and benefits resulting from the project implementation needs to be accessed. Quantification of income received from ecosystem services under baseline and project scenarios needs to be estimated, along with other costs of conservation management in order for a comprehensive comparison to be done. Ensuring that the project not only generates additional value, but also promotes the livelihoods of communities that rely on these ecosystems is key to the long-term sustainability of conservation efforts. \r\n This report serves as a cost-benefit analysis case study in Ambro-Ambanja Bay, Madagascar. This financial analysis looks at Blue Ventures\u2019 proposed conservation of mangrove forests in Northwestern Madagascar using a REDD project. Project cash flows center around net income derived from certain ecosystem services, carbon income generated from REDD and project implementation and transaction costs. One limitation of this analysis is the exclusion of several partial, indirect and non-use ecosystem services provided by the Ambro-Ambanja Bay mangrove forest. To address this, a total economic valuation framework of all ecosystem services provided by Ambro-Ambanja Bay mangroves was created to provide additional insight into the entire estimated value of healthy mangrove forests. \r\n The first chapter of this report provides a background on mangrove ecosystems, the state of Ambaro-Ambanja Bay mangroves, and the general objectives of the proposed project. \r\n The second chapter provides an overview of methods used to estimate deforestation, methods used to derive the net income generated from various ecosystem services, and estimates of the costs associated with the project. The chapter details how these costs and benefits were derived under the baseline and project scenarios to provide insight on the impacts the two scenarios have on the estimated financial cash flows. \r\n The third chapter consists of a financial analysis of the pro\u2026", "author" : [ { "dropping-particle" : "", "family" : "Witt", "given" : "Emily", "non-dropping-particle" : "", "parse-names" : false, "suffix" : "" } ], "id" : "ITEM-1", "issued" : { "date-parts" : [ [ "2016" ] ] }, "publisher" : "Duke University", "title" : "A Financial and Economic Assessment of the Conservation of Northwestern Madagascar Mangroves", "type" : "thesis" }, "uris" : [ "http://www.mendeley.com/documents/?uuid=1dfa0450-c9e7-43e7-97ce-ffac8ee4c323" ] } ], "mendeley" : { "formattedCitation" : "(Witt, 2016)", "plainTextFormattedCitation" : "(Witt, 2016)", "previouslyFormattedCitation" : "(Witt, 2016)"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(Witt, 2016)</w:t>
            </w:r>
            <w:r w:rsidRPr="004A65FD">
              <w:rPr>
                <w:rFonts w:ascii="Cambria" w:eastAsia="Cambria" w:hAnsi="Cambria" w:cs="Cambria"/>
                <w:szCs w:val="24"/>
              </w:rPr>
              <w:fldChar w:fldCharType="end"/>
            </w:r>
            <w:r w:rsidRPr="004A65FD">
              <w:rPr>
                <w:rFonts w:ascii="Cambria" w:eastAsia="Cambria" w:hAnsi="Cambria" w:cs="Cambria"/>
                <w:szCs w:val="24"/>
              </w:rPr>
              <w:t xml:space="preserve">, US$5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was undertaken as part of UNEP efforts of promoting forests as a significant green economy asset for Kenya. Forests should be taken into account when calculating the national accounts because the global rush for land and the increasing demand for agricultural products and urban infrastructure continue to intensify the pressure on tropical and coastal forests. The fact that forests provide goods and services which currently have no valued assigned to in economic markets exacerbates the deforestation and land conversion. Mangrove forests are among the most productive and valuable ecosystems on earth. However, the economic value of the diverse functions they provide such as shoreline protection, nursery habitats and carbon storage are not accounted for by decision-makers. This study aims to demonstrate the economic value of mangrove forest services in Kenya, using the Gazi Bay mangrove forest ecosystem as an illustration. The study quantifies the Total Economic Value (TEV) of the Gazi Bay mangrove forest. The variables are divided into direct use, indirect use and non-use value. Direct use values include fishery, timber, eco-tourism, research and education, aquaculture and apiculture. They account for 20 per cent of the TEV. Indirect use values of the mangroves are shoreline protection, carbon sequestration and biodiversity. They represent 25 per cent of the TEV. The existence value, which represents the value of mangroves in an unharmed state, accounts for 55 per cent of the TEV. The analysis results in a TEV of US$ 1,092 per hectare per year. To quantify the value of the goods and services, different methods were applied. Most of the direct uses were calculated using the market value of the products. The Damage Costs Avoided Method was used to value the shoreline protection function of the mangroves. Biodiversity and existence value were derived using the Benefit Transfer Method (BT). It is acknowledged and stressed that this study suffers from research limitations. One reason is the lack of primary data and appropriate peer reviewed studies. Application of the BT should also be considered with caution. It is, however, recognized as one of the most widely used methodologies in the field of environmental valuation and serves as a first approach in determining non-marketable mangrove services. Therefore the results of this analysis should be considered as a first step towards quantifying the value of Kenyan mangrove goods and services. The resul\u2026", "author" : [ { "dropping-particle" : "", "family" : "Hoberg", "given" : "Janis", "non-dropping-particle" : "", "parse-names" : false, "suffix" : "" } ], "id" : "ITEM-1", "issued" : { "date-parts" : [ [ "2011" ] ] }, "title" : "Economic Analysis of Mangrove Forests: A case study in Gazi Bay, Kenya", "type" : "report" }, "uris" : [ "http://www.mendeley.com/documents/?uuid=5647e4af-3381-4729-8c20-57c26ba6f9fc" ] } ], "mendeley" : { "formattedCitation" : "(Hoberg, 2011)", "plainTextFormattedCitation" : "(Hoberg, 2011)", "previouslyFormattedCitation" : "(Hoberg, 2011)" }, "properties" : { "noteIndex" : 13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(Hoberg, 2011)</w:t>
            </w:r>
            <w:r w:rsidRPr="004A65FD">
              <w:rPr>
                <w:rFonts w:ascii="Cambria" w:eastAsia="Cambria" w:hAnsi="Cambria" w:cs="Cambria"/>
                <w:szCs w:val="24"/>
              </w:rPr>
              <w:fldChar w:fldCharType="end"/>
            </w:r>
            <w:r w:rsidRPr="004A65FD">
              <w:rPr>
                <w:rFonts w:ascii="Cambria" w:eastAsia="Cambria" w:hAnsi="Cambria" w:cs="Cambria"/>
                <w:szCs w:val="24"/>
              </w:rPr>
              <w:t xml:space="preserve">, US$19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"10.1080/08920750601169634", "ISBN" : "0892-0753", "ISSN" : "0892-0753", "PMID" : "24654448", "abstract" : "This article provides results on the net bene\ufb01ts generated from the natural resources in the Bohol Marine Triangle (BMT) in the Philippines. The BMT spans over 112,000 ha and its coastal ecosystems are rich in biodiversity and provide economic opportunities to the coastal communities. With a 10% discount rate, the accumulated total net bene\ufb01ts for the BMT resources over a 10-year period is US$11.54 million. Tourism and the municipal \ufb01sheries are the most important direct use values of the coastal and marine resources of the BMT accounting for 44% and 39% of the total net bene\ufb01ts. Annual revenues attributed to ecosystems were as follows: coral reefs, US$1.26 million; beach/intertidal area, US$1.12 million; marine waters, US$646,501; mangrove, US$239,561; and seagrass, US$105,990. The large market values indicate the dependence of the local community on the BMT coastal and marine resources. In the same way, non-market values show the important life-support functions of coastal and marine ecosystems. The net bene\ufb01ts re\ufb02ect the magnitude of potential losses due to improper management of coastal and marine resources in the BMT. This valuation highlights the importance of the coastal services to the BMT economy and draws attention to the bene\ufb01ts the local stakeholders derive from BMT coastal resources. Policy measures can now take into account these values to justify a suf\ufb01cient investment in coastal management efforts to sustain the \ufb02ow of coastal services in the interest of current and future generations.", "author" : [ { "dropping-particle" : "", "family" : "Samonte-Tan", "given" : "Giselle P. B.", "non-dropping-particle" : "", "parse-names" : false, "suffix" : "" }, { "dropping-particle" : "", "family" : "White", "given" : "Alan T.", "non-dropping-particle" : "", "parse-names" : false, "suffix" : "" }, { "dropping-particle" : "", "family" : "Tercero", "given" : "Mary Ann", "non-dropping-particle" : "", "parse-names" : false, "suffix" : "" }, { "dropping-particle" : "", "family" : "Diviva", "given" : "John", "non-dropping-particle" : "", "parse-names" : false, "suffix" : "" }, { "dropping-particle" : "", "family" : "Tabara", "given" : "Esperanza", "non-dropping-particle" : "", "parse-names" : false, "suffix" : "" }, { "dropping-particle" : "", "family" : "Caballes", "given" : "Ciemon", "non-dropping-particle" : "", "parse-names" : false, "suffix" : "" } ], "container-title" : "Coastal Management", "id" : "ITEM-1", "issue" : "2-3", "issued" : { "date-parts" : [ [ "2007", "3", "16" ] ] }, "page" : "319-338", "title" : "Economic Valuation of Coastal and Marine Resources: Bohol Marine Triangle, Philippines", "type" : "article-journal", "volume" : "35" }, "uris" : [ "http://www.mendeley.com/documents/?uuid=e7ed141f-f59e-4608-a572-5a7a5ca26541" ] } ], "mendeley" : { "formattedCitation" : "(Samonte-Tan et al., 2007)", "plainTextFormattedCitation" : "(Samonte-Tan et al., 2007)", "previouslyFormattedCitation" : "(Samonte-Tan et al., 2007)"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(Samonte-Tan et al., 2007)</w:t>
            </w:r>
            <w:r w:rsidRPr="004A65FD">
              <w:rPr>
                <w:rFonts w:ascii="Cambria" w:eastAsia="Cambria" w:hAnsi="Cambria" w:cs="Cambria"/>
                <w:szCs w:val="24"/>
              </w:rPr>
              <w:fldChar w:fldCharType="end"/>
            </w:r>
            <w:r w:rsidRPr="004A65FD">
              <w:rPr>
                <w:rFonts w:ascii="Cambria" w:eastAsia="Cambria" w:hAnsi="Cambria" w:cs="Cambria"/>
                <w:szCs w:val="24"/>
              </w:rPr>
              <w:t xml:space="preserve">, US$100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13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US$168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"http://dx.doi.org/10.1071/MF15066", "ISSN" : "1323-1650", "abstract" : "The Niger Delta, being the most extensive freshwater wetland and aquatic ecosystem in West Africa, provides numerous services both to local people and to the West African economy. Ongoing environmental pressure exerted by large-scale oil extraction and illegal timber logging, however, are suspected to have had a substantial impact on the Delta\u2019s ecosystems over the last decades. Knowledge on impact of these activities on the region\u2019s wetlands now or in the past is scarce and patchy. To address this lack of knowledge, this study assesses spatiotemporal changes in two wetlands in the region by using satellite data from 1984 to 2011 and GIS methods. The results show that both wetlands have experienced substantial degradation, particularly with respect to the area of forest lost. Although comprehensive environmental protection laws were introduced in 1988, ecosystem services of up to US$65 million in value were lost over the study period. The introduction of new legislation in 2007, however, is potentially a first step towards a more \u2018wise use\u2019 of wetlands in Nigeria.", "author" : [ { "dropping-particle" : "", "family" : "Ayanlade", "given" : "Ayansina", "non-dropping-particle" : "", "parse-names" : false, "suffix" : "" }, { "dropping-particle" : "", "family" : "Proske", "given" : "Ulrike", "non-dropping-particle" : "", "parse-names" : false, "suffix" : "" } ], "container-title" : "Marine and Freshwater Research", "id" : "ITEM-1", "issued" : { "date-parts" : [ [ "2015" ] ] }, "page" : "828-836", "title" : "Assessing wetland degradation and loss of ecosystem services in the Niger Delta, Nigeria", "type" : "article-journal" }, "uris" : [ "http://www.mendeley.com/documents/?uuid=10e6e7c4-c819-4335-aa8f-a7eccac31475" ] } ], "mendeley" : { "formattedCitation" : "(Ayanlade and Proske, 2015)", "plainTextFormattedCitation" : "(Ayanlade and Proske, 2015)", "previouslyFormattedCitation" : "(Ayanlade and Proske, 2015)"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(Ayanlade and Proske, 2015)</w:t>
            </w:r>
            <w:r w:rsidRPr="004A65FD">
              <w:rPr>
                <w:rFonts w:ascii="Cambria" w:eastAsia="Cambria" w:hAnsi="Cambria" w:cs="Cambria"/>
                <w:szCs w:val="24"/>
              </w:rPr>
              <w:fldChar w:fldCharType="end"/>
            </w:r>
            <w:r w:rsidRPr="004A65FD">
              <w:rPr>
                <w:rFonts w:ascii="Cambria" w:eastAsia="Cambria" w:hAnsi="Cambria" w:cs="Cambria"/>
                <w:szCs w:val="24"/>
              </w:rPr>
              <w:t xml:space="preserve">, US$200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"10.1051/kmae/2009009", "ISSN" : "1961-9502", "abstract" : "Wetlands, including mangroves, perform several functions such as inundation control, and protection from erosion, storm, floods and tidal damage, and generate goods and products such as fish and forest resources. These functions are of fundamental importance for society. The present study aims to identify the challenges of the mangrove wetlands of north Malabar, their uses and socio-economic influence on local people, and the value of ecosystem services, and to suggest the way forward for sustainable development.", "author" : [ { "dropping-particle" : "", "family" : "Khaleel", "given" : "K. M.", "non-dropping-particle" : "", "parse-names" : false, "suffix" : "" }, { "dropping-particle" : "", "family" : "Jaleel", "given" : "C. A.", "non-dropping-particle" : "", "parse-names" : false, "suffix" : "" }, { "dropping-particle" : "", "family" : "Jaleel", "given" : "C. A.", "non-dropping-particle" : "", "parse-names" : false, "suffix" : "" } ], "container-title" : "KNOWLEDGE AND MANAGEMENT OF AQUATIC ECOSYSTEMS", "id" : "ITEM-1", "issue" : "392", "issued" : { "date-parts" : [ [ "2009", "5", "12" ] ] }, "page" : "03", "publisher" : "EDP Sciences", "title" : "Environmental challenges to the mangrove wetlands of North Malabar (Kerala), India: Their sustainable development and influence on local people", "type" : "article-journal" }, "uris" : [ "http://www.mendeley.com/documents/?uuid=8094bb54-efa3-4bef-a0d4-046a9fb85dc8" ] }, { "id" : "ITEM-2",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"ITEM-2",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Khaleel et al., 2009)", "plainTextFormattedCitation" : "(Khaleel, 2012; Khaleel et al., 2009)", "previouslyFormattedCitation" : "(Khaleel, 2012; Khaleel et al., 2009)"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 Khaleel et al., 2009)</w:t>
            </w:r>
            <w:r w:rsidRPr="004A65FD">
              <w:rPr>
                <w:rFonts w:ascii="Cambria" w:eastAsia="Cambria" w:hAnsi="Cambria" w:cs="Cambria"/>
                <w:szCs w:val="24"/>
              </w:rPr>
              <w:fldChar w:fldCharType="end"/>
            </w:r>
          </w:p>
        </w:tc>
      </w:tr>
      <w:tr w:rsidR="004368D7" w:rsidRPr="004A65FD" w14:paraId="79453579" w14:textId="77777777" w:rsidTr="004368D7">
        <w:tc>
          <w:tcPr>
            <w:tcW w:w="2395" w:type="dxa"/>
            <w:shd w:val="clear" w:color="auto" w:fill="auto"/>
            <w:tcMar>
              <w:top w:w="100" w:type="dxa"/>
              <w:left w:w="100" w:type="dxa"/>
              <w:bottom w:w="100" w:type="dxa"/>
              <w:right w:w="100" w:type="dxa"/>
            </w:tcMar>
          </w:tcPr>
          <w:p w14:paraId="30832580"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hAnsi="Cambria"/>
              </w:rPr>
              <w:t>Maintenance of life cycles of migratory species</w:t>
            </w:r>
          </w:p>
        </w:tc>
        <w:tc>
          <w:tcPr>
            <w:tcW w:w="7020" w:type="dxa"/>
            <w:shd w:val="clear" w:color="auto" w:fill="auto"/>
            <w:tcMar>
              <w:top w:w="100" w:type="dxa"/>
              <w:left w:w="100" w:type="dxa"/>
              <w:bottom w:w="100" w:type="dxa"/>
              <w:right w:w="100" w:type="dxa"/>
            </w:tcMar>
          </w:tcPr>
          <w:p w14:paraId="3927C7F2"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US$117.14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"Krabi River Estuary, a ramsar site located in southern Thailand, is dominated by two major natural vegetation assemblages, i.e. mangrove forests and seagrass beds. According to the cluster development strategy, the cabinet has approved in principle to develop Krabi as the global marine tourism center and economic gateway of Asia. This study aimed to assess the economic value of the site, using market price and benefit transfer. The impact on economic activities with the 5% annual decline of mangrove forests was evaluated. The estimated annual use value of the site was $9.7 million for recreation and tourism. The economic value of mangrove forests was $758/ha. The net present value of mangrove forests was $73.1 million based on 7% discount rate and 15-year time line. An approximate impact of mangrove change follows the study of Ruitenbeek (1992). It was assumed that the impact on local direct resource extraction and loss in biodiversity would occur at the year after the depletion of the forest. The impact on the productivity of local fishery would occur in the fifth year and on tourism in the tenth year. Thus, value loss of mangrove at the annual rate of 5% in the net present term became $21.0 million or $2.3 million per year. The results imply that a development project that causes the same rate of mangrove destruction must generate a least an income of $2.3 million per year to be considered as an economically feasible project.", "author" : [ { "dropping-particle" : "", "family" : "Janekarnkij", "given" : "Penporn", "non-dropping-particle" : "", "parse-names" : false, "suffix" : "" } ], "collection-title" : "ARE Working Paper", "id" : "ITEM-1", "issue" : "2553", "issued" : { "date-parts" : [ [ "2010" ] ] }, "number" : "No. 2553/4.", "number-of-pages" : "16-18", "publisher-place" : "Bangkok, Thailand", "title" : "Assessing the value of Krabi River Estuary Ramsar Site conservation and development", "type" : "report" }, "uris" : [ "http://www.mendeley.com/documents/?uuid=5dc32b82-13a8-407b-a2b0-a46c456c34e8" ] } ], "mendeley" : { "formattedCitation" : "(Janekarnkij, 2010)", "plainTextFormattedCitation" : "(Janekarnkij, 2010)", "previouslyFormattedCitation" : "(Janekarnkij, 2010)"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(Janekarnkij, 2010)</w:t>
            </w:r>
            <w:r w:rsidRPr="004A65FD">
              <w:rPr>
                <w:rFonts w:ascii="Cambria" w:eastAsia="Cambria" w:hAnsi="Cambria" w:cs="Cambria"/>
                <w:szCs w:val="24"/>
              </w:rPr>
              <w:fldChar w:fldCharType="end"/>
            </w:r>
            <w:r w:rsidRPr="004A65FD">
              <w:rPr>
                <w:rFonts w:ascii="Cambria" w:eastAsia="Cambria" w:hAnsi="Cambria" w:cs="Cambria"/>
                <w:szCs w:val="24"/>
              </w:rPr>
              <w:t xml:space="preserve">, US$243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"10.1080/08920750601169634", "ISBN" : "0892-0753", "ISSN" : "0892-0753", "PMID" : "24654448", "abstract" : "This article provides results on the net bene\ufb01ts generated from the natural resources in the Bohol Marine Triangle (BMT) in the Philippines. The BMT spans over 112,000 ha and its coastal ecosystems are rich in biodiversity and provide economic opportunities to the coastal communities. With a 10% discount rate, the accumulated total net bene\ufb01ts for the BMT resources over a 10-year period is US$11.54 million. Tourism and the municipal \ufb01sheries are the most important direct use values of the coastal and marine resources of the BMT accounting for 44% and 39% of the total net bene\ufb01ts. Annual revenues attributed to ecosystems were as follows: coral reefs, US$1.26 million; beach/intertidal area, US$1.12 million; marine waters, US$646,501; mangrove, US$239,561; and seagrass, US$105,990. The large market values indicate the dependence of the local community on the BMT coastal and marine resources. In the same way, non-market values show the important life-support functions of coastal and marine ecosystems. The net bene\ufb01ts re\ufb02ect the magnitude of potential losses due to improper management of coastal and marine resources in the BMT. This valuation highlights the importance of the coastal services to the BMT economy and draws attention to the bene\ufb01ts the local stakeholders derive from BMT coastal resources. Policy measures can now take into account these values to justify a suf\ufb01cient investment in coastal management efforts to sustain the \ufb02ow of coastal services in the interest of current and future generations.", "author" : [ { "dropping-particle" : "", "family" : "Samonte-Tan", "given" : "Giselle P. B.", "non-dropping-particle" : "", "parse-names" : false, "suffix" : "" }, { "dropping-particle" : "", "family" : "White", "given" : "Alan T.", "non-dropping-particle" : "", "parse-names" : false, "suffix" : "" }, { "dropping-particle" : "", "family" : "Tercero", "given" : "Mary Ann", "non-dropping-particle" : "", "parse-names" : false, "suffix" : "" }, { "dropping-particle" : "", "family" : "Diviva", "given" : "John", "non-dropping-particle" : "", "parse-names" : false, "suffix" : "" }, { "dropping-particle" : "", "family" : "Tabara", "given" : "Esperanza", "non-dropping-particle" : "", "parse-names" : false, "suffix" : "" }, { "dropping-particle" : "", "family" : "Caballes", "given" : "Ciemon", "non-dropping-particle" : "", "parse-names" : false, "suffix" : "" } ], "container-title" : "Coastal Management", "id" : "ITEM-1", "issue" : "2-3", "issued" : { "date-parts" : [ [ "2007", "3", "16" ] ] }, "page" : "319-338", "title" : "Economic Valuation of Coastal and Marine Resources: Bohol Marine Triangle, Philippines", "type" : "article-journal", "volume" : "35" }, "uris" : [ "http://www.mendeley.com/documents/?uuid=e7ed141f-f59e-4608-a572-5a7a5ca26541" ] } ], "mendeley" : { "formattedCitation" : "(Samonte-Tan et al., 2007)", "plainTextFormattedCitation" : "(Samonte-Tan et al., 2007)", "previouslyFormattedCitation" : "(Samonte-Tan et al., 2007)" }, "properties" : { "noteIndex" : 13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(Samonte-Tan et al., 2007)</w:t>
            </w:r>
            <w:r w:rsidRPr="004A65FD">
              <w:rPr>
                <w:rFonts w:ascii="Cambria" w:eastAsia="Cambria" w:hAnsi="Cambria" w:cs="Cambria"/>
                <w:szCs w:val="24"/>
              </w:rPr>
              <w:fldChar w:fldCharType="end"/>
            </w:r>
            <w:r w:rsidRPr="004A65FD">
              <w:rPr>
                <w:rFonts w:ascii="Cambria" w:eastAsia="Cambria" w:hAnsi="Cambria" w:cs="Cambria"/>
                <w:szCs w:val="24"/>
              </w:rPr>
              <w:t xml:space="preserve">US$249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"10.1016/j.ecolecon.2012.03.015", "ISSN" : "09218009", "abstract" : "Evidence suggests that the ecological functions underlying many ecosystem goods and services are spatially variable. For coastal systems, a simple model is developed incorporating a spatial production function that declines across an ecological landscape. The basic model demonstrates how spatial production of ecosystem services affects the location and extent of landscape conversion. An extension allows for the risk of ecological collapse, when the critical size of the remaining landscape that precipitates the collapse is not known. Both models are simulated using the example of spatial variation in ecosystem services across a mangrove habitat that might be converted to shrimp aquaculture.", "author" : [ { "dropping-particle" : "", "family" : "Barbier", "given" : "Edward B.", "non-dropping-particle" : "", "parse-names" : false, "suffix" : "" } ], "container-title" : "Ecological Economics", "id" : "ITEM-1", "issued" : { "date-parts" : [ [ "2012", "6" ] ] }, "page" : "70-79", "title" : "A spatial model of coastal ecosystem services", "type" : "article-journal", "volume" : "78" }, "uris" : [ "http://www.mendeley.com/documents/?uuid=edad72e4-6c0a-40c3-a8ec-5f37fa146cb0" ] } ], "mendeley" : { "formattedCitation" : "(Barbier, 2012b)", "plainTextFormattedCitation" : "(Barbier, 2012b)", "previouslyFormattedCitation" : "(Barbier, 2012b)" }, "properties" : { "noteIndex" : 13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(Barbier, 2012b)</w:t>
            </w:r>
            <w:r w:rsidRPr="004A65FD">
              <w:rPr>
                <w:rFonts w:ascii="Cambria" w:eastAsia="Cambria" w:hAnsi="Cambria" w:cs="Cambria"/>
                <w:szCs w:val="24"/>
              </w:rPr>
              <w:fldChar w:fldCharType="end"/>
            </w:r>
            <w:r w:rsidRPr="004A65FD">
              <w:rPr>
                <w:rFonts w:ascii="Cambria" w:eastAsia="Cambria" w:hAnsi="Cambria" w:cs="Cambria"/>
                <w:szCs w:val="24"/>
              </w:rPr>
              <w:t xml:space="preserve">, US$425.60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"The present report is a first estimation of value of the Ecosystem Services - for human wellbeing, social welfare and economic growth - provided by the Canary Current Large Marine Ecosystem\u00b4s marine and coastal ecosystems. These ecosystems comprise of rich and diverse marine habitats, with an abundance of marine flora and fauna, especially fish, and ecologically important coastal habitats like mangroves, estuaries, seagrass beds and meadows, and extensive sandy beaches and dunes. All these ecosystems both represent important habitats for animals and plants, as well as crucial sources of income for local populations and national budgets. The estimation of the \"monetary value\" of these ecosystems was based on a formerly developed methodology applied in the Guinea Current LME region, and is a first and rough attempt to depict the importance of the ecosystems in monetary terms, which is always a difficult endeavor, especially with regard to the fragmentary data situation in the region. Accordingly, distributional effects of the values generated are not being analyzed in the current study.", "author" : [ { "dropping-particle" : "", "family" : "Interwies", "given" : "Eduard", "non-dropping-particle" : "", "parse-names" : false, "suffix" : "" }, { "dropping-particle" : "", "family" : "Gorlitz", "given" : "Stefan", "non-dropping-particle" : "", "parse-names" : false, "suffix" : "" } ], "id" : "ITEM-1", "issued" : { "date-parts" : [ [ "2013" ] ] }, "title" : "Economic and social valuation of the CCLME ecosystem services", "type" : "report" }, "uris" : [ "http://www.mendeley.com/documents/?uuid=ff450b07-f53f-4ee3-b6e6-62e9a827debe" ] } ], "mendeley" : { "formattedCitation" : "(Interwies and Gorlitz, 2013)", "plainTextFormattedCitation" : "(Interwies and Gorlitz, 2013)", "previouslyFormattedCitation" : "(Interwies and Gorlitz, 2013)"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(Interwies and Gorlitz, 2013)</w:t>
            </w:r>
            <w:r w:rsidRPr="004A65FD">
              <w:rPr>
                <w:rFonts w:ascii="Cambria" w:eastAsia="Cambria" w:hAnsi="Cambria" w:cs="Cambria"/>
                <w:szCs w:val="24"/>
              </w:rPr>
              <w:fldChar w:fldCharType="end"/>
            </w:r>
            <w:r w:rsidRPr="004A65FD">
              <w:rPr>
                <w:rFonts w:ascii="Cambria" w:eastAsia="Cambria" w:hAnsi="Cambria" w:cs="Cambria"/>
                <w:szCs w:val="24"/>
              </w:rPr>
              <w:t xml:space="preserve">, US$3,500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13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US$4,200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"10.1051/kmae/2009009", "ISSN" : "1961-9502", "abstract" : "Wetlands, including mangroves, perform several functions such as inundation control, and protection from erosion, storm, floods and tidal damage, and generate goods and products such as fish and forest resources. These functions are of fundamental importance for society. The present study aims to identify the challenges of the mangrove wetlands of north Malabar, their uses and socio-economic influence on local people, and the value of ecosystem services, and to suggest the way forward for sustainable development.", "author" : [ { "dropping-particle" : "", "family" : "Khaleel", "given" : "K. M.", "non-dropping-particle" : "", "parse-names" : false, "suffix" : "" }, { "dropping-particle" : "", "family" : "Jaleel", "given" : "C. A.", "non-dropping-particle" : "", "parse-names" : false, "suffix" : "" }, { "dropping-particle" : "", "family" : "Jaleel", "given" : "C. A.", "non-dropping-particle" : "", "parse-names" : false, "suffix" : "" } ], "container-title" : "KNOWLEDGE AND MANAGEMENT OF AQUATIC ECOSYSTEMS", "id" : "ITEM-1", "issue" : "392", "issued" : { "date-parts" : [ [ "2009", "5", "12" ] ] }, "page" : "03", "publisher" : "EDP Sciences", "title" : "Environmental challenges to the mangrove wetlands of North Malabar (Kerala), India: Their sustainable development and influence on local people", "type" : "article-journal" }, "uris" : [ "http://www.mendeley.com/documents/?uuid=8094bb54-efa3-4bef-a0d4-046a9fb85dc8" ] }, { "id" : "ITEM-2",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"ITEM-2",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Khaleel et al., 2009)", "plainTextFormattedCitation" : "(Khaleel, 2012; Khaleel et al., 2009)", "previouslyFormattedCitation" : "(Khaleel, 2012; Khaleel et al., 2009)"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 Khaleel et al., 2009)</w:t>
            </w:r>
            <w:r w:rsidRPr="004A65FD">
              <w:rPr>
                <w:rFonts w:ascii="Cambria" w:eastAsia="Cambria" w:hAnsi="Cambria" w:cs="Cambria"/>
                <w:szCs w:val="24"/>
              </w:rPr>
              <w:fldChar w:fldCharType="end"/>
            </w:r>
          </w:p>
          <w:p w14:paraId="462E5B31" w14:textId="77777777" w:rsidR="004368D7" w:rsidRPr="004A65FD" w:rsidRDefault="004368D7" w:rsidP="00575495">
            <w:pPr>
              <w:widowControl w:val="0"/>
              <w:spacing w:line="240" w:lineRule="auto"/>
              <w:rPr>
                <w:rFonts w:ascii="Cambria" w:eastAsia="Cambria" w:hAnsi="Cambria" w:cs="Cambria"/>
                <w:szCs w:val="24"/>
              </w:rPr>
            </w:pPr>
          </w:p>
          <w:p w14:paraId="7B6D3D31"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Production function</w:t>
            </w:r>
            <w:r w:rsidRPr="004A65FD">
              <w:rPr>
                <w:rFonts w:ascii="Cambria" w:eastAsia="Cambria" w:hAnsi="Cambria" w:cs="Cambria"/>
                <w:szCs w:val="24"/>
              </w:rPr>
              <w:t xml:space="preserve">: US$995-4,887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paper builds on the conceptual basis developed under Phase 1 of the project and presents a framework, which illustrates the various components of an integrated ecosystem service and human well-being assessment. It describes and uses the clear, analytical framework presented in the Millennium Ecosystem Assessment - which links ecosystem services with human well-being - and shows how post-tsunami awareness and action created the recognition that coastal ecosystems and human well-being are interconnected and interdependent. This report describes the different services provided by coastal ecosystems and demonstrates clearly the critical importance of these interconnections. The challenges of investing in coastal ecosystem restoration are discussed under the premise of Total Economic Evaluation. Valuation of coastal ecosystems and ecosystem services can highlight both the benefits of conservation, as well as the costs of degradation and damage to both livelihoods and economies. This is demonstrated clearly by results from phase one and other studies from Sri Lanka and Thailand. In doing so, this report extends awareness on the value of coastal ecosystems, their products and services for human well-being (i.e., livelihood security and development benefits) and shows how economic valuation of coastal ecosystem services can be a valuable tool for conservation managers and development decision-makers. This report recognises that there is an urgent need to communicate clearly a framework, which would provide the conceptual basis for an integrated ecosystem service and human well-being assessment. It presents an integrated framework that includes four sub-assessments: on biodiversity, ecosystem services, economic values, on livelihoods and human well-being. It shows how, together, these four assessments provide an integrated framework that yields all required data for informed decision-making. The report also provides an overview of the indicators that could be used under each sub-assessment, as well as an example of an ecosystem assessment for Sri Lanka, that illustrates the information required for establishing a baseline. Building the capacity of coastal conservation and development decision-makers and managers in undertaking such an assessment is also a key priority. This is addressed by a second activity of this project, through the production of another output, namely a field manual.", "author" : [ { "dropping-particle" : "", "family" : "Kallesoe", "given" : "Mikkel", "non-dropping-particle" : "", "parse-names" : false, "suffix" : "" }, { "dropping-particle" : "", "family" : "Bambaradeniya", "given" : "Channa", "non-dropping-particle" : "", "parse-names" : false, "suffix" : "" }, { "dropping-particle" : "", "family" : "Ali Iftikhar", "given" : "Usman", "non-dropping-particle" : "", "parse-names" : false, "suffix" : "" }, { "dropping-particle" : "", "family" : "Ranasinghe", "given" : "Thushara", "non-dropping-particle" : "", "parse-names" : false, "suffix" : "" }, { "dropping-particle" : "", "family" : "Miththapala", "given" : "Sriyanie", "non-dropping-particle" : "", "parse-names" : false, "suffix" : "" }, { "dropping-particle" : "", "family" : "IUCN", "given" : "", "non-dropping-particle" : "", "parse-names" : false, "suffix" : "" } ], "id" : "ITEM-1", "issued" : { "date-parts" : [ [ "2008" ] ] }, "publisher" : "IUCN", "publisher-place" : "Gland, Switzerland", "title" : "Linking coastal ecosystems and human well-being: Learning from conceptual frameworks and empirical results", "type" : "bill" }, "uris" : [ "http://www.mendeley.com/documents/?uuid=059879db-e7dd-4d16-85ca-45091eb6cf70" ] } ], "mendeley" : { "formattedCitation" : "(Kallesoe et al., 2008)", "plainTextFormattedCitation" : "(Kallesoe et al., 2008)", "previouslyFormattedCitation" : "(Kallesoe et al., 2008)"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(Kallesoe et al., 2008)</w:t>
            </w:r>
            <w:r w:rsidRPr="004A65FD">
              <w:rPr>
                <w:rFonts w:ascii="Cambria" w:eastAsia="Cambria" w:hAnsi="Cambria" w:cs="Cambria"/>
                <w:szCs w:val="24"/>
              </w:rPr>
              <w:fldChar w:fldCharType="end"/>
            </w:r>
            <w:r w:rsidRPr="004A65FD">
              <w:rPr>
                <w:rFonts w:ascii="Cambria" w:eastAsia="Cambria" w:hAnsi="Cambria" w:cs="Cambria"/>
                <w:szCs w:val="24"/>
              </w:rPr>
              <w:t xml:space="preserve">, US$2,124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"10.1016/j.apgeog.2013.08.012", "ISSN" : "0143-6228", "abstract" : "In this paper we present the results of an ecosystem service value derivation for the Can Gio Mangrove Biosphere Reserve in Vietnam. We combine earth-observation-based mapping at the main species level with the result of an extensive socio-economic household survey to assess the value of direct and indirect ecosystem services provided by Can Gio's mangroves. Remotely sensed optical and radar data from 2011 were used to derive the precise extent of mangrove coverage. Household survey results led to an understanding of the value placed on mangroves by different occupational groups, namely, forest managers, fisherman, shrimp farmers, and other farmers. Common to all is a lack of understanding of the value of a natural resource if no direct income is generated. At the same time, depending on occupation, a clear trend towards appreciating and understanding the importance of mangroves can be observed: it is the highest with local and migratory fisherman, followed by forest managers, while shrimp farmers have the least knowledge about mangrove benefits, and also express the least willingness to further protect them. Values derived from the household surveys as well as secondary sources in combination with remotesensing-based mapping enabled us to determine the ecosystem services value of Can Gio mangroves for selected categories of advantages. (C) 2013 Elsevier Ltd. All rights reserved.", "author" : [ { "dropping-particle" : "", "family" : "Kuenzer", "given" : "Claudia", "non-dropping-particle" : "", "parse-names" : false, "suffix" : "" }, { "dropping-particle" : "", "family" : "Tuan", "given" : "Vo Quoc", "non-dropping-particle" : "", "parse-names" : false, "suffix" : "" } ], "container-title" : "APPLIED GEOGRAPHY", "id" : "ITEM-1", "issued" : { "date-parts" : [ [ "2013", "12" ] ] }, "page" : "167-184", "title" : "Assessing the ecosystem services value of Can Gio Mangrove Biosphere Reserve: Combining earth observation and household survey based analyses", "type" : "article-journal", "volume" : "45" }, "uris" : [ "http://www.mendeley.com/documents/?uuid=2fd1f3ab-26de-42e5-9091-fa6083387049" ] } ], "mendeley" : { "formattedCitation" : "(Kuenzer and Tuan, 2013)", "plainTextFormattedCitation" : "(Kuenzer and Tuan, 2013)", "previouslyFormattedCitation" : "(Kuenzer and Tuan, 2013)" }, "properties" : { "noteIndex" : 12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(Kuenzer and Tuan, 2013)</w:t>
            </w:r>
            <w:r w:rsidRPr="004A65FD">
              <w:rPr>
                <w:rFonts w:ascii="Cambria" w:eastAsia="Cambria" w:hAnsi="Cambria" w:cs="Cambria"/>
                <w:szCs w:val="24"/>
              </w:rPr>
              <w:fldChar w:fldCharType="end"/>
            </w:r>
          </w:p>
          <w:p w14:paraId="28D16B33" w14:textId="77777777" w:rsidR="004368D7" w:rsidRPr="004A65FD" w:rsidRDefault="004368D7" w:rsidP="00575495">
            <w:pPr>
              <w:widowControl w:val="0"/>
              <w:spacing w:line="240" w:lineRule="auto"/>
              <w:rPr>
                <w:rFonts w:ascii="Cambria" w:eastAsia="Cambria" w:hAnsi="Cambria" w:cs="Cambria"/>
                <w:szCs w:val="24"/>
              </w:rPr>
            </w:pPr>
          </w:p>
          <w:p w14:paraId="050A5AAC"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Market price</w:t>
            </w:r>
            <w:r w:rsidRPr="004A65FD">
              <w:rPr>
                <w:rFonts w:ascii="Cambria" w:eastAsia="Cambria" w:hAnsi="Cambria" w:cs="Cambria"/>
                <w:szCs w:val="24"/>
              </w:rPr>
              <w:t>: No per ha per year estimates published.</w:t>
            </w:r>
          </w:p>
        </w:tc>
      </w:tr>
      <w:tr w:rsidR="004368D7" w:rsidRPr="004A65FD" w14:paraId="38514E3C" w14:textId="77777777" w:rsidTr="004368D7">
        <w:tc>
          <w:tcPr>
            <w:tcW w:w="2395" w:type="dxa"/>
            <w:shd w:val="clear" w:color="auto" w:fill="auto"/>
            <w:tcMar>
              <w:top w:w="100" w:type="dxa"/>
              <w:left w:w="100" w:type="dxa"/>
              <w:bottom w:w="100" w:type="dxa"/>
              <w:right w:w="100" w:type="dxa"/>
            </w:tcMar>
          </w:tcPr>
          <w:p w14:paraId="6F215D9D"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hAnsi="Cambria"/>
              </w:rPr>
              <w:lastRenderedPageBreak/>
              <w:t>Aesthetic information</w:t>
            </w:r>
          </w:p>
        </w:tc>
        <w:tc>
          <w:tcPr>
            <w:tcW w:w="7020" w:type="dxa"/>
            <w:shd w:val="clear" w:color="auto" w:fill="auto"/>
            <w:tcMar>
              <w:top w:w="100" w:type="dxa"/>
              <w:left w:w="100" w:type="dxa"/>
              <w:bottom w:w="100" w:type="dxa"/>
              <w:right w:w="100" w:type="dxa"/>
            </w:tcMar>
          </w:tcPr>
          <w:p w14:paraId="257FF11B"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US$500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"10.1051/kmae/2009009", "ISSN" : "1961-9502", "abstract" : "Wetlands, including mangroves, perform several functions such as inundation control, and protection from erosion, storm, floods and tidal damage, and generate goods and products such as fish and forest resources. These functions are of fundamental importance for society. The present study aims to identify the challenges of the mangrove wetlands of north Malabar, their uses and socio-economic influence on local people, and the value of ecosystem services, and to suggest the way forward for sustainable development.", "author" : [ { "dropping-particle" : "", "family" : "Khaleel", "given" : "K. M.", "non-dropping-particle" : "", "parse-names" : false, "suffix" : "" }, { "dropping-particle" : "", "family" : "Jaleel", "given" : "C. A.", "non-dropping-particle" : "", "parse-names" : false, "suffix" : "" }, { "dropping-particle" : "", "family" : "Jaleel", "given" : "C. A.", "non-dropping-particle" : "", "parse-names" : false, "suffix" : "" } ], "container-title" : "KNOWLEDGE AND MANAGEMENT OF AQUATIC ECOSYSTEMS", "id" : "ITEM-1", "issue" : "392", "issued" : { "date-parts" : [ [ "2009", "5", "12" ] ] }, "page" : "03", "publisher" : "EDP Sciences", "title" : "Environmental challenges to the mangrove wetlands of North Malabar (Kerala), India: Their sustainable development and influence on local people", "type" : "article-journal" }, "uris" : [ "http://www.mendeley.com/documents/?uuid=8094bb54-efa3-4bef-a0d4-046a9fb85dc8" ] }, { "id" : "ITEM-2",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"ITEM-2",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Khaleel et al., 2009)", "plainTextFormattedCitation" : "(Khaleel, 2012; Khaleel et al., 2009)", "previouslyFormattedCitation" : "(Khaleel, 2012; Khaleel et al., 2009)"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 Khaleel et al., 2009)</w:t>
            </w:r>
            <w:r w:rsidRPr="004A65FD">
              <w:rPr>
                <w:rFonts w:ascii="Cambria" w:eastAsia="Cambria" w:hAnsi="Cambria" w:cs="Cambria"/>
                <w:szCs w:val="24"/>
              </w:rPr>
              <w:fldChar w:fldCharType="end"/>
            </w:r>
          </w:p>
        </w:tc>
      </w:tr>
      <w:tr w:rsidR="004368D7" w:rsidRPr="004A65FD" w14:paraId="07C74F65" w14:textId="77777777" w:rsidTr="004368D7">
        <w:tc>
          <w:tcPr>
            <w:tcW w:w="2395" w:type="dxa"/>
            <w:shd w:val="clear" w:color="auto" w:fill="auto"/>
            <w:tcMar>
              <w:top w:w="100" w:type="dxa"/>
              <w:left w:w="100" w:type="dxa"/>
              <w:bottom w:w="100" w:type="dxa"/>
              <w:right w:w="100" w:type="dxa"/>
            </w:tcMar>
          </w:tcPr>
          <w:p w14:paraId="22331AD5"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hAnsi="Cambria"/>
              </w:rPr>
              <w:t>Information for cognitive development</w:t>
            </w:r>
          </w:p>
        </w:tc>
        <w:tc>
          <w:tcPr>
            <w:tcW w:w="7020" w:type="dxa"/>
            <w:shd w:val="clear" w:color="auto" w:fill="auto"/>
            <w:tcMar>
              <w:top w:w="100" w:type="dxa"/>
              <w:left w:w="100" w:type="dxa"/>
              <w:bottom w:w="100" w:type="dxa"/>
              <w:right w:w="100" w:type="dxa"/>
            </w:tcMar>
          </w:tcPr>
          <w:p w14:paraId="1547E64D"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US$50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"mendeley" : { "formattedCitation" : "(Ullah et al., 2010)", "plainTextFormattedCitation" : "(Ullah et al., 2010)", "previouslyFormattedCitation" : "(Ullah et al., 2010)"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US$100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"ITEM-1",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"plainTextFormattedCitation" : "(Khaleel, 2012)", "previouslyFormattedCitation" : "(Khaleel, 2012)"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w:t>
            </w:r>
            <w:r w:rsidRPr="004A65FD">
              <w:rPr>
                <w:rFonts w:ascii="Cambria" w:eastAsia="Cambria" w:hAnsi="Cambria" w:cs="Cambria"/>
                <w:szCs w:val="24"/>
              </w:rPr>
              <w:fldChar w:fldCharType="end"/>
            </w:r>
          </w:p>
          <w:p w14:paraId="025AD4E5" w14:textId="77777777" w:rsidR="004368D7" w:rsidRPr="004A65FD" w:rsidRDefault="004368D7" w:rsidP="00575495">
            <w:pPr>
              <w:widowControl w:val="0"/>
              <w:spacing w:line="240" w:lineRule="auto"/>
              <w:rPr>
                <w:rFonts w:ascii="Cambria" w:eastAsia="Cambria" w:hAnsi="Cambria" w:cs="Cambria"/>
                <w:szCs w:val="24"/>
              </w:rPr>
            </w:pPr>
          </w:p>
          <w:p w14:paraId="71A5FC27"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Market price</w:t>
            </w:r>
            <w:r w:rsidRPr="004A65FD">
              <w:rPr>
                <w:rFonts w:ascii="Cambria" w:eastAsia="Cambria" w:hAnsi="Cambria" w:cs="Cambria"/>
                <w:szCs w:val="24"/>
              </w:rPr>
              <w:t xml:space="preserve">: US$184.40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study was undertaken as part of UNEP efforts of promoting forests as a significant green economy asset for Kenya. Forests should be taken into account when calculating the national accounts because the global rush for land and the increasing demand for agricultural products and urban infrastructure continue to intensify the pressure on tropical and coastal forests. The fact that forests provide goods and services which currently have no valued assigned to in economic markets exacerbates the deforestation and land conversion. Mangrove forests are among the most productive and valuable ecosystems on earth. However, the economic value of the diverse functions they provide such as shoreline protection, nursery habitats and carbon storage are not accounted for by decision-makers. This study aims to demonstrate the economic value of mangrove forest services in Kenya, using the Gazi Bay mangrove forest ecosystem as an illustration. The study quantifies the Total Economic Value (TEV) of the Gazi Bay mangrove forest. The variables are divided into direct use, indirect use and non-use value. Direct use values include fishery, timber, eco-tourism, research and education, aquaculture and apiculture. They account for 20 per cent of the TEV. Indirect use values of the mangroves are shoreline protection, carbon sequestration and biodiversity. They represent 25 per cent of the TEV. The existence value, which represents the value of mangroves in an unharmed state, accounts for 55 per cent of the TEV. The analysis results in a TEV of US$ 1,092 per hectare per year. To quantify the value of the goods and services, different methods were applied. Most of the direct uses were calculated using the market value of the products. The Damage Costs Avoided Method was used to value the shoreline protection function of the mangroves. Biodiversity and existence value were derived using the Benefit Transfer Method (BT). It is acknowledged and stressed that this study suffers from research limitations. One reason is the lack of primary data and appropriate peer reviewed studies. Application of the BT should also be considered with caution. It is, however, recognized as one of the most widely used methodologies in the field of environmental valuation and serves as a first approach in determining non-marketable mangrove services. Therefore the results of this analysis should be considered as a first step towards quantifying the value of Kenyan mangrove goods and services. The resul\u2026", "author" : [ { "dropping-particle" : "", "family" : "Hoberg", "given" : "Janis", "non-dropping-particle" : "", "parse-names" : false, "suffix" : "" } ], "id" : "ITEM-1", "issued" : { "date-parts" : [ [ "2011" ] ] }, "title" : "Economic Analysis of Mangrove Forests: A case study in Gazi Bay, Kenya", "type" : "report" }, "uris" : [ "http://www.mendeley.com/documents/?uuid=5647e4af-3381-4729-8c20-57c26ba6f9fc" ] } ], "mendeley" : { "formattedCitation" : "(Hoberg, 2011)", "plainTextFormattedCitation" : "(Hoberg, 2011)", "previouslyFormattedCitation" : "(Hoberg, 2011)"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(Hoberg, 2011)</w:t>
            </w:r>
            <w:r w:rsidRPr="004A65FD">
              <w:rPr>
                <w:rFonts w:ascii="Cambria" w:eastAsia="Cambria" w:hAnsi="Cambria" w:cs="Cambria"/>
                <w:szCs w:val="24"/>
              </w:rPr>
              <w:fldChar w:fldCharType="end"/>
            </w:r>
            <w:r w:rsidRPr="004A65FD">
              <w:rPr>
                <w:rFonts w:ascii="Cambria" w:eastAsia="Cambria" w:hAnsi="Cambria" w:cs="Cambria"/>
                <w:szCs w:val="24"/>
              </w:rPr>
              <w:t xml:space="preserve">, US$770.23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"10.1080/10549810902791523", "ISBN" : "10549811", "ISSN" : "1054-9811", "abstract" : "Economic analysis of mangrove reforestation is provided for a replanted Rhizophora mucronata plantation at Gazi Bay, Kenya. Major goods and services from a 12-year plantation were identified as: firewood and building poles, coastal protection, ecotourism, research and education, carbon sequestration and on-site fisheries. The net value of extractable wood products was estimated at US$379.17/ha/yr. For nonextractable products, however, the net value ranged from US$44.42/ha/yr in carbon sequestration to US$1,586.66/ha/yr in coastal protection. The total economic value of a 12-year-old Rhizophora plantation was therefore US$2902.87/ha/yr. Since most of these benefits cannot be internalized, there is need for governments to promote community efforts in mangrove reforestation through finding ways of marketing ecosystem services of the replanted forests. \u00a9 Taylor &amp; Francis Group, LLC.", "author" : [ { "dropping-particle" : "", "family" : "Kairo", "given" : "James G.", "non-dropping-particle" : "", "parse-names" : false, "suffix" : "" }, { "dropping-particle" : "", "family" : "Wanjiru", "given" : "Caroline", "non-dropping-particle" : "", "parse-names" : false, "suffix" : "" }, { "dropping-particle" : "", "family" : "Ochiewo", "given" : "Jacob", "non-dropping-particle" : "", "parse-names" : false, "suffix" : "" } ], "container-title" : "Journal of Sustainable Forestry", "id" : "ITEM-1", "issue" : "November", "issued" : { "date-parts" : [ [ "2009" ] ] }, "page" : "395-414", "title" : "Net Pay: Economic Analysis of a Replanted Mangrove Plantation in Kenya", "type" : "article-journal", "volume" : "28" }, "uris" : [ "http://www.mendeley.com/documents/?uuid=dbefade1-cfc6-41df-803f-f637a62c1581" ] } ], "mendeley" : { "formattedCitation" : "(Kairo et al., 2009)", "plainTextFormattedCitation" : "(Kairo et al., 2009)", "previouslyFormattedCitation" : "(Kairo et al., 2009)"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(Kairo et al., 2009)</w:t>
            </w:r>
            <w:r w:rsidRPr="004A65FD">
              <w:rPr>
                <w:rFonts w:ascii="Cambria" w:eastAsia="Cambria" w:hAnsi="Cambria" w:cs="Cambria"/>
                <w:szCs w:val="24"/>
              </w:rPr>
              <w:fldChar w:fldCharType="end"/>
            </w:r>
          </w:p>
        </w:tc>
      </w:tr>
      <w:tr w:rsidR="004368D7" w:rsidRPr="004A65FD" w14:paraId="61CFC8CB" w14:textId="77777777" w:rsidTr="004368D7">
        <w:tc>
          <w:tcPr>
            <w:tcW w:w="2395" w:type="dxa"/>
            <w:shd w:val="clear" w:color="auto" w:fill="auto"/>
            <w:tcMar>
              <w:top w:w="100" w:type="dxa"/>
              <w:left w:w="100" w:type="dxa"/>
              <w:bottom w:w="100" w:type="dxa"/>
              <w:right w:w="100" w:type="dxa"/>
            </w:tcMar>
          </w:tcPr>
          <w:p w14:paraId="043D9D67"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hAnsi="Cambria"/>
              </w:rPr>
              <w:t>Opportunities for recreation and tourism</w:t>
            </w:r>
          </w:p>
        </w:tc>
        <w:tc>
          <w:tcPr>
            <w:tcW w:w="7020" w:type="dxa"/>
            <w:shd w:val="clear" w:color="auto" w:fill="auto"/>
            <w:tcMar>
              <w:top w:w="100" w:type="dxa"/>
              <w:left w:w="100" w:type="dxa"/>
              <w:bottom w:w="100" w:type="dxa"/>
              <w:right w:w="100" w:type="dxa"/>
            </w:tcMar>
          </w:tcPr>
          <w:p w14:paraId="14C2AD1E"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Benefit transfer</w:t>
            </w:r>
            <w:r w:rsidRPr="004A65FD">
              <w:rPr>
                <w:rFonts w:ascii="Cambria" w:eastAsia="Cambria" w:hAnsi="Cambria" w:cs="Cambria"/>
                <w:szCs w:val="24"/>
              </w:rPr>
              <w:t xml:space="preserve">: US$20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"http://dx.doi.org/10.1071/MF15066", "ISSN" : "1323-1650", "abstract" : "The Niger Delta, being the most extensive freshwater wetland and aquatic ecosystem in West Africa, provides numerous services both to local people and to the West African economy. Ongoing environmental pressure exerted by large-scale oil extraction and illegal timber logging, however, are suspected to have had a substantial impact on the Delta\u2019s ecosystems over the last decades. Knowledge on impact of these activities on the region\u2019s wetlands now or in the past is scarce and patchy. To address this lack of knowledge, this study assesses spatiotemporal changes in two wetlands in the region by using satellite data from 1984 to 2011 and GIS methods. The results show that both wetlands have experienced substantial degradation, particularly with respect to the area of forest lost. Although comprehensive environmental protection laws were introduced in 1988, ecosystem services of up to US$65 million in value were lost over the study period. The introduction of new legislation in 2007, however, is potentially a first step towards a more \u2018wise use\u2019 of wetlands in Nigeria.", "author" : [ { "dropping-particle" : "", "family" : "Ayanlade", "given" : "Ayansina", "non-dropping-particle" : "", "parse-names" : false, "suffix" : "" }, { "dropping-particle" : "", "family" : "Proske", "given" : "Ulrike", "non-dropping-particle" : "", "parse-names" : false, "suffix" : "" } ], "container-title" : "Marine and Freshwater Research", "id" : "ITEM-1", "issued" : { "date-parts" : [ [ "2015" ] ] }, "page" : "828-836", "title" : "Assessing wetland degradation and loss of ecosystem services in the Niger Delta, Nigeria", "type" : "article-journal" }, "uris" : [ "http://www.mendeley.com/documents/?uuid=10e6e7c4-c819-4335-aa8f-a7eccac31475" ] } ], "mendeley" : { "formattedCitation" : "(Ayanlade and Proske, 2015)", "plainTextFormattedCitation" : "(Ayanlade and Proske, 2015)", "previouslyFormattedCitation" : "(Ayanlade and Proske, 2015)"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(Ayanlade and Proske, 2015)</w:t>
            </w:r>
            <w:r w:rsidRPr="004A65FD">
              <w:rPr>
                <w:rFonts w:ascii="Cambria" w:eastAsia="Cambria" w:hAnsi="Cambria" w:cs="Cambria"/>
                <w:szCs w:val="24"/>
              </w:rPr>
              <w:fldChar w:fldCharType="end"/>
            </w:r>
            <w:r w:rsidRPr="004A65FD">
              <w:rPr>
                <w:rFonts w:ascii="Cambria" w:eastAsia="Cambria" w:hAnsi="Cambria" w:cs="Cambria"/>
                <w:szCs w:val="24"/>
              </w:rPr>
              <w:t xml:space="preserve">, US$155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"10.1016/j.ecolecon.2012.07.018", "ISSN" : "09218009", "abstract" : "In the central region of the Gulf of Mexico, urban growth occurs mainly to support tourism and results in loss of natural ecosystems and ecosystem services. Our objectives were to analyze land use changes and calculate the value of these changes in terms of lost ecosystem services. We selected three study sites with contrasting infrastructure for tourism: Boca del R\u00edo, Chachalacas and Costa Esmeralda. From 1995\u20132006, we found that urban sprawl was predominant, and occurred over mangroves, grasslands, croplands and the beach. Using the benefit transfer method, we calculated a net loss ($US 2006/ha/year) of $1.4\u00d7103 in Boca del R\u00edo, $7\u00d7105 in Chachalacas and $1\u00d7105 in Costa Esmeralda. Because the value of urban land is higher (from 45,000 USD/ha (2006) in Costa Esmeralda to 6million in Boca del R\u00edo) than the total estimated Ecosystem Services Value (106,000 USD/ha, including all ecosystems and ecosystem services), land use change may seem economically profitable. However, after losing ecosystem services such as coastal protection or scenic value and recreation, the apparent gains from urban development are lost. Land use and policy making should consider ecosystem service losses so that ecosystems are preserved and society benefited.", "author" : [ { "dropping-particle" : "", "family" : "Mendoza-Gonz\u00e1lez", "given" : "G.", "non-dropping-particle" : "", "parse-names" : false, "suffix" : "" }, { "dropping-particle" : "", "family" : "Mart\u00ednez", "given" : "M.L.", "non-dropping-particle" : "", "parse-names" : false, "suffix" : "" }, { "dropping-particle" : "", "family" : "Lithgow", "given" : "D.", "non-dropping-particle" : "", "parse-names" : false, "suffix" : "" }, { "dropping-particle" : "", "family" : "P\u00e9rez-Maqueo", "given" : "O.", "non-dropping-particle" : "", "parse-names" : false, "suffix" : "" }, { "dropping-particle" : "", "family" : "Simonin", "given" : "P.", "non-dropping-particle" : "", "parse-names" : false, "suffix" : "" } ], "container-title" : "Ecological Economics", "id" : "ITEM-1", "issued" : { "date-parts" : [ [ "2012", "10" ] ] }, "page" : "23-32", "title" : "Land use change and its effects on the value of ecosystem services along the coast of the Gulf of Mexico", "type" : "article-journal", "volume" : "82" }, "uris" : [ "http://www.mendeley.com/documents/?uuid=3add7f25-dd1f-4391-bb6f-170960872225" ] } ], "mendeley" : { "formattedCitation" : "(Mendoza-Gonz\u00e1lez et al., 2012)", "plainTextFormattedCitation" : "(Mendoza-Gonz\u00e1lez et al., 2012)", "previouslyFormattedCitation" : "(Mendoza-Gonz\u00e1lez et al., 2012)"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(Mendoza-González et al., 2012)</w:t>
            </w:r>
            <w:r w:rsidRPr="004A65FD">
              <w:rPr>
                <w:rFonts w:ascii="Cambria" w:eastAsia="Cambria" w:hAnsi="Cambria" w:cs="Cambria"/>
                <w:szCs w:val="24"/>
              </w:rPr>
              <w:fldChar w:fldCharType="end"/>
            </w:r>
            <w:r w:rsidRPr="004A65FD">
              <w:rPr>
                <w:rFonts w:ascii="Cambria" w:eastAsia="Cambria" w:hAnsi="Cambria" w:cs="Cambria"/>
                <w:szCs w:val="24"/>
              </w:rPr>
              <w:t xml:space="preserve"> US$500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"Wetlands perform various functions of vital socio-ecological significance playing fundamental role in moderating monsoon tidal floods and coastal protection and generate goods and products such as fish and forest resources. The depletion of mangroves is a cause of serious environmental and economic concern to many developing countries. Problems of sustainability of mangrove ecosystems are not only technical but also socio-economic. Functions played by mangrove wetlands are of fundamental importance for society. The present study aims to identify the challenges of the mangrove wetlands of Southeast coast of Chittagong, their uses and socio-economic influence on local people, and the value of ecosystem services, and to suggest how to conserve this ecosystem in a more equitable way.", "author" : [ { "dropping-particle" : "", "family" : "Ullah", "given" : "Md. Hadayet", "non-dropping-particle" : "", "parse-names" : false, "suffix" : "" }, { "dropping-particle" : "", "family" : "Mondal", "given" : "Md. Atiqul Islam", "non-dropping-particle" : "", "parse-names" : false, "suffix" : "" }, { "dropping-particle" : "", "family" : "Uddin", "given" : "Md. Riaz", "non-dropping-particle" : "", "parse-names" : false, "suffix" : "" }, { "dropping-particle" : "", "family" : "Ferdous", "given" : "Md. Azim", "non-dropping-particle" : "", "parse-names" : false, "suffix" : "" } ], "container-title" : "Journal of Forest and Environmental Science", "id" : "ITEM-1", "issue" : "2", "issued" : { "date-parts" : [ [ "2010" ] ] }, "page" : "103-111", "publisher" : "Institute of Forest Science, kangwon National University", "title" : "Implications of Mangrove Wetland in Socio-environmental Sector: Experiences from Southeast Coast of Chittagong, Bangladesh", "type" : "article-journal", "volume" : "26" }, "uris" : [ "http://www.mendeley.com/documents/?uuid=20b3532e-acc3-464e-9932-70c09ec2b3b4" ] }, { "id" : "ITEM-2", "itemData" : { "DOI" : "10.5829/idosi.ejas.2012.4.6.2010", "ISSN" : "2079-2077", "abstract" : "The mangrove wetlands perform several functions such as inundation control, protection from erosion, storm, floods and tidal damage and generate goods and products such as fish and forest resources. These functions are of fundamental importance for society. The present study reveals that the mangrove wetlands of North Malabar provide an Ecosystem Service value of US Dollar 10960 /ha / year, also suggested the way forward for sustainable development.", "author" : [ { "dropping-particle" : "", "family" : "Khaleel", "given" : "K M", "non-dropping-particle" : "", "parse-names" : false, "suffix" : "" } ], "container-title" : "European Journal of Applied Sciences", "id" : "ITEM-2", "issue" : "6", "issued" : { "date-parts" : [ [ "2012" ] ] }, "page" : "253-256", "title" : "Study on the Socio-Economic Influence of the Mangrove Wetlands of North Malabar (Kerala), India", "type" : "article-journal", "volume" : "4" }, "uris" : [ "http://www.mendeley.com/documents/?uuid=4e45004e-6280-4d80-9210-ac23413d44a7" ] } ], "mendeley" : { "formattedCitation" : "(Khaleel, 2012; Ullah et al., 2010)", "plainTextFormattedCitation" : "(Khaleel, 2012; Ullah et al., 2010)", "previouslyFormattedCitation" : "(Khaleel, 2012; Ullah et al., 2010)"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(Khaleel, 2012; Ullah et al., 2010)</w:t>
            </w:r>
            <w:r w:rsidRPr="004A65FD">
              <w:rPr>
                <w:rFonts w:ascii="Cambria" w:eastAsia="Cambria" w:hAnsi="Cambria" w:cs="Cambria"/>
                <w:szCs w:val="24"/>
              </w:rPr>
              <w:fldChar w:fldCharType="end"/>
            </w:r>
            <w:r w:rsidRPr="004A65FD">
              <w:rPr>
                <w:rFonts w:ascii="Cambria" w:eastAsia="Cambria" w:hAnsi="Cambria" w:cs="Cambria"/>
                <w:szCs w:val="24"/>
              </w:rPr>
              <w:t xml:space="preserve">, US$658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"Kala Oya Basin (KGB) is one of the largest river basins in Sri Lanka which covers an area of around 2,870 knr and expands over three provinces and four districts. The river basin covers many different types of ecosystems, valuable biodiversity resources and characterized by conflicting user interests and serious degradation issues. The present study attempts valuation of ecosystem services provided by the river basin and aims at providing recommendations for river basin management. Carbon storage and soil conservation functions, recreation, production services of homegardens, and mangrove services were valued using data collectedfrom various primary and secondary sources and using benefit transfer approach as the main valuation method. The annual value of the ecosystem services of the KGB is Rs million 23,500. The highest economic value was resulted from the carbon values (77%). The estimated value represents 1.16% ofGDP (of2004) of the country and 7.33% of the agricultural sector GDP which highlights the significance of the potential economic gains of the basin. Development of appropriation mechanisms for the yet unrealized values and identification of conservation and monitoring priorities are the key issues identified by the present study However the study emphasizes the needfor more complex models that integrate economics, hydrology, and equity aspects which could ensure long term sustenance of the service provision of the river basin.", "author" : [ { "dropping-particle" : "", "family" : "Gunawardena", "given" : "UAD Prasanthi", "non-dropping-particle" : "", "parse-names" : false, "suffix" : "" } ], "container-title" : "Vidyodaya Jounal of Humanities and Social Science Joint Golden Jubilee Issue of Vidyodaya", "id" : "ITEM-1", "issued" : { "date-parts" : [ [ "2009" ] ] }, "page" : "239-266", "title" : "Valuation of Ecosystem Services of Kala Oya River Basin: Implications for River Basin Management", "type" : "article-journal" }, "uris" : [ "http://www.mendeley.com/documents/?uuid=296e5d04-10b9-4561-9cde-c4a910bb916b" ] } ], "mendeley" : { "formattedCitation" : "(Gunawardena, 2009)", "plainTextFormattedCitation" : "(Gunawardena, 2009)", "previouslyFormattedCitation" : "(Gunawardena, 2009)"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(Gunawardena, 2009)</w:t>
            </w:r>
            <w:r w:rsidRPr="004A65FD">
              <w:rPr>
                <w:rFonts w:ascii="Cambria" w:eastAsia="Cambria" w:hAnsi="Cambria" w:cs="Cambria"/>
                <w:szCs w:val="24"/>
              </w:rPr>
              <w:fldChar w:fldCharType="end"/>
            </w:r>
            <w:r w:rsidRPr="004A65FD">
              <w:rPr>
                <w:rFonts w:ascii="Cambria" w:eastAsia="Cambria" w:hAnsi="Cambria" w:cs="Cambria"/>
                <w:szCs w:val="24"/>
              </w:rPr>
              <w:t xml:space="preserve">, US$37,927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"This report presents an overview assessment of ecosystem services of the Kingdom of Bahrain, as part of the supporting documentation that together with the Biodiversity Baseline Report, Stakeholder Analysis, and Protected Area Strategy, all comprise foundational elements for the development of an update to the National Biodiversity Strategy and Action Plan (NBSAP) and the revision of the CBD Fifth National Report of the Kingdom of Bahrain. Several methodologies were used in the Ecosystem Services Assessment, drawing on available data and published studies. The main ecosystem services being provided by the terrestrial and marine natural habitats of the Kingdom of Bahrain are first described, then summarized in terms of classes of ecosystem services being provided. Geographical areas within the Kingdom of Bahrain where there are potentially significant concentrations of ecosystem services are also highlighted. Valuation of the ecosystem services of the Kingdom of Bahrain is not possible without economic studies that utilize contingent valuation, travel cost method, and other social surveys. However, ranges of potential values are estimated using available information and benefits transfer, i.e. information derived from studies of that service in other parts of the world. In the absence of contingent valuation surveys of residents, visitors, and businessmen, these estimates of the ranges of values can provide a sense of the potential for investing in natural capital, as well as adequate information for trade-off analyses. The limitations of benefits transfer and the ways in which subsequent research in the Kingdom of Bahrain could fill data gaps and contextualize the ecosystem services valuation are discussed.", "author" : [ { "dropping-particle" : "", "family" : "Mubarak Bin Daina", "given" : "Mohamed", "non-dropping-particle" : "", "parse-names" : false, "suffix" : "" }, { "dropping-particle" : "", "family" : "Khamis", "given" : "Abdelqader", "non-dropping-particle" : "", "parse-names" : false, "suffix" : "" }, { "dropping-particle" : "", "family" : "Alqassim Abdulrazzaq", "given" : "Mohamed", "non-dropping-particle" : "", "parse-names" : false, "suffix" : "" }, { "dropping-particle" : "", "family" : "Sattout", "given" : "Elsa", "non-dropping-particle" : "", "parse-names" : false, "suffix" : "" }, { "dropping-particle" : "", "family" : "Alkhuzai", "given" : "Jameel", "non-dropping-particle" : "", "parse-names" : false, "suffix" : "" }, { "dropping-particle" : "", "family" : "Alhusseini", "given" : "Tamera", "non-dropping-particle" : "", "parse-names" : false, "suffix" : "" }, { "dropping-particle" : "", "family" : "Husain", "given" : "Eman", "non-dropping-particle" : "", "parse-names" : false, "suffix" : "" } ], "collection-title" : "Project report for the UNEP and GEF project \"Updating the National Biodiversity Strategy and Action Plan of the Kingdom of Bahrain\"", "id" : "ITEM-1", "issued" : { "date-parts" : [ [ "2015" ] ] }, "number-of-pages" : "64", "title" : "An Assessment and Mapping of the Potential Values of Ecosystem Services in the Kingdom of Bahrain", "type" : "report" }, "uris" : [ "http://www.mendeley.com/documents/?uuid=74216310-61c9-4390-9dbc-c56b589c92bf" ] } ], "mendeley" : { "formattedCitation" : "(Mubarak Bin Daina et al., 2015)", "plainTextFormattedCitation" : "(Mubarak Bin Daina et al., 2015)", "previouslyFormattedCitation" : "(Mubarak Bin Daina et al., 2015)"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(Mubarak Bin Daina et al., 2015)</w:t>
            </w:r>
            <w:r w:rsidRPr="004A65FD">
              <w:rPr>
                <w:rFonts w:ascii="Cambria" w:eastAsia="Cambria" w:hAnsi="Cambria" w:cs="Cambria"/>
                <w:szCs w:val="24"/>
              </w:rPr>
              <w:fldChar w:fldCharType="end"/>
            </w:r>
          </w:p>
          <w:p w14:paraId="0B781831" w14:textId="77777777" w:rsidR="004368D7" w:rsidRPr="004A65FD" w:rsidRDefault="004368D7" w:rsidP="00575495">
            <w:pPr>
              <w:widowControl w:val="0"/>
              <w:spacing w:line="240" w:lineRule="auto"/>
              <w:rPr>
                <w:rFonts w:ascii="Cambria" w:eastAsia="Cambria" w:hAnsi="Cambria" w:cs="Cambria"/>
                <w:szCs w:val="24"/>
              </w:rPr>
            </w:pPr>
          </w:p>
          <w:p w14:paraId="1944BD6F"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Market price</w:t>
            </w:r>
            <w:r w:rsidRPr="004A65FD">
              <w:rPr>
                <w:rFonts w:ascii="Cambria" w:eastAsia="Cambria" w:hAnsi="Cambria" w:cs="Cambria"/>
                <w:szCs w:val="24"/>
              </w:rPr>
              <w:t xml:space="preserve">: US$9.30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"10.1080/10549810902791523", "ISBN" : "10549811", "ISSN" : "1054-9811", "abstract" : "Economic analysis of mangrove reforestation is provided for a replanted Rhizophora mucronata plantation at Gazi Bay, Kenya. Major goods and services from a 12-year plantation were identified as: firewood and building poles, coastal protection, ecotourism, research and education, carbon sequestration and on-site fisheries. The net value of extractable wood products was estimated at US$379.17/ha/yr. For nonextractable products, however, the net value ranged from US$44.42/ha/yr in carbon sequestration to US$1,586.66/ha/yr in coastal protection. The total economic value of a 12-year-old Rhizophora plantation was therefore US$2902.87/ha/yr. Since most of these benefits cannot be internalized, there is need for governments to promote community efforts in mangrove reforestation through finding ways of marketing ecosystem services of the replanted forests. \u00a9 Taylor &amp; Francis Group, LLC.", "author" : [ { "dropping-particle" : "", "family" : "Kairo", "given" : "James G.", "non-dropping-particle" : "", "parse-names" : false, "suffix" : "" }, { "dropping-particle" : "", "family" : "Wanjiru", "given" : "Caroline", "non-dropping-particle" : "", "parse-names" : false, "suffix" : "" }, { "dropping-particle" : "", "family" : "Ochiewo", "given" : "Jacob", "non-dropping-particle" : "", "parse-names" : false, "suffix" : "" } ], "container-title" : "Journal of Sustainable Forestry", "id" : "ITEM-1", "issue" : "November", "issued" : { "date-parts" : [ [ "2009" ] ] }, "page" : "395-414", "title" : "Net Pay: Economic Analysis of a Replanted Mangrove Plantation in Kenya", "type" : "article-journal", "volume" : "28" }, "uris" : [ "http://www.mendeley.com/documents/?uuid=dbefade1-cfc6-41df-803f-f637a62c1581" ] } ], "mendeley" : { "formattedCitation" : "(Kairo et al., 2009)", "plainTextFormattedCitation" : "(Kairo et al., 2009)", "previouslyFormattedCitation" : "(Kairo et al., 2009)"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(Kairo et al., 2009)</w:t>
            </w:r>
            <w:r w:rsidRPr="004A65FD">
              <w:rPr>
                <w:rFonts w:ascii="Cambria" w:eastAsia="Cambria" w:hAnsi="Cambria" w:cs="Cambria"/>
                <w:szCs w:val="24"/>
              </w:rPr>
              <w:fldChar w:fldCharType="end"/>
            </w:r>
            <w:r w:rsidRPr="004A65FD">
              <w:rPr>
                <w:rFonts w:ascii="Cambria" w:eastAsia="Cambria" w:hAnsi="Cambria" w:cs="Cambria"/>
                <w:szCs w:val="24"/>
              </w:rPr>
              <w:t xml:space="preserve">, US$453.20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"abstract" : "Krabi River Estuary, a ramsar site located in southern Thailand, is dominated by two major natural vegetation assemblages, i.e. mangrove forests and seagrass beds. According to the cluster development strategy, the cabinet has approved in principle to develop Krabi as the global marine tourism center and economic gateway of Asia. This study aimed to assess the economic value of the site, using market price and benefit transfer. The impact on economic activities with the 5% annual decline of mangrove forests was evaluated. The estimated annual use value of the site was $9.7 million for recreation and tourism. The economic value of mangrove forests was $758/ha. The net present value of mangrove forests was $73.1 million based on 7% discount rate and 15-year time line. An approximate impact of mangrove change follows the study of Ruitenbeek (1992). It was assumed that the impact on local direct resource extraction and loss in biodiversity would occur at the year after the depletion of the forest. The impact on the productivity of local fishery would occur in the fifth year and on tourism in the tenth year. Thus, value loss of mangrove at the annual rate of 5% in the net present term became $21.0 million or $2.3 million per year. The results imply that a development project that causes the same rate of mangrove destruction must generate a least an income of $2.3 million per year to be considered as an economically feasible project.", "author" : [ { "dropping-particle" : "", "family" : "Janekarnkij", "given" : "Penporn", "non-dropping-particle" : "", "parse-names" : false, "suffix" : "" } ], "collection-title" : "ARE Working Paper", "id" : "ITEM-1", "issue" : "2553", "issued" : { "date-parts" : [ [ "2010" ] ] }, "number" : "No. 2553/4.", "number-of-pages" : "16-18", "publisher-place" : "Bangkok, Thailand", "title" : "Assessing the value of Krabi River Estuary Ramsar Site conservation and development", "type" : "report" }, "uris" : [ "http://www.mendeley.com/documents/?uuid=5dc32b82-13a8-407b-a2b0-a46c456c34e8" ] } ], "mendeley" : { "formattedCitation" : "(Janekarnkij, 2010)", "plainTextFormattedCitation" : "(Janekarnkij, 2010)", "previouslyFormattedCitation" : "(Janekarnkij, 2010)"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(Janekarnkij, 2010)</w:t>
            </w:r>
            <w:r w:rsidRPr="004A65FD">
              <w:rPr>
                <w:rFonts w:ascii="Cambria" w:eastAsia="Cambria" w:hAnsi="Cambria" w:cs="Cambria"/>
                <w:szCs w:val="24"/>
              </w:rPr>
              <w:fldChar w:fldCharType="end"/>
            </w:r>
            <w:r w:rsidRPr="004A65FD">
              <w:rPr>
                <w:rFonts w:ascii="Cambria" w:eastAsia="Cambria" w:hAnsi="Cambria" w:cs="Cambria"/>
                <w:szCs w:val="24"/>
              </w:rPr>
              <w:t xml:space="preserve">, US$ 2,352.15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"10.1007/s11852-010-0133-0", "ISSN" : "1400-0350", "abstract" : "This study aimed at the ecological-economic valuation of the Potengi estuary mangrove wetlands, based on the integration of spatial data (mangrove forest coverage map, Nautical Chart, Environmental Sensitivity Chart) with data from literature on the biogeochemistry of nitrogen (N), phosphorus (P), and heavy metals in the mangrove estuary wetland Potengi) and field verification data (topographic profile of mangrove forest, GPS routes obtained in the field in the touristy sightseeing areas and plots of mariculture). The ecological and economic valuation of the services performed by the Potengi estuary mangrove wetlands, mainly as biogeochemical barrier for the transport of P, N and heavy metals in tropical coastal areas, were obtained just as if the retention of those elements was necessary by Wastewater Treatment Plants (WTP) with Stabilization Ponds, typical in the estuary, and Zeolitic plant, respectively. Closer to real scenarios were observed for obtaining the values of these ecological services, such as the release of the P, N and heavy metals in domestic and industrial sewage in the estuary, the capability of dilution and the influence of the tides in the estuary. The tourism potential of the Potengi estuary mangrove wetlands were assessed according to the current forms of use, and potential of aquaculture through the main types of farming in mangrove areas. For these ecological services, considerable values were obtained of about USS15,500/ha, such as costs of implementation and construction of sewage treatment plants, as well as costs of sewage treatment plants. Nearly US$ 12.500 / ha amount each year from tourism and aquaculture income, demonstrating the economic viability of the Potengi estuary mangrove wetlands conservation.", "author" : [ { "dropping-particle" : "", "family" : "Souza", "given" : "Flavo E S", "non-dropping-particle" : "", "parse-names" : false, "suffix" : "" }, { "dropping-particle" : "", "family" : "Silva", "given" : "Carlos Augusto", "non-dropping-particle" : "", "parse-names" : false, "suffix" : "" } ], "container-title" : "JOURNAL OF COASTAL CONSERVATION", "id" : "ITEM-1", "issue" : "1", "issued" : { "date-parts" : [ [ "2011", "3" ] ] }, "page" : "195-206", "title" : "Ecological and economic valuation of the Potengi estuary mangrove wetlands (NE, Brazil) using ancillary spatial data", "type" : "article-journal", "volume" : "15" }, "uris" : [ "http://www.mendeley.com/documents/?uuid=b5fbe667-3ff9-452e-8c98-2c35cbf8777e" ] } ], "mendeley" : { "formattedCitation" : "(Souza and Silva, 2011)", "plainTextFormattedCitation" : "(Souza and Silva, 2011)", "previouslyFormattedCitation" : "(Souza and Silva, 2011)"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(Souza and Silva, 2011)</w:t>
            </w:r>
            <w:r w:rsidRPr="004A65FD">
              <w:rPr>
                <w:rFonts w:ascii="Cambria" w:eastAsia="Cambria" w:hAnsi="Cambria" w:cs="Cambria"/>
                <w:szCs w:val="24"/>
              </w:rPr>
              <w:fldChar w:fldCharType="end"/>
            </w:r>
          </w:p>
          <w:p w14:paraId="7D24168C" w14:textId="77777777" w:rsidR="004368D7" w:rsidRPr="004A65FD" w:rsidRDefault="004368D7" w:rsidP="00575495">
            <w:pPr>
              <w:widowControl w:val="0"/>
              <w:spacing w:line="240" w:lineRule="auto"/>
              <w:rPr>
                <w:rFonts w:ascii="Cambria" w:eastAsia="Cambria" w:hAnsi="Cambria" w:cs="Cambria"/>
                <w:szCs w:val="24"/>
              </w:rPr>
            </w:pPr>
          </w:p>
          <w:p w14:paraId="6C820725"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Contingent valuation</w:t>
            </w:r>
            <w:r w:rsidRPr="004A65FD">
              <w:rPr>
                <w:rFonts w:ascii="Cambria" w:eastAsia="Cambria" w:hAnsi="Cambria" w:cs="Cambria"/>
                <w:szCs w:val="24"/>
              </w:rPr>
              <w:t xml:space="preserve">: US$97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"ISSN" : "1735-6865", "abstract" : "Hara Biosphere Reserve in southern Hormozgan province with 85686 hectares areas is located between Bandar Khamir and Queshm Island. This area can be considered as the most spectacular regions of Iran for a unique coastal Seascape. Mangrove forests and amazing biodiversity make this region as the most significant ecotourism areas throughout the country. This research attempts to determine recreation value of Mangrove forests and willingness of the tourists to pay for ecotourism areas using Contingent Valuation Method and dichotomous choice questionnaire. Socio-economic assessment of the study area was carried out through the analysis of the tourist-filled questionnaires in 2006 based on proper and logical time and place distribution. Logit model was used to determine the willingness of individuals, because the model's parameters are based on methods of Maximum likelihood. Results show that 81.2% of the individuals are willing to pay for recreation value forms of Mangrove forests. The annual average Willingness-to-Pay for this region is us 5 per visit. Moreover, the annual economic value of Mangrove forests was estimated us 97.5/acre which shows Existence values of these kinds of forests and also the necessity for planning to employ the recreation capabilities in the study area.", "author" : [ { "dropping-particle" : "", "family" : "Dehghani", "given" : "M.", "non-dropping-particle" : "", "parse-names" : false, "suffix" : "" }, { "dropping-particle" : "", "family" : "Farshchi", "given" : "P.", "non-dropping-particle" : "", "parse-names" : false, "suffix" : "" }, { "dropping-particle" : "", "family" : "Danekar", "given" : "A.", "non-dropping-particle" : "", "parse-names" : false, "suffix" : "" }, { "dropping-particle" : "", "family" : "Karami", "given" : "M.", "non-dropping-particle" : "", "parse-names" : false, "suffix" : "" }, { "dropping-particle" : "", "family" : "Aleshikh", "given" : "A.A. A", "non-dropping-particle" : "", "parse-names" : false, "suffix" : "" } ], "container-title" : "International Journal of Environmental Research", "id" : "ITEM-1", "issue" : "2", "issued" : { "date-parts" : [ [ "2010", "4", "1" ] ] }, "page" : "271-280", "title" : "Recreation Value of Hara Biosphere Reserve using Willingness-to-pay method", "type" : "article-journal", "volume" : "4" }, "uris" : [ "http://www.mendeley.com/documents/?uuid=ddad876e-b5af-4fa6-a593-2db215d7ad0c" ] } ], "mendeley" : { "formattedCitation" : "(Dehghani et al., 2010)", "plainTextFormattedCitation" : "(Dehghani et al., 2010)", "previouslyFormattedCitation" : "(Dehghani et al., 2010)"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(Dehghani et al., 2010)</w:t>
            </w:r>
            <w:r w:rsidRPr="004A65FD">
              <w:rPr>
                <w:rFonts w:ascii="Cambria" w:eastAsia="Cambria" w:hAnsi="Cambria" w:cs="Cambria"/>
                <w:szCs w:val="24"/>
              </w:rPr>
              <w:fldChar w:fldCharType="end"/>
            </w:r>
          </w:p>
          <w:p w14:paraId="5359143F" w14:textId="77777777" w:rsidR="004368D7" w:rsidRPr="004A65FD" w:rsidRDefault="004368D7" w:rsidP="00575495">
            <w:pPr>
              <w:widowControl w:val="0"/>
              <w:spacing w:line="240" w:lineRule="auto"/>
              <w:rPr>
                <w:rFonts w:ascii="Cambria" w:eastAsia="Cambria" w:hAnsi="Cambria" w:cs="Cambria"/>
                <w:szCs w:val="24"/>
              </w:rPr>
            </w:pPr>
          </w:p>
          <w:p w14:paraId="1B6A8DD4" w14:textId="77777777" w:rsidR="004368D7" w:rsidRPr="004A65FD" w:rsidRDefault="004368D7" w:rsidP="00575495">
            <w:pPr>
              <w:widowControl w:val="0"/>
              <w:spacing w:line="240" w:lineRule="auto"/>
              <w:rPr>
                <w:rFonts w:ascii="Cambria" w:eastAsia="Cambria" w:hAnsi="Cambria" w:cs="Cambria"/>
                <w:szCs w:val="24"/>
              </w:rPr>
            </w:pPr>
            <w:r w:rsidRPr="004A65FD">
              <w:rPr>
                <w:rFonts w:ascii="Cambria" w:eastAsia="Cambria" w:hAnsi="Cambria" w:cs="Cambria"/>
                <w:szCs w:val="24"/>
                <w:u w:val="single"/>
              </w:rPr>
              <w:t>Travel cost method</w:t>
            </w:r>
            <w:r w:rsidRPr="004A65FD">
              <w:rPr>
                <w:rFonts w:ascii="Cambria" w:eastAsia="Cambria" w:hAnsi="Cambria" w:cs="Cambria"/>
                <w:szCs w:val="24"/>
              </w:rPr>
              <w:t xml:space="preserve">: US$2,960.44-4,597.71 </w:t>
            </w:r>
            <w:r w:rsidRPr="004A65FD">
              <w:rPr>
                <w:rFonts w:ascii="Cambria" w:eastAsia="Cambria" w:hAnsi="Cambria" w:cs="Cambria"/>
                <w:szCs w:val="24"/>
              </w:rPr>
              <w:fldChar w:fldCharType="begin" w:fldLock="1"/>
            </w:r>
            <w:r w:rsidRPr="004A65FD">
              <w:rPr>
                <w:rFonts w:ascii="Cambria" w:eastAsia="Cambria" w:hAnsi="Cambria" w:cs="Cambria"/>
                <w:szCs w:val="24"/>
              </w:rPr>
              <w:instrText>ADDIN CSL_CITATION { "citationItems" : [ { "id" : "ITEM-1", "itemData" : { "DOI" : "10.1016/j.apgeog.2013.08.012", "ISSN" : "0143-6228", "abstract" : "In this paper we present the results of an ecosystem service value derivation for the Can Gio Mangrove Biosphere Reserve in Vietnam. We combine earth-observation-based mapping at the main species level with the result of an extensive socio-economic household survey to assess the value of direct and indirect ecosystem services provided by Can Gio's mangroves. Remotely sensed optical and radar data from 2011 were used to derive the precise extent of mangrove coverage. Household survey results led to an understanding of the value placed on mangroves by different occupational groups, namely, forest managers, fisherman, shrimp farmers, and other farmers. Common to all is a lack of understanding of the value of a natural resource if no direct income is generated. At the same time, depending on occupation, a clear trend towards appreciating and understanding the importance of mangroves can be observed: it is the highest with local and migratory fisherman, followed by forest managers, while shrimp farmers have the least knowledge about mangrove benefits, and also express the least willingness to further protect them. Values derived from the household surveys as well as secondary sources in combination with remotesensing-based mapping enabled us to determine the ecosystem services value of Can Gio mangroves for selected categories of advantages. (C) 2013 Elsevier Ltd. All rights reserved.", "author" : [ { "dropping-particle" : "", "family" : "Kuenzer", "given" : "Claudia", "non-dropping-particle" : "", "parse-names" : false, "suffix" : "" }, { "dropping-particle" : "", "family" : "Tuan", "given" : "Vo Quoc", "non-dropping-particle" : "", "parse-names" : false, "suffix" : "" } ], "container-title" : "APPLIED GEOGRAPHY", "id" : "ITEM-1", "issued" : { "date-parts" : [ [ "2013", "12" ] ] }, "page" : "167-184", "title" : "Assessing the ecosystem services value of Can Gio Mangrove Biosphere Reserve: Combining earth observation and household survey based analyses", "type" : "article-journal", "volume" : "45" }, "uris" : [ "http://www.mendeley.com/documents/?uuid=2fd1f3ab-26de-42e5-9091-fa6083387049" ] } ], "mendeley" : { "formattedCitation" : "(Kuenzer and Tuan, 2013)", "plainTextFormattedCitation" : "(Kuenzer and Tuan, 2013)", "previouslyFormattedCitation" : "(Kuenzer and Tuan, 2013)" }, "properties" : { "noteIndex" : 14 }, "schema" : "https://github.com/citation-style-language/schema/raw/master/csl-citation.json" }</w:instrText>
            </w:r>
            <w:r w:rsidRPr="004A65FD">
              <w:rPr>
                <w:rFonts w:ascii="Cambria" w:eastAsia="Cambria" w:hAnsi="Cambria" w:cs="Cambria"/>
                <w:szCs w:val="24"/>
              </w:rPr>
              <w:fldChar w:fldCharType="separate"/>
            </w:r>
            <w:r w:rsidRPr="004A65FD">
              <w:rPr>
                <w:rFonts w:ascii="Cambria" w:eastAsia="Cambria" w:hAnsi="Cambria" w:cs="Cambria"/>
                <w:noProof/>
                <w:szCs w:val="24"/>
              </w:rPr>
              <w:t>(Kuenzer and Tuan, 2013)</w:t>
            </w:r>
            <w:r w:rsidRPr="004A65FD">
              <w:rPr>
                <w:rFonts w:ascii="Cambria" w:eastAsia="Cambria" w:hAnsi="Cambria" w:cs="Cambria"/>
                <w:szCs w:val="24"/>
              </w:rPr>
              <w:fldChar w:fldCharType="end"/>
            </w:r>
          </w:p>
        </w:tc>
      </w:tr>
    </w:tbl>
    <w:p w14:paraId="6A74DD06" w14:textId="77777777" w:rsidR="004368D7" w:rsidRDefault="004368D7" w:rsidP="004368D7">
      <w:pPr>
        <w:spacing w:after="0"/>
        <w:rPr>
          <w:rFonts w:ascii="Cambria" w:hAnsi="Cambria"/>
          <w:sz w:val="24"/>
          <w:szCs w:val="16"/>
        </w:rPr>
      </w:pPr>
    </w:p>
    <w:p w14:paraId="5907E4C2" w14:textId="77777777" w:rsidR="004368D7" w:rsidRDefault="004368D7" w:rsidP="004368D7">
      <w:pPr>
        <w:spacing w:after="0"/>
        <w:rPr>
          <w:rFonts w:ascii="Cambria" w:hAnsi="Cambria"/>
          <w:sz w:val="24"/>
          <w:szCs w:val="16"/>
        </w:rPr>
      </w:pPr>
    </w:p>
    <w:p w14:paraId="43B74EEF" w14:textId="77777777" w:rsidR="004368D7" w:rsidRDefault="004368D7" w:rsidP="004368D7">
      <w:pPr>
        <w:spacing w:after="0"/>
        <w:rPr>
          <w:rFonts w:ascii="Cambria" w:hAnsi="Cambria"/>
          <w:sz w:val="24"/>
          <w:szCs w:val="16"/>
        </w:rPr>
        <w:sectPr w:rsidR="004368D7" w:rsidSect="00CA3614">
          <w:footerReference w:type="default" r:id="rId6"/>
          <w:pgSz w:w="12240" w:h="15840"/>
          <w:pgMar w:top="1440" w:right="1440" w:bottom="1440" w:left="1440" w:header="720" w:footer="720" w:gutter="0"/>
          <w:cols w:space="720"/>
          <w:docGrid w:linePitch="360"/>
        </w:sectPr>
      </w:pPr>
    </w:p>
    <w:p w14:paraId="3BBF200F" w14:textId="54D0E376" w:rsidR="00CA3614" w:rsidRDefault="00CA3614" w:rsidP="00CA3614">
      <w:pPr>
        <w:pStyle w:val="Heading2"/>
      </w:pPr>
      <w:r>
        <w:lastRenderedPageBreak/>
        <w:t>Table A</w:t>
      </w:r>
      <w:r w:rsidR="004368D7">
        <w:t>2</w:t>
      </w:r>
      <w:r w:rsidRPr="002D763F">
        <w:t xml:space="preserve">. Summary of </w:t>
      </w:r>
      <w:r w:rsidRPr="00CA3614">
        <w:t>ecosystem</w:t>
      </w:r>
      <w:r w:rsidRPr="002D763F">
        <w:t xml:space="preserve"> service values published for </w:t>
      </w:r>
      <w:r>
        <w:t>mangroves</w:t>
      </w:r>
      <w:r w:rsidRPr="002D763F">
        <w:t>.</w:t>
      </w:r>
    </w:p>
    <w:tbl>
      <w:tblPr>
        <w:tblW w:w="14310" w:type="dxa"/>
        <w:tblInd w:w="355" w:type="dxa"/>
        <w:tblLayout w:type="fixed"/>
        <w:tblLook w:val="04A0" w:firstRow="1" w:lastRow="0" w:firstColumn="1" w:lastColumn="0" w:noHBand="0" w:noVBand="1"/>
      </w:tblPr>
      <w:tblGrid>
        <w:gridCol w:w="1260"/>
        <w:gridCol w:w="2430"/>
        <w:gridCol w:w="1260"/>
        <w:gridCol w:w="1170"/>
        <w:gridCol w:w="1170"/>
        <w:gridCol w:w="1170"/>
        <w:gridCol w:w="1170"/>
        <w:gridCol w:w="1170"/>
        <w:gridCol w:w="1170"/>
        <w:gridCol w:w="1080"/>
        <w:gridCol w:w="1260"/>
      </w:tblGrid>
      <w:tr w:rsidR="00A01A99" w:rsidRPr="00761424" w14:paraId="1E4612F9" w14:textId="77777777" w:rsidTr="00D80463">
        <w:trPr>
          <w:trHeight w:val="701"/>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43EE31A"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Year values were calculated for</w:t>
            </w:r>
          </w:p>
        </w:tc>
        <w:tc>
          <w:tcPr>
            <w:tcW w:w="2430" w:type="dxa"/>
            <w:tcBorders>
              <w:top w:val="single" w:sz="4" w:space="0" w:color="auto"/>
              <w:left w:val="nil"/>
              <w:bottom w:val="single" w:sz="4" w:space="0" w:color="auto"/>
              <w:right w:val="single" w:sz="4" w:space="0" w:color="auto"/>
            </w:tcBorders>
            <w:shd w:val="clear" w:color="auto" w:fill="auto"/>
            <w:hideMark/>
          </w:tcPr>
          <w:p w14:paraId="1B9B11A6" w14:textId="77777777" w:rsidR="00A01A99" w:rsidRPr="00761424" w:rsidRDefault="00A01A99" w:rsidP="00736B28">
            <w:pPr>
              <w:spacing w:after="0" w:line="240" w:lineRule="auto"/>
              <w:jc w:val="center"/>
              <w:rPr>
                <w:rFonts w:ascii="Cambria" w:eastAsia="Times New Roman" w:hAnsi="Cambria" w:cs="Times New Roman"/>
                <w:b/>
                <w:color w:val="000000"/>
                <w:sz w:val="20"/>
                <w:szCs w:val="20"/>
              </w:rPr>
            </w:pPr>
            <w:r w:rsidRPr="00761424">
              <w:rPr>
                <w:rFonts w:ascii="Cambria" w:eastAsia="Times New Roman" w:hAnsi="Cambria" w:cs="Times New Roman"/>
                <w:b/>
                <w:color w:val="000000"/>
                <w:sz w:val="20"/>
                <w:szCs w:val="20"/>
              </w:rPr>
              <w:t>Unknown</w:t>
            </w:r>
          </w:p>
        </w:tc>
        <w:tc>
          <w:tcPr>
            <w:tcW w:w="1260" w:type="dxa"/>
            <w:tcBorders>
              <w:top w:val="single" w:sz="4" w:space="0" w:color="auto"/>
              <w:left w:val="nil"/>
              <w:bottom w:val="single" w:sz="4" w:space="0" w:color="auto"/>
              <w:right w:val="single" w:sz="2" w:space="0" w:color="auto"/>
            </w:tcBorders>
          </w:tcPr>
          <w:p w14:paraId="02A58AAD" w14:textId="1F4C8D5C"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1996</w:t>
            </w:r>
          </w:p>
        </w:tc>
        <w:tc>
          <w:tcPr>
            <w:tcW w:w="1170" w:type="dxa"/>
            <w:tcBorders>
              <w:top w:val="single" w:sz="4" w:space="0" w:color="auto"/>
              <w:left w:val="single" w:sz="2" w:space="0" w:color="auto"/>
              <w:bottom w:val="single" w:sz="4" w:space="0" w:color="auto"/>
              <w:right w:val="single" w:sz="2" w:space="0" w:color="auto"/>
            </w:tcBorders>
          </w:tcPr>
          <w:p w14:paraId="3996160E" w14:textId="4708CEF5" w:rsidR="00A01A99"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1998</w:t>
            </w:r>
          </w:p>
        </w:tc>
        <w:tc>
          <w:tcPr>
            <w:tcW w:w="1170" w:type="dxa"/>
            <w:tcBorders>
              <w:top w:val="single" w:sz="4" w:space="0" w:color="auto"/>
              <w:left w:val="single" w:sz="2" w:space="0" w:color="auto"/>
              <w:bottom w:val="single" w:sz="4" w:space="0" w:color="auto"/>
              <w:right w:val="single" w:sz="2" w:space="0" w:color="auto"/>
            </w:tcBorders>
          </w:tcPr>
          <w:p w14:paraId="29AE4B6D" w14:textId="55EB2923"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1999</w:t>
            </w:r>
          </w:p>
        </w:tc>
        <w:tc>
          <w:tcPr>
            <w:tcW w:w="1170" w:type="dxa"/>
            <w:tcBorders>
              <w:top w:val="single" w:sz="4" w:space="0" w:color="auto"/>
              <w:left w:val="single" w:sz="2" w:space="0" w:color="auto"/>
              <w:bottom w:val="single" w:sz="4" w:space="0" w:color="auto"/>
              <w:right w:val="single" w:sz="2" w:space="0" w:color="auto"/>
            </w:tcBorders>
          </w:tcPr>
          <w:p w14:paraId="48333D1F" w14:textId="16B4424E" w:rsidR="00A01A99"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2001</w:t>
            </w:r>
          </w:p>
        </w:tc>
        <w:tc>
          <w:tcPr>
            <w:tcW w:w="1170" w:type="dxa"/>
            <w:tcBorders>
              <w:top w:val="single" w:sz="4" w:space="0" w:color="auto"/>
              <w:left w:val="single" w:sz="2" w:space="0" w:color="auto"/>
              <w:bottom w:val="single" w:sz="4" w:space="0" w:color="auto"/>
              <w:right w:val="single" w:sz="2" w:space="0" w:color="auto"/>
            </w:tcBorders>
          </w:tcPr>
          <w:p w14:paraId="4294D3D6" w14:textId="4AF5866F"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2002</w:t>
            </w:r>
          </w:p>
        </w:tc>
        <w:tc>
          <w:tcPr>
            <w:tcW w:w="1170" w:type="dxa"/>
            <w:tcBorders>
              <w:top w:val="single" w:sz="4" w:space="0" w:color="auto"/>
              <w:left w:val="single" w:sz="2" w:space="0" w:color="auto"/>
              <w:bottom w:val="single" w:sz="4" w:space="0" w:color="auto"/>
              <w:right w:val="single" w:sz="4" w:space="0" w:color="auto"/>
            </w:tcBorders>
          </w:tcPr>
          <w:p w14:paraId="628FA04B" w14:textId="3EB3FF47"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2003</w:t>
            </w:r>
          </w:p>
        </w:tc>
        <w:tc>
          <w:tcPr>
            <w:tcW w:w="1170" w:type="dxa"/>
            <w:tcBorders>
              <w:top w:val="single" w:sz="4" w:space="0" w:color="auto"/>
              <w:left w:val="single" w:sz="2" w:space="0" w:color="auto"/>
              <w:bottom w:val="single" w:sz="4" w:space="0" w:color="auto"/>
              <w:right w:val="single" w:sz="4" w:space="0" w:color="auto"/>
            </w:tcBorders>
          </w:tcPr>
          <w:p w14:paraId="3B053822" w14:textId="1A5528F4"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2004</w:t>
            </w:r>
          </w:p>
        </w:tc>
        <w:tc>
          <w:tcPr>
            <w:tcW w:w="1080" w:type="dxa"/>
            <w:tcBorders>
              <w:top w:val="single" w:sz="4" w:space="0" w:color="auto"/>
              <w:left w:val="single" w:sz="2" w:space="0" w:color="auto"/>
              <w:bottom w:val="single" w:sz="4" w:space="0" w:color="auto"/>
              <w:right w:val="single" w:sz="4" w:space="0" w:color="auto"/>
            </w:tcBorders>
            <w:shd w:val="clear" w:color="auto" w:fill="auto"/>
            <w:hideMark/>
          </w:tcPr>
          <w:p w14:paraId="2700BF6F" w14:textId="39E934A1" w:rsidR="00A01A99" w:rsidRPr="00761424" w:rsidRDefault="00A01A99" w:rsidP="00736B28">
            <w:pPr>
              <w:spacing w:after="0" w:line="240" w:lineRule="auto"/>
              <w:jc w:val="center"/>
              <w:rPr>
                <w:rFonts w:ascii="Cambria" w:eastAsia="Times New Roman" w:hAnsi="Cambria" w:cs="Times New Roman"/>
                <w:b/>
                <w:color w:val="000000"/>
                <w:sz w:val="20"/>
                <w:szCs w:val="20"/>
              </w:rPr>
            </w:pPr>
            <w:r w:rsidRPr="00761424">
              <w:rPr>
                <w:rFonts w:ascii="Cambria" w:eastAsia="Times New Roman" w:hAnsi="Cambria" w:cs="Times New Roman"/>
                <w:b/>
                <w:color w:val="000000"/>
                <w:sz w:val="20"/>
                <w:szCs w:val="20"/>
              </w:rPr>
              <w:t>2005</w:t>
            </w:r>
          </w:p>
        </w:tc>
        <w:tc>
          <w:tcPr>
            <w:tcW w:w="1260" w:type="dxa"/>
            <w:tcBorders>
              <w:top w:val="single" w:sz="4" w:space="0" w:color="auto"/>
              <w:left w:val="nil"/>
              <w:bottom w:val="single" w:sz="4" w:space="0" w:color="auto"/>
              <w:right w:val="single" w:sz="4" w:space="0" w:color="auto"/>
            </w:tcBorders>
            <w:shd w:val="clear" w:color="auto" w:fill="auto"/>
            <w:hideMark/>
          </w:tcPr>
          <w:p w14:paraId="62BCCCA7" w14:textId="77777777" w:rsidR="00A01A99" w:rsidRPr="00761424" w:rsidRDefault="00A01A99" w:rsidP="00736B28">
            <w:pPr>
              <w:spacing w:after="0" w:line="240" w:lineRule="auto"/>
              <w:jc w:val="center"/>
              <w:rPr>
                <w:rFonts w:ascii="Cambria" w:eastAsia="Times New Roman" w:hAnsi="Cambria" w:cs="Times New Roman"/>
                <w:b/>
                <w:color w:val="000000"/>
                <w:sz w:val="20"/>
                <w:szCs w:val="20"/>
              </w:rPr>
            </w:pPr>
            <w:r w:rsidRPr="00761424">
              <w:rPr>
                <w:rFonts w:ascii="Cambria" w:eastAsia="Times New Roman" w:hAnsi="Cambria" w:cs="Times New Roman"/>
                <w:b/>
                <w:color w:val="000000"/>
                <w:sz w:val="20"/>
                <w:szCs w:val="20"/>
              </w:rPr>
              <w:t>2006</w:t>
            </w:r>
          </w:p>
        </w:tc>
      </w:tr>
      <w:tr w:rsidR="00A01A99" w:rsidRPr="00761424" w14:paraId="4CF9B625" w14:textId="77777777" w:rsidTr="00D80463">
        <w:trPr>
          <w:trHeight w:val="989"/>
        </w:trPr>
        <w:tc>
          <w:tcPr>
            <w:tcW w:w="1260" w:type="dxa"/>
            <w:tcBorders>
              <w:top w:val="nil"/>
              <w:left w:val="single" w:sz="4" w:space="0" w:color="auto"/>
              <w:bottom w:val="single" w:sz="4" w:space="0" w:color="auto"/>
              <w:right w:val="single" w:sz="4" w:space="0" w:color="auto"/>
            </w:tcBorders>
            <w:shd w:val="clear" w:color="000000" w:fill="E2EFDA"/>
            <w:hideMark/>
          </w:tcPr>
          <w:p w14:paraId="01528F6F" w14:textId="06D3F5B9"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Total ES value</w:t>
            </w:r>
          </w:p>
        </w:tc>
        <w:tc>
          <w:tcPr>
            <w:tcW w:w="2430" w:type="dxa"/>
            <w:tcBorders>
              <w:top w:val="nil"/>
              <w:left w:val="nil"/>
              <w:bottom w:val="single" w:sz="4" w:space="0" w:color="auto"/>
              <w:right w:val="single" w:sz="4" w:space="0" w:color="auto"/>
            </w:tcBorders>
            <w:shd w:val="clear" w:color="000000" w:fill="E2EFDA"/>
          </w:tcPr>
          <w:p w14:paraId="575558E9" w14:textId="39D6B467" w:rsidR="00A01A99" w:rsidRPr="00761424" w:rsidRDefault="00A01A99" w:rsidP="00736B28">
            <w:pPr>
              <w:spacing w:after="0" w:line="240" w:lineRule="auto"/>
              <w:jc w:val="center"/>
              <w:rPr>
                <w:rFonts w:ascii="Cambria" w:eastAsia="Times New Roman" w:hAnsi="Cambria" w:cs="Times New Roman"/>
                <w:color w:val="000000"/>
                <w:sz w:val="20"/>
                <w:szCs w:val="20"/>
              </w:rPr>
            </w:pPr>
            <w:r w:rsidRPr="000E2ED3">
              <w:rPr>
                <w:rFonts w:ascii="Cambria" w:eastAsia="Times New Roman" w:hAnsi="Cambria" w:cs="Times New Roman"/>
                <w:color w:val="000000"/>
                <w:sz w:val="20"/>
                <w:szCs w:val="20"/>
              </w:rPr>
              <w:t>US$11</w:t>
            </w:r>
            <w:r>
              <w:rPr>
                <w:rFonts w:ascii="Cambria" w:eastAsia="Times New Roman" w:hAnsi="Cambria" w:cs="Times New Roman"/>
                <w:color w:val="000000"/>
                <w:sz w:val="20"/>
                <w:szCs w:val="20"/>
              </w:rPr>
              <w:t>,</w:t>
            </w:r>
            <w:r w:rsidRPr="000E2ED3">
              <w:rPr>
                <w:rFonts w:ascii="Cambria" w:eastAsia="Times New Roman" w:hAnsi="Cambria" w:cs="Times New Roman"/>
                <w:color w:val="000000"/>
                <w:sz w:val="20"/>
                <w:szCs w:val="20"/>
              </w:rPr>
              <w:t>850/ha/</w:t>
            </w:r>
            <w:proofErr w:type="spellStart"/>
            <w:r w:rsidRPr="000E2ED3">
              <w:rPr>
                <w:rFonts w:ascii="Cambria" w:eastAsia="Times New Roman" w:hAnsi="Cambria" w:cs="Times New Roman"/>
                <w:color w:val="000000"/>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CB67CB">
              <w:rPr>
                <w:rFonts w:ascii="Cambria" w:hAnsi="Cambria"/>
                <w:sz w:val="20"/>
                <w:szCs w:val="20"/>
              </w:rPr>
              <w:t>VND146</w:t>
            </w:r>
            <w:r>
              <w:rPr>
                <w:rFonts w:ascii="Cambria" w:hAnsi="Cambria"/>
                <w:sz w:val="20"/>
                <w:szCs w:val="20"/>
              </w:rPr>
              <w:t>,</w:t>
            </w:r>
            <w:r w:rsidRPr="00CB67CB">
              <w:rPr>
                <w:rFonts w:ascii="Cambria" w:hAnsi="Cambria"/>
                <w:sz w:val="20"/>
                <w:szCs w:val="20"/>
              </w:rPr>
              <w:t>700/household/year</w:t>
            </w:r>
            <w:r>
              <w:rPr>
                <w:rFonts w:ascii="Cambria" w:hAnsi="Cambria"/>
                <w:sz w:val="20"/>
                <w:szCs w:val="20"/>
              </w:rPr>
              <w:t xml:space="preserve"> (Tuan et al. 2014); U</w:t>
            </w:r>
            <w:r w:rsidRPr="00760071">
              <w:rPr>
                <w:rFonts w:ascii="Cambria" w:hAnsi="Cambria"/>
                <w:sz w:val="20"/>
                <w:szCs w:val="20"/>
              </w:rPr>
              <w:t>S$10,960/ha/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w:t>
            </w:r>
          </w:p>
        </w:tc>
        <w:tc>
          <w:tcPr>
            <w:tcW w:w="1260" w:type="dxa"/>
            <w:tcBorders>
              <w:top w:val="single" w:sz="4" w:space="0" w:color="auto"/>
              <w:left w:val="nil"/>
              <w:bottom w:val="single" w:sz="4" w:space="0" w:color="auto"/>
              <w:right w:val="single" w:sz="2" w:space="0" w:color="auto"/>
            </w:tcBorders>
            <w:shd w:val="clear" w:color="000000" w:fill="E2EFDA"/>
          </w:tcPr>
          <w:p w14:paraId="09988E9A" w14:textId="1FF07F95" w:rsidR="00A01A99" w:rsidRPr="00761424" w:rsidRDefault="001C5A91" w:rsidP="00736B28">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US</w:t>
            </w:r>
            <w:r w:rsidRPr="001C5A91">
              <w:rPr>
                <w:rFonts w:ascii="Cambria" w:eastAsia="Times New Roman" w:hAnsi="Cambria" w:cs="Times New Roman"/>
                <w:color w:val="000000"/>
                <w:sz w:val="20"/>
                <w:szCs w:val="20"/>
              </w:rPr>
              <w:t>$18,978/ha</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Barbier</w:t>
            </w:r>
            <w:proofErr w:type="spellEnd"/>
            <w:r>
              <w:rPr>
                <w:rFonts w:ascii="Cambria" w:eastAsia="Times New Roman" w:hAnsi="Cambria" w:cs="Times New Roman"/>
                <w:color w:val="000000"/>
                <w:sz w:val="20"/>
                <w:szCs w:val="20"/>
              </w:rPr>
              <w:t xml:space="preserve"> 2012)</w:t>
            </w:r>
          </w:p>
        </w:tc>
        <w:tc>
          <w:tcPr>
            <w:tcW w:w="1170" w:type="dxa"/>
            <w:tcBorders>
              <w:top w:val="nil"/>
              <w:left w:val="single" w:sz="2" w:space="0" w:color="auto"/>
              <w:bottom w:val="single" w:sz="4" w:space="0" w:color="auto"/>
              <w:right w:val="single" w:sz="2" w:space="0" w:color="auto"/>
            </w:tcBorders>
            <w:shd w:val="clear" w:color="000000" w:fill="E2EFDA"/>
          </w:tcPr>
          <w:p w14:paraId="3CFF8B4A"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8FBEF08" w14:textId="7EB691AD"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F4B3915"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434BE8D3" w14:textId="332721DF"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522FC510" w14:textId="094FB38E" w:rsidR="00A01A99" w:rsidRPr="00761424" w:rsidRDefault="00EA2AAC" w:rsidP="00736B28">
            <w:pPr>
              <w:spacing w:after="0" w:line="240" w:lineRule="auto"/>
              <w:jc w:val="center"/>
              <w:rPr>
                <w:rFonts w:ascii="Cambria" w:eastAsia="Times New Roman" w:hAnsi="Cambria" w:cs="Times New Roman"/>
                <w:color w:val="000000"/>
                <w:sz w:val="20"/>
                <w:szCs w:val="20"/>
              </w:rPr>
            </w:pPr>
            <w:r w:rsidRPr="00EA2AAC">
              <w:rPr>
                <w:rFonts w:ascii="Cambria" w:eastAsia="Times New Roman" w:hAnsi="Cambria" w:cs="Times New Roman"/>
                <w:color w:val="000000"/>
                <w:sz w:val="20"/>
                <w:szCs w:val="20"/>
              </w:rPr>
              <w:t>US$757.55/ha/</w:t>
            </w:r>
            <w:proofErr w:type="spellStart"/>
            <w:r w:rsidRPr="00EA2AAC">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Janekarnkij</w:t>
            </w:r>
            <w:proofErr w:type="spellEnd"/>
            <w:r>
              <w:rPr>
                <w:rFonts w:ascii="Cambria" w:eastAsia="Times New Roman" w:hAnsi="Cambria" w:cs="Times New Roman"/>
                <w:color w:val="000000"/>
                <w:sz w:val="20"/>
                <w:szCs w:val="20"/>
              </w:rPr>
              <w:t xml:space="preserve"> 2010)</w:t>
            </w:r>
          </w:p>
        </w:tc>
        <w:tc>
          <w:tcPr>
            <w:tcW w:w="1170" w:type="dxa"/>
            <w:tcBorders>
              <w:top w:val="nil"/>
              <w:left w:val="single" w:sz="2" w:space="0" w:color="auto"/>
              <w:bottom w:val="single" w:sz="4" w:space="0" w:color="auto"/>
              <w:right w:val="single" w:sz="4" w:space="0" w:color="auto"/>
            </w:tcBorders>
            <w:shd w:val="clear" w:color="000000" w:fill="E2EFDA"/>
          </w:tcPr>
          <w:p w14:paraId="0DA7CB8F"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0040B658" w14:textId="2D9EE1DF"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260" w:type="dxa"/>
            <w:tcBorders>
              <w:top w:val="nil"/>
              <w:left w:val="nil"/>
              <w:bottom w:val="single" w:sz="4" w:space="0" w:color="auto"/>
              <w:right w:val="single" w:sz="4" w:space="0" w:color="auto"/>
            </w:tcBorders>
            <w:shd w:val="clear" w:color="000000" w:fill="E2EFDA"/>
          </w:tcPr>
          <w:p w14:paraId="4DA008C9" w14:textId="363A15BC" w:rsidR="00A01A99" w:rsidRPr="00761424" w:rsidRDefault="00FD4A42" w:rsidP="00736B28">
            <w:pPr>
              <w:spacing w:after="0" w:line="240" w:lineRule="auto"/>
              <w:jc w:val="center"/>
              <w:rPr>
                <w:rFonts w:ascii="Cambria" w:eastAsia="Times New Roman" w:hAnsi="Cambria" w:cs="Times New Roman"/>
                <w:color w:val="000000"/>
                <w:sz w:val="20"/>
                <w:szCs w:val="20"/>
              </w:rPr>
            </w:pPr>
            <w:r w:rsidRPr="00FD4A42">
              <w:rPr>
                <w:rFonts w:ascii="Cambria" w:eastAsia="Times New Roman" w:hAnsi="Cambria" w:cs="Times New Roman"/>
                <w:color w:val="000000"/>
                <w:sz w:val="20"/>
                <w:szCs w:val="20"/>
              </w:rPr>
              <w:t xml:space="preserve">1852.60 million </w:t>
            </w:r>
            <w:proofErr w:type="spellStart"/>
            <w:r w:rsidRPr="00FD4A42">
              <w:rPr>
                <w:rFonts w:ascii="Cambria" w:eastAsia="Times New Roman" w:hAnsi="Cambria" w:cs="Times New Roman"/>
                <w:color w:val="000000"/>
                <w:sz w:val="20"/>
                <w:szCs w:val="20"/>
              </w:rPr>
              <w:t>PhP</w:t>
            </w:r>
            <w:proofErr w:type="spellEnd"/>
            <w:r w:rsidRPr="00FD4A42">
              <w:rPr>
                <w:rFonts w:ascii="Cambria" w:eastAsia="Times New Roman" w:hAnsi="Cambria" w:cs="Times New Roman"/>
                <w:color w:val="000000"/>
                <w:sz w:val="20"/>
                <w:szCs w:val="20"/>
              </w:rPr>
              <w:t>/ha</w:t>
            </w:r>
            <w:r>
              <w:rPr>
                <w:rFonts w:ascii="Cambria" w:eastAsia="Times New Roman" w:hAnsi="Cambria" w:cs="Times New Roman"/>
                <w:color w:val="000000"/>
                <w:sz w:val="20"/>
                <w:szCs w:val="20"/>
              </w:rPr>
              <w:t xml:space="preserve"> (Padilla 2008)</w:t>
            </w:r>
          </w:p>
        </w:tc>
      </w:tr>
      <w:tr w:rsidR="00A01A99" w:rsidRPr="00761424" w14:paraId="155227F2" w14:textId="77777777" w:rsidTr="00D80463">
        <w:trPr>
          <w:trHeight w:val="584"/>
        </w:trPr>
        <w:tc>
          <w:tcPr>
            <w:tcW w:w="1260" w:type="dxa"/>
            <w:tcBorders>
              <w:top w:val="nil"/>
              <w:left w:val="single" w:sz="4" w:space="0" w:color="auto"/>
              <w:bottom w:val="single" w:sz="4" w:space="0" w:color="auto"/>
              <w:right w:val="single" w:sz="4" w:space="0" w:color="auto"/>
            </w:tcBorders>
            <w:shd w:val="clear" w:color="000000" w:fill="A9D08E"/>
            <w:hideMark/>
          </w:tcPr>
          <w:p w14:paraId="22CD7AAA"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Provisioning services</w:t>
            </w:r>
          </w:p>
        </w:tc>
        <w:tc>
          <w:tcPr>
            <w:tcW w:w="2430" w:type="dxa"/>
            <w:tcBorders>
              <w:top w:val="nil"/>
              <w:left w:val="nil"/>
              <w:bottom w:val="single" w:sz="4" w:space="0" w:color="auto"/>
              <w:right w:val="single" w:sz="4" w:space="0" w:color="auto"/>
            </w:tcBorders>
            <w:shd w:val="clear" w:color="000000" w:fill="A9D08E"/>
          </w:tcPr>
          <w:p w14:paraId="3FE7A1B3" w14:textId="5292096C" w:rsidR="00A01A99" w:rsidRPr="00761424" w:rsidRDefault="00A01A99" w:rsidP="00736B28">
            <w:pPr>
              <w:spacing w:after="0" w:line="240" w:lineRule="auto"/>
              <w:jc w:val="center"/>
              <w:rPr>
                <w:rFonts w:ascii="Cambria" w:eastAsia="Times New Roman" w:hAnsi="Cambria" w:cs="Times New Roman"/>
                <w:color w:val="000000"/>
                <w:sz w:val="20"/>
                <w:szCs w:val="20"/>
              </w:rPr>
            </w:pPr>
            <w:r w:rsidRPr="00760071">
              <w:rPr>
                <w:rFonts w:ascii="Cambria" w:eastAsia="Times New Roman" w:hAnsi="Cambria" w:cs="Times New Roman"/>
                <w:color w:val="000000"/>
                <w:sz w:val="20"/>
                <w:szCs w:val="20"/>
              </w:rPr>
              <w:t>US$4800/ha/</w:t>
            </w:r>
            <w:proofErr w:type="spellStart"/>
            <w:r w:rsidRPr="00760071">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Korovulavula</w:t>
            </w:r>
            <w:proofErr w:type="spellEnd"/>
            <w:r>
              <w:rPr>
                <w:rFonts w:ascii="Cambria" w:eastAsia="Times New Roman" w:hAnsi="Cambria" w:cs="Times New Roman"/>
                <w:color w:val="000000"/>
                <w:sz w:val="20"/>
                <w:szCs w:val="20"/>
              </w:rPr>
              <w:t xml:space="preserve"> et al. 2008)</w:t>
            </w:r>
          </w:p>
        </w:tc>
        <w:tc>
          <w:tcPr>
            <w:tcW w:w="1260" w:type="dxa"/>
            <w:tcBorders>
              <w:top w:val="single" w:sz="4" w:space="0" w:color="auto"/>
              <w:left w:val="nil"/>
              <w:bottom w:val="single" w:sz="4" w:space="0" w:color="auto"/>
              <w:right w:val="single" w:sz="2" w:space="0" w:color="auto"/>
            </w:tcBorders>
            <w:shd w:val="clear" w:color="000000" w:fill="A9D08E"/>
          </w:tcPr>
          <w:p w14:paraId="30913EE0"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9D08E"/>
          </w:tcPr>
          <w:p w14:paraId="30EF3307"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9D08E"/>
          </w:tcPr>
          <w:p w14:paraId="0CDE1325" w14:textId="1F0F81B1"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9D08E"/>
          </w:tcPr>
          <w:p w14:paraId="5347C364"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9D08E"/>
          </w:tcPr>
          <w:p w14:paraId="18F282D2" w14:textId="1AE80D02"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A9D08E"/>
          </w:tcPr>
          <w:p w14:paraId="2A9167DD"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A9D08E"/>
          </w:tcPr>
          <w:p w14:paraId="274A5E41"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080" w:type="dxa"/>
            <w:tcBorders>
              <w:top w:val="nil"/>
              <w:left w:val="single" w:sz="2" w:space="0" w:color="auto"/>
              <w:bottom w:val="single" w:sz="4" w:space="0" w:color="auto"/>
              <w:right w:val="single" w:sz="4" w:space="0" w:color="auto"/>
            </w:tcBorders>
            <w:shd w:val="clear" w:color="000000" w:fill="A9D08E"/>
          </w:tcPr>
          <w:p w14:paraId="343336FB" w14:textId="22D6792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260" w:type="dxa"/>
            <w:tcBorders>
              <w:top w:val="nil"/>
              <w:left w:val="nil"/>
              <w:bottom w:val="single" w:sz="4" w:space="0" w:color="auto"/>
              <w:right w:val="single" w:sz="4" w:space="0" w:color="auto"/>
            </w:tcBorders>
            <w:shd w:val="clear" w:color="000000" w:fill="A9D08E"/>
          </w:tcPr>
          <w:p w14:paraId="2BD104B1"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r>
      <w:tr w:rsidR="00A01A99" w:rsidRPr="00586C1D" w14:paraId="024FBCC5" w14:textId="77777777" w:rsidTr="00D80463">
        <w:trPr>
          <w:trHeight w:val="458"/>
        </w:trPr>
        <w:tc>
          <w:tcPr>
            <w:tcW w:w="1260" w:type="dxa"/>
            <w:tcBorders>
              <w:top w:val="nil"/>
              <w:left w:val="single" w:sz="4" w:space="0" w:color="auto"/>
              <w:bottom w:val="single" w:sz="4" w:space="0" w:color="auto"/>
              <w:right w:val="single" w:sz="4" w:space="0" w:color="auto"/>
            </w:tcBorders>
            <w:shd w:val="clear" w:color="000000" w:fill="E2EFDA"/>
            <w:hideMark/>
          </w:tcPr>
          <w:p w14:paraId="0BD32012"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Food</w:t>
            </w:r>
          </w:p>
        </w:tc>
        <w:tc>
          <w:tcPr>
            <w:tcW w:w="2430" w:type="dxa"/>
            <w:tcBorders>
              <w:top w:val="nil"/>
              <w:left w:val="nil"/>
              <w:bottom w:val="single" w:sz="4" w:space="0" w:color="auto"/>
              <w:right w:val="single" w:sz="4" w:space="0" w:color="auto"/>
            </w:tcBorders>
            <w:shd w:val="clear" w:color="000000" w:fill="E2EFDA"/>
          </w:tcPr>
          <w:p w14:paraId="3D820C02" w14:textId="598A08C8" w:rsidR="00A01A99" w:rsidRPr="00586C1D" w:rsidRDefault="00A01A99" w:rsidP="00736B28">
            <w:pPr>
              <w:spacing w:after="0" w:line="240" w:lineRule="auto"/>
              <w:jc w:val="center"/>
              <w:rPr>
                <w:rFonts w:ascii="Cambria" w:hAnsi="Cambria"/>
                <w:sz w:val="20"/>
                <w:szCs w:val="20"/>
              </w:rPr>
            </w:pPr>
            <w:r w:rsidRPr="000E2ED3">
              <w:rPr>
                <w:rFonts w:ascii="Cambria" w:eastAsia="Times New Roman" w:hAnsi="Cambria" w:cs="Times New Roman"/>
                <w:color w:val="000000"/>
                <w:sz w:val="20"/>
                <w:szCs w:val="20"/>
              </w:rPr>
              <w:t>Aquatic production: US$300/ha/</w:t>
            </w:r>
            <w:proofErr w:type="spellStart"/>
            <w:r w:rsidRPr="000E2ED3">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0E2ED3">
              <w:rPr>
                <w:rFonts w:ascii="Cambria" w:eastAsia="Times New Roman" w:hAnsi="Cambria" w:cs="Times New Roman"/>
                <w:color w:val="000000"/>
                <w:sz w:val="20"/>
                <w:szCs w:val="20"/>
              </w:rPr>
              <w:t>Fishing: US$150/ha/</w:t>
            </w:r>
            <w:proofErr w:type="spellStart"/>
            <w:r w:rsidRPr="000E2ED3">
              <w:rPr>
                <w:rFonts w:ascii="Cambria" w:eastAsia="Times New Roman" w:hAnsi="Cambria" w:cs="Times New Roman"/>
                <w:color w:val="000000"/>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0E2ED3">
              <w:rPr>
                <w:rFonts w:ascii="Cambria" w:hAnsi="Cambria"/>
                <w:sz w:val="20"/>
                <w:szCs w:val="20"/>
              </w:rPr>
              <w:t>Fisheries productivity: US$25,149(+-1,395 SE)/km</w:t>
            </w:r>
            <w:r>
              <w:rPr>
                <w:rFonts w:ascii="Cambria" w:hAnsi="Cambria"/>
                <w:sz w:val="20"/>
                <w:szCs w:val="20"/>
              </w:rPr>
              <w:t xml:space="preserve"> </w:t>
            </w:r>
            <w:r w:rsidRPr="000E2ED3">
              <w:rPr>
                <w:rFonts w:ascii="Cambria" w:hAnsi="Cambria"/>
                <w:sz w:val="20"/>
                <w:szCs w:val="20"/>
              </w:rPr>
              <w:t>(</w:t>
            </w:r>
            <w:proofErr w:type="spellStart"/>
            <w:r w:rsidRPr="000E2ED3">
              <w:rPr>
                <w:rFonts w:ascii="Cambria" w:hAnsi="Cambria"/>
                <w:sz w:val="20"/>
                <w:szCs w:val="20"/>
              </w:rPr>
              <w:t>Aburto-Oropeza</w:t>
            </w:r>
            <w:proofErr w:type="spellEnd"/>
            <w:r w:rsidRPr="000E2ED3">
              <w:rPr>
                <w:rFonts w:ascii="Cambria" w:hAnsi="Cambria"/>
                <w:sz w:val="20"/>
                <w:szCs w:val="20"/>
              </w:rPr>
              <w:t xml:space="preserve"> et al. 2008)</w:t>
            </w:r>
            <w:r>
              <w:rPr>
                <w:rFonts w:ascii="Cambria" w:hAnsi="Cambria"/>
                <w:sz w:val="20"/>
                <w:szCs w:val="20"/>
              </w:rPr>
              <w:t xml:space="preserve">, </w:t>
            </w:r>
            <w:r w:rsidRPr="000E2ED3">
              <w:rPr>
                <w:rFonts w:ascii="Cambria" w:hAnsi="Cambria"/>
                <w:sz w:val="20"/>
                <w:szCs w:val="20"/>
              </w:rPr>
              <w:t>Drinking water, food and raw materials</w:t>
            </w:r>
            <w:r w:rsidR="00736B28">
              <w:rPr>
                <w:rFonts w:ascii="Cambria" w:hAnsi="Cambria"/>
                <w:sz w:val="20"/>
                <w:szCs w:val="20"/>
              </w:rPr>
              <w:t>:</w:t>
            </w:r>
            <w:r w:rsidRPr="000E2ED3">
              <w:rPr>
                <w:rFonts w:ascii="Cambria" w:hAnsi="Cambria"/>
                <w:sz w:val="20"/>
                <w:szCs w:val="20"/>
              </w:rPr>
              <w:t xml:space="preserve"> US$212/ha/</w:t>
            </w:r>
            <w:proofErr w:type="spellStart"/>
            <w:r w:rsidRPr="000E2ED3">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Ayanlade</w:t>
            </w:r>
            <w:proofErr w:type="spellEnd"/>
            <w:r w:rsidRPr="00CB67CB">
              <w:rPr>
                <w:rFonts w:ascii="Cambria" w:hAnsi="Cambria"/>
                <w:sz w:val="20"/>
                <w:szCs w:val="20"/>
              </w:rPr>
              <w:t xml:space="preserve"> et al. 2015)</w:t>
            </w:r>
            <w:r>
              <w:rPr>
                <w:rFonts w:ascii="Cambria" w:hAnsi="Cambria"/>
                <w:sz w:val="20"/>
                <w:szCs w:val="20"/>
              </w:rPr>
              <w:t xml:space="preserve">, </w:t>
            </w:r>
            <w:r w:rsidRPr="00CB67CB">
              <w:rPr>
                <w:rFonts w:ascii="Cambria" w:hAnsi="Cambria"/>
                <w:sz w:val="20"/>
                <w:szCs w:val="20"/>
              </w:rPr>
              <w:t>Fisheries: $23,613/ha/</w:t>
            </w:r>
            <w:proofErr w:type="spellStart"/>
            <w:r w:rsidRPr="00CB67CB">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 xml:space="preserve">(Mubarak Bin </w:t>
            </w:r>
            <w:proofErr w:type="spellStart"/>
            <w:r w:rsidRPr="00CB67CB">
              <w:rPr>
                <w:rFonts w:ascii="Cambria" w:hAnsi="Cambria"/>
                <w:sz w:val="20"/>
                <w:szCs w:val="20"/>
              </w:rPr>
              <w:t>Daina</w:t>
            </w:r>
            <w:proofErr w:type="spellEnd"/>
            <w:r w:rsidRPr="00CB67CB">
              <w:rPr>
                <w:rFonts w:ascii="Cambria" w:hAnsi="Cambria"/>
                <w:sz w:val="20"/>
                <w:szCs w:val="20"/>
              </w:rPr>
              <w:t xml:space="preserve"> et al. 2015)</w:t>
            </w:r>
            <w:r>
              <w:rPr>
                <w:rFonts w:ascii="Cambria" w:hAnsi="Cambria"/>
                <w:sz w:val="20"/>
                <w:szCs w:val="20"/>
              </w:rPr>
              <w:t xml:space="preserve">, </w:t>
            </w:r>
            <w:r w:rsidRPr="00CB67CB">
              <w:rPr>
                <w:rFonts w:ascii="Cambria" w:hAnsi="Cambria"/>
                <w:sz w:val="20"/>
                <w:szCs w:val="20"/>
              </w:rPr>
              <w:t>Fisheries: RM432.75 /household/month</w:t>
            </w:r>
            <w:r>
              <w:rPr>
                <w:rFonts w:ascii="Cambria" w:hAnsi="Cambria"/>
                <w:sz w:val="20"/>
                <w:szCs w:val="20"/>
              </w:rPr>
              <w:t xml:space="preserve"> (</w:t>
            </w:r>
            <w:proofErr w:type="spellStart"/>
            <w:r>
              <w:rPr>
                <w:rFonts w:ascii="Cambria" w:hAnsi="Cambria"/>
                <w:sz w:val="20"/>
                <w:szCs w:val="20"/>
              </w:rPr>
              <w:t>Mojiol</w:t>
            </w:r>
            <w:proofErr w:type="spellEnd"/>
            <w:r>
              <w:rPr>
                <w:rFonts w:ascii="Cambria" w:hAnsi="Cambria"/>
                <w:sz w:val="20"/>
                <w:szCs w:val="20"/>
              </w:rPr>
              <w:t xml:space="preserve"> et al. 2016); </w:t>
            </w:r>
            <w:r w:rsidRPr="0051605B">
              <w:rPr>
                <w:rFonts w:ascii="Cambria" w:hAnsi="Cambria"/>
                <w:sz w:val="20"/>
                <w:szCs w:val="20"/>
              </w:rPr>
              <w:t xml:space="preserve">Mud-crab fishing: </w:t>
            </w:r>
            <w:r>
              <w:rPr>
                <w:rFonts w:ascii="Cambria" w:hAnsi="Cambria"/>
                <w:sz w:val="20"/>
                <w:szCs w:val="20"/>
              </w:rPr>
              <w:t>US</w:t>
            </w:r>
            <w:r w:rsidRPr="0051605B">
              <w:rPr>
                <w:rFonts w:ascii="Cambria" w:hAnsi="Cambria"/>
                <w:sz w:val="20"/>
                <w:szCs w:val="20"/>
              </w:rPr>
              <w:t>$5.75/ha/</w:t>
            </w:r>
            <w:proofErr w:type="spellStart"/>
            <w:r w:rsidRPr="0051605B">
              <w:rPr>
                <w:rFonts w:ascii="Cambria" w:hAnsi="Cambria"/>
                <w:sz w:val="20"/>
                <w:szCs w:val="20"/>
              </w:rPr>
              <w:t>yr</w:t>
            </w:r>
            <w:proofErr w:type="spellEnd"/>
            <w:r>
              <w:rPr>
                <w:rFonts w:ascii="Cambria" w:hAnsi="Cambria"/>
                <w:sz w:val="20"/>
                <w:szCs w:val="20"/>
              </w:rPr>
              <w:t xml:space="preserve"> (Witt 2016); </w:t>
            </w:r>
            <w:r w:rsidRPr="0051605B">
              <w:rPr>
                <w:rFonts w:ascii="Cambria" w:hAnsi="Cambria"/>
                <w:sz w:val="20"/>
                <w:szCs w:val="20"/>
              </w:rPr>
              <w:t>Fisheries: 0.02 million €/km²/year</w:t>
            </w:r>
            <w:r>
              <w:rPr>
                <w:rFonts w:ascii="Cambria" w:hAnsi="Cambria"/>
                <w:sz w:val="20"/>
                <w:szCs w:val="20"/>
              </w:rPr>
              <w:t xml:space="preserve"> (</w:t>
            </w:r>
            <w:proofErr w:type="spellStart"/>
            <w:r>
              <w:rPr>
                <w:rFonts w:ascii="Cambria" w:hAnsi="Cambria"/>
                <w:sz w:val="20"/>
                <w:szCs w:val="20"/>
              </w:rPr>
              <w:t>Failler</w:t>
            </w:r>
            <w:proofErr w:type="spellEnd"/>
            <w:r>
              <w:rPr>
                <w:rFonts w:ascii="Cambria" w:hAnsi="Cambria"/>
                <w:sz w:val="20"/>
                <w:szCs w:val="20"/>
              </w:rPr>
              <w:t xml:space="preserve"> et al. 2015); </w:t>
            </w:r>
            <w:r w:rsidRPr="0051605B">
              <w:rPr>
                <w:rFonts w:ascii="Cambria" w:hAnsi="Cambria"/>
                <w:sz w:val="20"/>
                <w:szCs w:val="20"/>
              </w:rPr>
              <w:t>Fisheries: US$37/ha/</w:t>
            </w:r>
            <w:proofErr w:type="spellStart"/>
            <w:r w:rsidRPr="0051605B">
              <w:rPr>
                <w:rFonts w:ascii="Cambria" w:hAnsi="Cambria"/>
                <w:sz w:val="20"/>
                <w:szCs w:val="20"/>
              </w:rPr>
              <w:t>yr</w:t>
            </w:r>
            <w:proofErr w:type="spellEnd"/>
            <w:r>
              <w:rPr>
                <w:rFonts w:ascii="Cambria" w:hAnsi="Cambria"/>
                <w:sz w:val="20"/>
                <w:szCs w:val="20"/>
              </w:rPr>
              <w:t xml:space="preserve"> (Malik et al. 2015); </w:t>
            </w:r>
            <w:r w:rsidRPr="0047613F">
              <w:rPr>
                <w:rFonts w:ascii="Cambria" w:hAnsi="Cambria"/>
                <w:sz w:val="20"/>
                <w:szCs w:val="20"/>
              </w:rPr>
              <w:t>Aquaculture: US$ 8,700 / ha / year</w:t>
            </w:r>
            <w:r>
              <w:rPr>
                <w:rFonts w:ascii="Cambria" w:hAnsi="Cambria"/>
                <w:sz w:val="20"/>
                <w:szCs w:val="20"/>
              </w:rPr>
              <w:t xml:space="preserve"> (Souza and Silva 2015); </w:t>
            </w:r>
            <w:r w:rsidRPr="0047613F">
              <w:rPr>
                <w:rFonts w:ascii="Cambria" w:hAnsi="Cambria"/>
                <w:sz w:val="20"/>
                <w:szCs w:val="20"/>
              </w:rPr>
              <w:t>Fisheri</w:t>
            </w:r>
            <w:r>
              <w:rPr>
                <w:rFonts w:ascii="Cambria" w:hAnsi="Cambria"/>
                <w:sz w:val="20"/>
                <w:szCs w:val="20"/>
              </w:rPr>
              <w:t>es: US$44.62-</w:t>
            </w:r>
            <w:r>
              <w:rPr>
                <w:rFonts w:ascii="Cambria" w:hAnsi="Cambria"/>
                <w:sz w:val="20"/>
                <w:szCs w:val="20"/>
              </w:rPr>
              <w:lastRenderedPageBreak/>
              <w:t xml:space="preserve">68.6/household/year, </w:t>
            </w:r>
            <w:r w:rsidRPr="0047613F">
              <w:rPr>
                <w:rFonts w:ascii="Cambria" w:hAnsi="Cambria"/>
                <w:sz w:val="20"/>
                <w:szCs w:val="20"/>
              </w:rPr>
              <w:t>Honey: US$3.6/household/year</w:t>
            </w:r>
            <w:r>
              <w:rPr>
                <w:rFonts w:ascii="Cambria" w:hAnsi="Cambria"/>
                <w:sz w:val="20"/>
                <w:szCs w:val="20"/>
              </w:rPr>
              <w:t xml:space="preserve"> (Hussain and </w:t>
            </w:r>
            <w:proofErr w:type="spellStart"/>
            <w:r>
              <w:rPr>
                <w:rFonts w:ascii="Cambria" w:hAnsi="Cambria"/>
                <w:sz w:val="20"/>
                <w:szCs w:val="20"/>
              </w:rPr>
              <w:t>Badola</w:t>
            </w:r>
            <w:proofErr w:type="spellEnd"/>
            <w:r>
              <w:rPr>
                <w:rFonts w:ascii="Cambria" w:hAnsi="Cambria"/>
                <w:sz w:val="20"/>
                <w:szCs w:val="20"/>
              </w:rPr>
              <w:t xml:space="preserve"> 2010); </w:t>
            </w:r>
            <w:r w:rsidRPr="00760071">
              <w:rPr>
                <w:rFonts w:ascii="Cambria" w:hAnsi="Cambria"/>
                <w:sz w:val="20"/>
                <w:szCs w:val="20"/>
              </w:rPr>
              <w:t>Fishing: US$ 90/ha/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 </w:t>
            </w:r>
            <w:r w:rsidRPr="00760071">
              <w:rPr>
                <w:rFonts w:ascii="Cambria" w:hAnsi="Cambria"/>
                <w:sz w:val="20"/>
                <w:szCs w:val="20"/>
              </w:rPr>
              <w:t>Food production/biological control: US$797/ha/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Gunawardena</w:t>
            </w:r>
            <w:proofErr w:type="spellEnd"/>
            <w:r>
              <w:rPr>
                <w:rFonts w:ascii="Cambria" w:hAnsi="Cambria"/>
                <w:sz w:val="20"/>
                <w:szCs w:val="20"/>
              </w:rPr>
              <w:t xml:space="preserve"> 2009); </w:t>
            </w:r>
            <w:proofErr w:type="spellStart"/>
            <w:r w:rsidRPr="00586C1D">
              <w:rPr>
                <w:rFonts w:ascii="Cambria" w:hAnsi="Cambria"/>
                <w:sz w:val="20"/>
                <w:szCs w:val="20"/>
              </w:rPr>
              <w:t>Mudcrabs</w:t>
            </w:r>
            <w:proofErr w:type="spellEnd"/>
            <w:r w:rsidRPr="00586C1D">
              <w:rPr>
                <w:rFonts w:ascii="Cambria" w:hAnsi="Cambria"/>
                <w:sz w:val="20"/>
                <w:szCs w:val="20"/>
              </w:rPr>
              <w:t>: IDR 81,811,800/</w:t>
            </w:r>
            <w:proofErr w:type="spellStart"/>
            <w:r w:rsidRPr="00586C1D">
              <w:rPr>
                <w:rFonts w:ascii="Cambria" w:hAnsi="Cambria"/>
                <w:sz w:val="20"/>
                <w:szCs w:val="20"/>
              </w:rPr>
              <w:t>yr</w:t>
            </w:r>
            <w:proofErr w:type="spellEnd"/>
            <w:r>
              <w:rPr>
                <w:rFonts w:ascii="Cambria" w:hAnsi="Cambria"/>
                <w:sz w:val="20"/>
                <w:szCs w:val="20"/>
              </w:rPr>
              <w:t xml:space="preserve">, </w:t>
            </w:r>
            <w:r w:rsidRPr="00586C1D">
              <w:rPr>
                <w:rFonts w:ascii="Cambria" w:hAnsi="Cambria"/>
                <w:sz w:val="20"/>
                <w:szCs w:val="20"/>
              </w:rPr>
              <w:t>Fish: IDR 440,000/</w:t>
            </w:r>
            <w:proofErr w:type="spellStart"/>
            <w:r w:rsidRPr="00586C1D">
              <w:rPr>
                <w:rFonts w:ascii="Cambria" w:hAnsi="Cambria"/>
                <w:sz w:val="20"/>
                <w:szCs w:val="20"/>
              </w:rPr>
              <w:t>yr</w:t>
            </w:r>
            <w:proofErr w:type="spellEnd"/>
            <w:r w:rsidRPr="00586C1D">
              <w:rPr>
                <w:rFonts w:ascii="Cambria" w:hAnsi="Cambria"/>
                <w:sz w:val="20"/>
                <w:szCs w:val="20"/>
              </w:rPr>
              <w:t xml:space="preserve"> (</w:t>
            </w:r>
            <w:proofErr w:type="spellStart"/>
            <w:r w:rsidRPr="00586C1D">
              <w:rPr>
                <w:rFonts w:ascii="Cambria" w:hAnsi="Cambria"/>
                <w:sz w:val="20"/>
                <w:szCs w:val="20"/>
              </w:rPr>
              <w:t>Susilo</w:t>
            </w:r>
            <w:proofErr w:type="spellEnd"/>
            <w:r w:rsidRPr="00586C1D">
              <w:rPr>
                <w:rFonts w:ascii="Cambria" w:hAnsi="Cambria"/>
                <w:sz w:val="20"/>
                <w:szCs w:val="20"/>
              </w:rPr>
              <w:t xml:space="preserve"> et al. 2016)</w:t>
            </w:r>
          </w:p>
        </w:tc>
        <w:tc>
          <w:tcPr>
            <w:tcW w:w="1260" w:type="dxa"/>
            <w:tcBorders>
              <w:top w:val="single" w:sz="4" w:space="0" w:color="auto"/>
              <w:left w:val="nil"/>
              <w:bottom w:val="single" w:sz="4" w:space="0" w:color="auto"/>
              <w:right w:val="single" w:sz="2" w:space="0" w:color="auto"/>
            </w:tcBorders>
            <w:shd w:val="clear" w:color="000000" w:fill="E2EFDA"/>
          </w:tcPr>
          <w:p w14:paraId="368E1E57" w14:textId="77777777" w:rsidR="00A01A99" w:rsidRPr="00586C1D"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CED2246"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9DE2CC3" w14:textId="0A0B41EF" w:rsidR="00A01A99" w:rsidRPr="00586C1D"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F58EF6A" w14:textId="063DA001" w:rsidR="00A01A99" w:rsidRDefault="00D83700" w:rsidP="00736B28">
            <w:pPr>
              <w:spacing w:after="0" w:line="240" w:lineRule="auto"/>
              <w:jc w:val="center"/>
              <w:rPr>
                <w:rFonts w:ascii="Cambria" w:eastAsia="Times New Roman" w:hAnsi="Cambria" w:cs="Times New Roman"/>
                <w:color w:val="000000"/>
                <w:sz w:val="20"/>
                <w:szCs w:val="20"/>
              </w:rPr>
            </w:pPr>
            <w:r w:rsidRPr="00D83700">
              <w:rPr>
                <w:rFonts w:ascii="Cambria" w:eastAsia="Times New Roman" w:hAnsi="Cambria" w:cs="Times New Roman"/>
                <w:color w:val="000000"/>
                <w:sz w:val="20"/>
                <w:szCs w:val="20"/>
              </w:rPr>
              <w:t>Fish: US$200,000 /</w:t>
            </w:r>
            <w:proofErr w:type="spellStart"/>
            <w:r w:rsidRPr="00D83700">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C</w:t>
            </w:r>
            <w:r w:rsidRPr="00D83700">
              <w:rPr>
                <w:rFonts w:ascii="Cambria" w:eastAsia="Times New Roman" w:hAnsi="Cambria" w:cs="Times New Roman"/>
                <w:color w:val="000000"/>
                <w:sz w:val="20"/>
                <w:szCs w:val="20"/>
              </w:rPr>
              <w:t>rab:  US$20,000/</w:t>
            </w:r>
            <w:proofErr w:type="spellStart"/>
            <w:r w:rsidRPr="00D83700">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D83700">
              <w:rPr>
                <w:rFonts w:ascii="Cambria" w:eastAsia="Times New Roman" w:hAnsi="Cambria" w:cs="Times New Roman"/>
                <w:color w:val="000000"/>
                <w:sz w:val="20"/>
                <w:szCs w:val="20"/>
              </w:rPr>
              <w:t>Honey and wax:  US$15,000/</w:t>
            </w:r>
            <w:proofErr w:type="spellStart"/>
            <w:r w:rsidRPr="00D83700">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D83700">
              <w:rPr>
                <w:rFonts w:ascii="Cambria" w:hAnsi="Cambria"/>
                <w:sz w:val="20"/>
                <w:szCs w:val="20"/>
              </w:rPr>
              <w:t xml:space="preserve">2001-2010 average, </w:t>
            </w:r>
            <w:r>
              <w:rPr>
                <w:rFonts w:ascii="Cambria" w:eastAsia="Times New Roman" w:hAnsi="Cambria" w:cs="Times New Roman"/>
                <w:color w:val="000000"/>
                <w:sz w:val="20"/>
                <w:szCs w:val="20"/>
              </w:rPr>
              <w:t>Uddin et al. 2013)</w:t>
            </w:r>
          </w:p>
        </w:tc>
        <w:tc>
          <w:tcPr>
            <w:tcW w:w="1170" w:type="dxa"/>
            <w:tcBorders>
              <w:top w:val="nil"/>
              <w:left w:val="single" w:sz="2" w:space="0" w:color="auto"/>
              <w:bottom w:val="single" w:sz="4" w:space="0" w:color="auto"/>
              <w:right w:val="single" w:sz="2" w:space="0" w:color="auto"/>
            </w:tcBorders>
            <w:shd w:val="clear" w:color="000000" w:fill="E2EFDA"/>
          </w:tcPr>
          <w:p w14:paraId="671A6CD6" w14:textId="55AB1531" w:rsidR="00A01A99" w:rsidRPr="00586C1D"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7BCE3CB5" w14:textId="08F9B67D" w:rsidR="00A01A99" w:rsidRPr="00586C1D" w:rsidRDefault="001259DE" w:rsidP="00736B28">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Fisheries: US$</w:t>
            </w:r>
            <w:r w:rsidR="001C5A91" w:rsidRPr="001C5A91">
              <w:rPr>
                <w:rFonts w:ascii="Cambria" w:eastAsia="Times New Roman" w:hAnsi="Cambria" w:cs="Times New Roman"/>
                <w:color w:val="000000"/>
                <w:sz w:val="20"/>
                <w:szCs w:val="20"/>
              </w:rPr>
              <w:t>97.9/ha/year</w:t>
            </w:r>
            <w:r w:rsidR="001C5A91">
              <w:rPr>
                <w:rFonts w:ascii="Cambria" w:eastAsia="Times New Roman" w:hAnsi="Cambria" w:cs="Times New Roman"/>
                <w:color w:val="000000"/>
                <w:sz w:val="20"/>
                <w:szCs w:val="20"/>
              </w:rPr>
              <w:t xml:space="preserve"> (</w:t>
            </w:r>
            <w:proofErr w:type="spellStart"/>
            <w:r w:rsidR="001C5A91">
              <w:rPr>
                <w:rFonts w:ascii="Cambria" w:eastAsia="Times New Roman" w:hAnsi="Cambria" w:cs="Times New Roman"/>
                <w:color w:val="000000"/>
                <w:sz w:val="20"/>
                <w:szCs w:val="20"/>
              </w:rPr>
              <w:t>Janekarnkij</w:t>
            </w:r>
            <w:proofErr w:type="spellEnd"/>
            <w:r w:rsidR="001C5A91">
              <w:rPr>
                <w:rFonts w:ascii="Cambria" w:eastAsia="Times New Roman" w:hAnsi="Cambria" w:cs="Times New Roman"/>
                <w:color w:val="000000"/>
                <w:sz w:val="20"/>
                <w:szCs w:val="20"/>
              </w:rPr>
              <w:t xml:space="preserve"> 2010)</w:t>
            </w:r>
            <w:r w:rsidR="00EA2AAC">
              <w:rPr>
                <w:rFonts w:ascii="Cambria" w:eastAsia="Times New Roman" w:hAnsi="Cambria" w:cs="Times New Roman"/>
                <w:color w:val="000000"/>
                <w:sz w:val="20"/>
                <w:szCs w:val="20"/>
              </w:rPr>
              <w:t xml:space="preserve">; </w:t>
            </w:r>
            <w:r w:rsidR="00EA2AAC" w:rsidRPr="00EA2AAC">
              <w:rPr>
                <w:rFonts w:ascii="Cambria" w:eastAsia="Times New Roman" w:hAnsi="Cambria" w:cs="Times New Roman"/>
                <w:color w:val="000000"/>
                <w:sz w:val="20"/>
                <w:szCs w:val="20"/>
              </w:rPr>
              <w:t>Commercial, recreational, and subsistence fisheries harvest</w:t>
            </w:r>
            <w:r w:rsidR="00736B28">
              <w:rPr>
                <w:rFonts w:ascii="Cambria" w:eastAsia="Times New Roman" w:hAnsi="Cambria" w:cs="Times New Roman"/>
                <w:color w:val="000000"/>
                <w:sz w:val="20"/>
                <w:szCs w:val="20"/>
              </w:rPr>
              <w:t>:</w:t>
            </w:r>
            <w:r w:rsidR="00EA2AAC" w:rsidRPr="00EA2AAC">
              <w:rPr>
                <w:rFonts w:ascii="Cambria" w:eastAsia="Times New Roman" w:hAnsi="Cambria" w:cs="Times New Roman"/>
                <w:color w:val="000000"/>
                <w:sz w:val="20"/>
                <w:szCs w:val="20"/>
              </w:rPr>
              <w:t xml:space="preserve"> $418.07 to $776.40 per ha</w:t>
            </w:r>
            <w:r w:rsidR="00EA2AAC">
              <w:rPr>
                <w:rFonts w:ascii="Cambria" w:eastAsia="Times New Roman" w:hAnsi="Cambria" w:cs="Times New Roman"/>
                <w:color w:val="000000"/>
                <w:sz w:val="20"/>
                <w:szCs w:val="20"/>
              </w:rPr>
              <w:t xml:space="preserve"> (Clark et al. 2012)</w:t>
            </w:r>
          </w:p>
        </w:tc>
        <w:tc>
          <w:tcPr>
            <w:tcW w:w="1170" w:type="dxa"/>
            <w:tcBorders>
              <w:top w:val="nil"/>
              <w:left w:val="single" w:sz="2" w:space="0" w:color="auto"/>
              <w:bottom w:val="single" w:sz="4" w:space="0" w:color="auto"/>
              <w:right w:val="single" w:sz="4" w:space="0" w:color="auto"/>
            </w:tcBorders>
            <w:shd w:val="clear" w:color="000000" w:fill="E2EFDA"/>
          </w:tcPr>
          <w:p w14:paraId="31FBEC55" w14:textId="58A047A3" w:rsidR="00A01A99" w:rsidRPr="00586C1D" w:rsidRDefault="00EA2AAC" w:rsidP="00736B28">
            <w:pPr>
              <w:spacing w:after="0" w:line="240" w:lineRule="auto"/>
              <w:jc w:val="center"/>
              <w:rPr>
                <w:rFonts w:ascii="Cambria" w:eastAsia="Times New Roman" w:hAnsi="Cambria" w:cs="Times New Roman"/>
                <w:color w:val="000000"/>
                <w:sz w:val="20"/>
                <w:szCs w:val="20"/>
              </w:rPr>
            </w:pPr>
            <w:r w:rsidRPr="00EA2AAC">
              <w:rPr>
                <w:rFonts w:ascii="Cambria" w:eastAsia="Times New Roman" w:hAnsi="Cambria" w:cs="Times New Roman"/>
                <w:color w:val="000000"/>
                <w:sz w:val="20"/>
                <w:szCs w:val="20"/>
              </w:rPr>
              <w:t>Fisheries: US$52-105/ha/</w:t>
            </w:r>
            <w:proofErr w:type="spellStart"/>
            <w:r w:rsidRPr="00EA2AAC">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(Islam and </w:t>
            </w:r>
            <w:proofErr w:type="spellStart"/>
            <w:r>
              <w:rPr>
                <w:rFonts w:ascii="Cambria" w:eastAsia="Times New Roman" w:hAnsi="Cambria" w:cs="Times New Roman"/>
                <w:color w:val="000000"/>
                <w:sz w:val="20"/>
                <w:szCs w:val="20"/>
              </w:rPr>
              <w:t>Ikejima</w:t>
            </w:r>
            <w:proofErr w:type="spellEnd"/>
            <w:r>
              <w:rPr>
                <w:rFonts w:ascii="Cambria" w:eastAsia="Times New Roman" w:hAnsi="Cambria" w:cs="Times New Roman"/>
                <w:color w:val="000000"/>
                <w:sz w:val="20"/>
                <w:szCs w:val="20"/>
              </w:rPr>
              <w:t xml:space="preserve"> 2010); </w:t>
            </w:r>
            <w:r w:rsidRPr="00EA2AAC">
              <w:rPr>
                <w:rFonts w:ascii="Cambria" w:eastAsia="Times New Roman" w:hAnsi="Cambria" w:cs="Times New Roman"/>
                <w:color w:val="000000"/>
                <w:sz w:val="20"/>
                <w:szCs w:val="20"/>
              </w:rPr>
              <w:t>Fisheries: US$16/ha/</w:t>
            </w:r>
            <w:proofErr w:type="spellStart"/>
            <w:r w:rsidRPr="00EA2AAC">
              <w:rPr>
                <w:rFonts w:ascii="Cambria" w:eastAsia="Times New Roman" w:hAnsi="Cambria" w:cs="Times New Roman"/>
                <w:color w:val="000000"/>
                <w:sz w:val="20"/>
                <w:szCs w:val="20"/>
              </w:rPr>
              <w:t>yr</w:t>
            </w:r>
            <w:proofErr w:type="spellEnd"/>
            <w:r w:rsidR="004F737C">
              <w:rPr>
                <w:rFonts w:ascii="Cambria" w:eastAsia="Times New Roman" w:hAnsi="Cambria" w:cs="Times New Roman"/>
                <w:color w:val="000000"/>
                <w:sz w:val="20"/>
                <w:szCs w:val="20"/>
              </w:rPr>
              <w:t xml:space="preserve">, </w:t>
            </w:r>
            <w:r w:rsidRPr="00EA2AAC">
              <w:rPr>
                <w:rFonts w:ascii="Cambria" w:eastAsia="Times New Roman" w:hAnsi="Cambria" w:cs="Times New Roman"/>
                <w:color w:val="000000"/>
                <w:sz w:val="20"/>
                <w:szCs w:val="20"/>
              </w:rPr>
              <w:t>Mollusks/Echinoderms: US$33/ha/</w:t>
            </w:r>
            <w:proofErr w:type="spellStart"/>
            <w:r w:rsidRPr="00EA2AAC">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Samonte</w:t>
            </w:r>
            <w:proofErr w:type="spellEnd"/>
            <w:r>
              <w:rPr>
                <w:rFonts w:ascii="Cambria" w:eastAsia="Times New Roman" w:hAnsi="Cambria" w:cs="Times New Roman"/>
                <w:color w:val="000000"/>
                <w:sz w:val="20"/>
                <w:szCs w:val="20"/>
              </w:rPr>
              <w:t>-Tan et al. 2007)</w:t>
            </w:r>
          </w:p>
        </w:tc>
        <w:tc>
          <w:tcPr>
            <w:tcW w:w="1080" w:type="dxa"/>
            <w:tcBorders>
              <w:top w:val="nil"/>
              <w:left w:val="single" w:sz="2" w:space="0" w:color="auto"/>
              <w:bottom w:val="single" w:sz="4" w:space="0" w:color="auto"/>
              <w:right w:val="single" w:sz="4" w:space="0" w:color="auto"/>
            </w:tcBorders>
            <w:shd w:val="clear" w:color="000000" w:fill="E2EFDA"/>
          </w:tcPr>
          <w:p w14:paraId="41138EC7" w14:textId="1511CE0C" w:rsidR="00A01A99" w:rsidRPr="00586C1D" w:rsidRDefault="00A01A99" w:rsidP="00736B28">
            <w:pPr>
              <w:spacing w:after="0" w:line="240" w:lineRule="auto"/>
              <w:jc w:val="center"/>
              <w:rPr>
                <w:rFonts w:ascii="Cambria" w:eastAsia="Times New Roman" w:hAnsi="Cambria" w:cs="Times New Roman"/>
                <w:color w:val="000000"/>
                <w:sz w:val="20"/>
                <w:szCs w:val="20"/>
              </w:rPr>
            </w:pPr>
          </w:p>
        </w:tc>
        <w:tc>
          <w:tcPr>
            <w:tcW w:w="1260" w:type="dxa"/>
            <w:tcBorders>
              <w:top w:val="nil"/>
              <w:left w:val="nil"/>
              <w:bottom w:val="single" w:sz="4" w:space="0" w:color="auto"/>
              <w:right w:val="single" w:sz="4" w:space="0" w:color="auto"/>
            </w:tcBorders>
            <w:shd w:val="clear" w:color="000000" w:fill="E2EFDA"/>
          </w:tcPr>
          <w:p w14:paraId="26595145" w14:textId="5C652FCE" w:rsidR="00A01A99" w:rsidRPr="00586C1D" w:rsidRDefault="00FD4A42" w:rsidP="00736B28">
            <w:pPr>
              <w:spacing w:after="0" w:line="240" w:lineRule="auto"/>
              <w:jc w:val="center"/>
              <w:rPr>
                <w:rFonts w:ascii="Cambria" w:eastAsia="Times New Roman" w:hAnsi="Cambria" w:cs="Times New Roman"/>
                <w:color w:val="000000"/>
                <w:sz w:val="20"/>
                <w:szCs w:val="20"/>
              </w:rPr>
            </w:pPr>
            <w:r w:rsidRPr="00FD4A42">
              <w:rPr>
                <w:rFonts w:ascii="Cambria" w:eastAsia="Times New Roman" w:hAnsi="Cambria" w:cs="Times New Roman"/>
                <w:color w:val="000000"/>
                <w:sz w:val="20"/>
                <w:szCs w:val="20"/>
              </w:rPr>
              <w:t xml:space="preserve">Fisheries: 68,436.15 </w:t>
            </w:r>
            <w:proofErr w:type="spellStart"/>
            <w:r w:rsidRPr="00FD4A42">
              <w:rPr>
                <w:rFonts w:ascii="Cambria" w:eastAsia="Times New Roman" w:hAnsi="Cambria" w:cs="Times New Roman"/>
                <w:color w:val="000000"/>
                <w:sz w:val="20"/>
                <w:szCs w:val="20"/>
              </w:rPr>
              <w:t>PhP</w:t>
            </w:r>
            <w:proofErr w:type="spellEnd"/>
            <w:r w:rsidRPr="00FD4A42">
              <w:rPr>
                <w:rFonts w:ascii="Cambria" w:eastAsia="Times New Roman" w:hAnsi="Cambria" w:cs="Times New Roman"/>
                <w:color w:val="000000"/>
                <w:sz w:val="20"/>
                <w:szCs w:val="20"/>
              </w:rPr>
              <w:t>/km2/</w:t>
            </w:r>
            <w:proofErr w:type="spellStart"/>
            <w:r w:rsidRPr="00FD4A42">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(Padilla 2008), </w:t>
            </w:r>
            <w:r w:rsidRPr="00FD4A42">
              <w:rPr>
                <w:rFonts w:ascii="Cambria" w:eastAsia="Times New Roman" w:hAnsi="Cambria" w:cs="Times New Roman"/>
                <w:color w:val="000000"/>
                <w:sz w:val="20"/>
                <w:szCs w:val="20"/>
              </w:rPr>
              <w:t>Commercial and subsistence fisheries: US$7119.51/household/</w:t>
            </w:r>
            <w:proofErr w:type="spellStart"/>
            <w:r w:rsidRPr="00FD4A42">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O’Garra</w:t>
            </w:r>
            <w:proofErr w:type="spellEnd"/>
            <w:r>
              <w:rPr>
                <w:rFonts w:ascii="Cambria" w:eastAsia="Times New Roman" w:hAnsi="Cambria" w:cs="Times New Roman"/>
                <w:color w:val="000000"/>
                <w:sz w:val="20"/>
                <w:szCs w:val="20"/>
              </w:rPr>
              <w:t xml:space="preserve"> 2012)</w:t>
            </w:r>
            <w:r w:rsidR="00060278">
              <w:rPr>
                <w:rFonts w:ascii="Cambria" w:eastAsia="Times New Roman" w:hAnsi="Cambria" w:cs="Times New Roman"/>
                <w:color w:val="000000"/>
                <w:sz w:val="20"/>
                <w:szCs w:val="20"/>
              </w:rPr>
              <w:t xml:space="preserve">; </w:t>
            </w:r>
            <w:r w:rsidR="00060278" w:rsidRPr="00060278">
              <w:rPr>
                <w:rFonts w:ascii="Cambria" w:eastAsia="Times New Roman" w:hAnsi="Cambria" w:cs="Times New Roman"/>
                <w:color w:val="000000"/>
                <w:sz w:val="20"/>
                <w:szCs w:val="20"/>
              </w:rPr>
              <w:t>Fin fish: US$113.09/ha/</w:t>
            </w:r>
            <w:proofErr w:type="spellStart"/>
            <w:r w:rsidR="00060278" w:rsidRPr="00060278">
              <w:rPr>
                <w:rFonts w:ascii="Cambria" w:eastAsia="Times New Roman" w:hAnsi="Cambria" w:cs="Times New Roman"/>
                <w:color w:val="000000"/>
                <w:sz w:val="20"/>
                <w:szCs w:val="20"/>
              </w:rPr>
              <w:t>yr</w:t>
            </w:r>
            <w:proofErr w:type="spellEnd"/>
            <w:r w:rsidR="00060278">
              <w:rPr>
                <w:rFonts w:ascii="Cambria" w:eastAsia="Times New Roman" w:hAnsi="Cambria" w:cs="Times New Roman"/>
                <w:color w:val="000000"/>
                <w:sz w:val="20"/>
                <w:szCs w:val="20"/>
              </w:rPr>
              <w:t xml:space="preserve"> (</w:t>
            </w:r>
            <w:proofErr w:type="spellStart"/>
            <w:r w:rsidR="00060278">
              <w:rPr>
                <w:rFonts w:ascii="Cambria" w:eastAsia="Times New Roman" w:hAnsi="Cambria" w:cs="Times New Roman"/>
                <w:color w:val="000000"/>
                <w:sz w:val="20"/>
                <w:szCs w:val="20"/>
              </w:rPr>
              <w:t>Kairo</w:t>
            </w:r>
            <w:proofErr w:type="spellEnd"/>
            <w:r w:rsidR="00060278">
              <w:rPr>
                <w:rFonts w:ascii="Cambria" w:eastAsia="Times New Roman" w:hAnsi="Cambria" w:cs="Times New Roman"/>
                <w:color w:val="000000"/>
                <w:sz w:val="20"/>
                <w:szCs w:val="20"/>
              </w:rPr>
              <w:t xml:space="preserve"> et al. 2009); </w:t>
            </w:r>
            <w:r w:rsidR="00060278" w:rsidRPr="00060278">
              <w:rPr>
                <w:rFonts w:ascii="Cambria" w:eastAsia="Times New Roman" w:hAnsi="Cambria" w:cs="Times New Roman"/>
                <w:color w:val="000000"/>
                <w:sz w:val="20"/>
                <w:szCs w:val="20"/>
              </w:rPr>
              <w:t>Food production: US$1225/ha/</w:t>
            </w:r>
            <w:proofErr w:type="spellStart"/>
            <w:r w:rsidR="00060278" w:rsidRPr="00060278">
              <w:rPr>
                <w:rFonts w:ascii="Cambria" w:eastAsia="Times New Roman" w:hAnsi="Cambria" w:cs="Times New Roman"/>
                <w:color w:val="000000"/>
                <w:sz w:val="20"/>
                <w:szCs w:val="20"/>
              </w:rPr>
              <w:t>yr</w:t>
            </w:r>
            <w:proofErr w:type="spellEnd"/>
            <w:r w:rsidR="00060278">
              <w:rPr>
                <w:rFonts w:ascii="Cambria" w:eastAsia="Times New Roman" w:hAnsi="Cambria" w:cs="Times New Roman"/>
                <w:color w:val="000000"/>
                <w:sz w:val="20"/>
                <w:szCs w:val="20"/>
              </w:rPr>
              <w:t xml:space="preserve"> (Mendoza-González et al. 2012)</w:t>
            </w:r>
          </w:p>
        </w:tc>
      </w:tr>
      <w:tr w:rsidR="00A01A99" w:rsidRPr="00761424" w14:paraId="67F383FC" w14:textId="77777777" w:rsidTr="00D80463">
        <w:trPr>
          <w:trHeight w:val="368"/>
        </w:trPr>
        <w:tc>
          <w:tcPr>
            <w:tcW w:w="1260" w:type="dxa"/>
            <w:tcBorders>
              <w:top w:val="nil"/>
              <w:left w:val="single" w:sz="4" w:space="0" w:color="auto"/>
              <w:bottom w:val="single" w:sz="4" w:space="0" w:color="auto"/>
              <w:right w:val="single" w:sz="4" w:space="0" w:color="auto"/>
            </w:tcBorders>
            <w:shd w:val="clear" w:color="000000" w:fill="E2EFDA"/>
          </w:tcPr>
          <w:p w14:paraId="48098AA9"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Water</w:t>
            </w:r>
          </w:p>
        </w:tc>
        <w:tc>
          <w:tcPr>
            <w:tcW w:w="2430" w:type="dxa"/>
            <w:tcBorders>
              <w:top w:val="nil"/>
              <w:left w:val="nil"/>
              <w:bottom w:val="single" w:sz="4" w:space="0" w:color="auto"/>
              <w:right w:val="single" w:sz="4" w:space="0" w:color="auto"/>
            </w:tcBorders>
            <w:shd w:val="clear" w:color="000000" w:fill="E2EFDA"/>
          </w:tcPr>
          <w:p w14:paraId="31195EF9" w14:textId="69214F3B" w:rsidR="00A01A99" w:rsidRPr="00761424" w:rsidRDefault="00A01A99" w:rsidP="00736B28">
            <w:pPr>
              <w:spacing w:after="0" w:line="240" w:lineRule="auto"/>
              <w:jc w:val="center"/>
              <w:rPr>
                <w:rFonts w:ascii="Cambria" w:hAnsi="Cambria"/>
                <w:sz w:val="20"/>
                <w:szCs w:val="20"/>
              </w:rPr>
            </w:pPr>
            <w:r w:rsidRPr="000E2ED3">
              <w:rPr>
                <w:rFonts w:ascii="Cambria" w:hAnsi="Cambria"/>
                <w:sz w:val="20"/>
                <w:szCs w:val="20"/>
              </w:rPr>
              <w:t>Drinking water, food and raw materials</w:t>
            </w:r>
            <w:r w:rsidR="00736B28">
              <w:rPr>
                <w:rFonts w:ascii="Cambria" w:hAnsi="Cambria"/>
                <w:sz w:val="20"/>
                <w:szCs w:val="20"/>
              </w:rPr>
              <w:t>:</w:t>
            </w:r>
            <w:r w:rsidRPr="000E2ED3">
              <w:rPr>
                <w:rFonts w:ascii="Cambria" w:hAnsi="Cambria"/>
                <w:sz w:val="20"/>
                <w:szCs w:val="20"/>
              </w:rPr>
              <w:t xml:space="preserve"> US$212/ha/</w:t>
            </w:r>
            <w:proofErr w:type="spellStart"/>
            <w:r w:rsidRPr="000E2ED3">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Ayanlade</w:t>
            </w:r>
            <w:proofErr w:type="spellEnd"/>
            <w:r w:rsidRPr="00CB67CB">
              <w:rPr>
                <w:rFonts w:ascii="Cambria" w:hAnsi="Cambria"/>
                <w:sz w:val="20"/>
                <w:szCs w:val="20"/>
              </w:rPr>
              <w:t xml:space="preserve"> et al. 2015)</w:t>
            </w:r>
            <w:r>
              <w:rPr>
                <w:rFonts w:ascii="Cambria" w:hAnsi="Cambria"/>
                <w:sz w:val="20"/>
                <w:szCs w:val="20"/>
              </w:rPr>
              <w:t xml:space="preserve">, </w:t>
            </w:r>
            <w:r w:rsidRPr="00CB67CB">
              <w:rPr>
                <w:rFonts w:ascii="Cambria" w:hAnsi="Cambria"/>
                <w:sz w:val="20"/>
                <w:szCs w:val="20"/>
              </w:rPr>
              <w:t>Water p</w:t>
            </w:r>
            <w:r>
              <w:rPr>
                <w:rFonts w:ascii="Cambria" w:hAnsi="Cambria"/>
                <w:sz w:val="20"/>
                <w:szCs w:val="20"/>
              </w:rPr>
              <w:t>urification: US$ 1385-$6716 ha/</w:t>
            </w:r>
            <w:proofErr w:type="spellStart"/>
            <w:r w:rsidRPr="00CB67CB">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 xml:space="preserve">(Mubarak Bin </w:t>
            </w:r>
            <w:proofErr w:type="spellStart"/>
            <w:r w:rsidRPr="00CB67CB">
              <w:rPr>
                <w:rFonts w:ascii="Cambria" w:hAnsi="Cambria"/>
                <w:sz w:val="20"/>
                <w:szCs w:val="20"/>
              </w:rPr>
              <w:t>Daina</w:t>
            </w:r>
            <w:proofErr w:type="spellEnd"/>
            <w:r w:rsidRPr="00CB67CB">
              <w:rPr>
                <w:rFonts w:ascii="Cambria" w:hAnsi="Cambria"/>
                <w:sz w:val="20"/>
                <w:szCs w:val="20"/>
              </w:rPr>
              <w:t xml:space="preserve"> et al. 2015)</w:t>
            </w:r>
          </w:p>
        </w:tc>
        <w:tc>
          <w:tcPr>
            <w:tcW w:w="1260" w:type="dxa"/>
            <w:tcBorders>
              <w:top w:val="single" w:sz="4" w:space="0" w:color="auto"/>
              <w:left w:val="nil"/>
              <w:bottom w:val="single" w:sz="4" w:space="0" w:color="auto"/>
              <w:right w:val="single" w:sz="2" w:space="0" w:color="auto"/>
            </w:tcBorders>
            <w:shd w:val="clear" w:color="000000" w:fill="E2EFDA"/>
          </w:tcPr>
          <w:p w14:paraId="39B1C96D" w14:textId="77777777"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42E3D340" w14:textId="77777777" w:rsidR="00A01A99"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DA6161E" w14:textId="722CFC9C"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C5B5048" w14:textId="77777777" w:rsidR="00A01A99"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D33B990" w14:textId="171DC6AB"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2462A15B" w14:textId="77777777"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76D4E3F1" w14:textId="77777777" w:rsidR="00A01A99" w:rsidRPr="00761424" w:rsidRDefault="00A01A99" w:rsidP="00736B28">
            <w:pPr>
              <w:spacing w:after="0" w:line="240" w:lineRule="auto"/>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355D3E50" w14:textId="27DCD067" w:rsidR="00A01A99" w:rsidRPr="00761424" w:rsidRDefault="00A01A99" w:rsidP="00736B28">
            <w:pPr>
              <w:spacing w:after="0" w:line="240" w:lineRule="auto"/>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552C6452" w14:textId="3DA8252D" w:rsidR="00A01A99" w:rsidRPr="00761424" w:rsidRDefault="00A01A99" w:rsidP="00736B28">
            <w:pPr>
              <w:spacing w:after="0" w:line="240" w:lineRule="auto"/>
              <w:jc w:val="center"/>
              <w:rPr>
                <w:rFonts w:ascii="Cambria" w:hAnsi="Cambria"/>
                <w:sz w:val="20"/>
                <w:szCs w:val="20"/>
              </w:rPr>
            </w:pPr>
          </w:p>
        </w:tc>
      </w:tr>
      <w:tr w:rsidR="00A01A99" w:rsidRPr="00761424" w14:paraId="60C23614" w14:textId="77777777" w:rsidTr="00D80463">
        <w:trPr>
          <w:trHeight w:val="440"/>
        </w:trPr>
        <w:tc>
          <w:tcPr>
            <w:tcW w:w="1260" w:type="dxa"/>
            <w:tcBorders>
              <w:top w:val="nil"/>
              <w:left w:val="single" w:sz="4" w:space="0" w:color="auto"/>
              <w:bottom w:val="single" w:sz="4" w:space="0" w:color="auto"/>
              <w:right w:val="single" w:sz="4" w:space="0" w:color="auto"/>
            </w:tcBorders>
            <w:shd w:val="clear" w:color="000000" w:fill="E2EFDA"/>
          </w:tcPr>
          <w:p w14:paraId="041B44F3"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Ornamental resources</w:t>
            </w:r>
          </w:p>
        </w:tc>
        <w:tc>
          <w:tcPr>
            <w:tcW w:w="2430" w:type="dxa"/>
            <w:tcBorders>
              <w:top w:val="nil"/>
              <w:left w:val="nil"/>
              <w:bottom w:val="single" w:sz="4" w:space="0" w:color="auto"/>
              <w:right w:val="single" w:sz="4" w:space="0" w:color="auto"/>
            </w:tcBorders>
            <w:shd w:val="clear" w:color="000000" w:fill="E2EFDA"/>
          </w:tcPr>
          <w:p w14:paraId="2530CF0F" w14:textId="78F4CA7B" w:rsidR="00A01A99" w:rsidRPr="00761424" w:rsidRDefault="00A01A99" w:rsidP="00736B28">
            <w:pPr>
              <w:spacing w:after="0" w:line="240" w:lineRule="auto"/>
              <w:jc w:val="center"/>
              <w:rPr>
                <w:rFonts w:ascii="Cambria" w:hAnsi="Cambria"/>
                <w:sz w:val="20"/>
                <w:szCs w:val="20"/>
              </w:rPr>
            </w:pPr>
          </w:p>
        </w:tc>
        <w:tc>
          <w:tcPr>
            <w:tcW w:w="1260" w:type="dxa"/>
            <w:tcBorders>
              <w:top w:val="single" w:sz="4" w:space="0" w:color="auto"/>
              <w:left w:val="nil"/>
              <w:bottom w:val="single" w:sz="4" w:space="0" w:color="auto"/>
              <w:right w:val="single" w:sz="2" w:space="0" w:color="auto"/>
            </w:tcBorders>
            <w:shd w:val="clear" w:color="000000" w:fill="E2EFDA"/>
          </w:tcPr>
          <w:p w14:paraId="2DA3C7C3" w14:textId="77777777"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5236995" w14:textId="77777777" w:rsidR="00A01A99"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E17029F" w14:textId="78A32084"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58B23B7" w14:textId="77777777" w:rsidR="00A01A99"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CAFC83E" w14:textId="02C33313"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2EA1F38D" w14:textId="77777777"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160939F9" w14:textId="77777777" w:rsidR="00A01A99" w:rsidRPr="00761424" w:rsidRDefault="00A01A99" w:rsidP="00736B28">
            <w:pPr>
              <w:spacing w:after="0" w:line="240" w:lineRule="auto"/>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5C842F70" w14:textId="05CEE18E" w:rsidR="00A01A99" w:rsidRPr="00761424" w:rsidRDefault="00A01A99" w:rsidP="00736B28">
            <w:pPr>
              <w:spacing w:after="0" w:line="240" w:lineRule="auto"/>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561CD658" w14:textId="6CE2CB21" w:rsidR="00A01A99" w:rsidRPr="00761424" w:rsidRDefault="00A01A99" w:rsidP="00736B28">
            <w:pPr>
              <w:spacing w:after="0" w:line="240" w:lineRule="auto"/>
              <w:jc w:val="center"/>
              <w:rPr>
                <w:rFonts w:ascii="Cambria" w:hAnsi="Cambria"/>
                <w:sz w:val="20"/>
                <w:szCs w:val="20"/>
              </w:rPr>
            </w:pPr>
          </w:p>
        </w:tc>
      </w:tr>
      <w:tr w:rsidR="00A01A99" w:rsidRPr="00761424" w14:paraId="524561F5" w14:textId="77777777" w:rsidTr="00D80463">
        <w:trPr>
          <w:trHeight w:val="449"/>
        </w:trPr>
        <w:tc>
          <w:tcPr>
            <w:tcW w:w="1260" w:type="dxa"/>
            <w:tcBorders>
              <w:top w:val="nil"/>
              <w:left w:val="single" w:sz="4" w:space="0" w:color="auto"/>
              <w:bottom w:val="single" w:sz="4" w:space="0" w:color="auto"/>
              <w:right w:val="single" w:sz="4" w:space="0" w:color="auto"/>
            </w:tcBorders>
            <w:shd w:val="clear" w:color="000000" w:fill="E2EFDA"/>
          </w:tcPr>
          <w:p w14:paraId="15A196CD"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Genetic resources</w:t>
            </w:r>
          </w:p>
        </w:tc>
        <w:tc>
          <w:tcPr>
            <w:tcW w:w="2430" w:type="dxa"/>
            <w:tcBorders>
              <w:top w:val="nil"/>
              <w:left w:val="nil"/>
              <w:bottom w:val="single" w:sz="4" w:space="0" w:color="auto"/>
              <w:right w:val="single" w:sz="4" w:space="0" w:color="auto"/>
            </w:tcBorders>
            <w:shd w:val="clear" w:color="000000" w:fill="E2EFDA"/>
          </w:tcPr>
          <w:p w14:paraId="732301C6" w14:textId="76DAD2BC" w:rsidR="00A01A99" w:rsidRPr="00761424" w:rsidRDefault="00A01A99" w:rsidP="00736B28">
            <w:pPr>
              <w:spacing w:after="0" w:line="240" w:lineRule="auto"/>
              <w:jc w:val="center"/>
              <w:rPr>
                <w:rFonts w:ascii="Cambria" w:hAnsi="Cambria"/>
                <w:sz w:val="20"/>
                <w:szCs w:val="20"/>
              </w:rPr>
            </w:pPr>
          </w:p>
        </w:tc>
        <w:tc>
          <w:tcPr>
            <w:tcW w:w="1260" w:type="dxa"/>
            <w:tcBorders>
              <w:top w:val="single" w:sz="4" w:space="0" w:color="auto"/>
              <w:left w:val="nil"/>
              <w:bottom w:val="single" w:sz="4" w:space="0" w:color="auto"/>
              <w:right w:val="single" w:sz="2" w:space="0" w:color="auto"/>
            </w:tcBorders>
            <w:shd w:val="clear" w:color="000000" w:fill="E2EFDA"/>
          </w:tcPr>
          <w:p w14:paraId="2672EE32" w14:textId="77777777"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EAD0BC6" w14:textId="77777777" w:rsidR="00A01A99"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ACA1C35" w14:textId="0D6C4C05"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43B38AC4" w14:textId="77777777" w:rsidR="00A01A99"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59FB1C7" w14:textId="406A28FF"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6A740DCF" w14:textId="77777777"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0142BB55" w14:textId="77777777" w:rsidR="00A01A99" w:rsidRPr="00761424" w:rsidRDefault="00A01A99" w:rsidP="00736B28">
            <w:pPr>
              <w:spacing w:after="0" w:line="240" w:lineRule="auto"/>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2107F7D3" w14:textId="4EF63017" w:rsidR="00A01A99" w:rsidRPr="00761424" w:rsidRDefault="00A01A99" w:rsidP="00736B28">
            <w:pPr>
              <w:spacing w:after="0" w:line="240" w:lineRule="auto"/>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49BB2CE6" w14:textId="666D264E" w:rsidR="00A01A99" w:rsidRPr="00761424" w:rsidRDefault="00A01A99" w:rsidP="00736B28">
            <w:pPr>
              <w:spacing w:after="0" w:line="240" w:lineRule="auto"/>
              <w:jc w:val="center"/>
              <w:rPr>
                <w:rFonts w:ascii="Cambria" w:hAnsi="Cambria"/>
                <w:sz w:val="20"/>
                <w:szCs w:val="20"/>
              </w:rPr>
            </w:pPr>
          </w:p>
        </w:tc>
      </w:tr>
      <w:tr w:rsidR="00A01A99" w:rsidRPr="00761424" w14:paraId="1D3070AD" w14:textId="77777777" w:rsidTr="00D80463">
        <w:trPr>
          <w:trHeight w:val="440"/>
        </w:trPr>
        <w:tc>
          <w:tcPr>
            <w:tcW w:w="1260" w:type="dxa"/>
            <w:tcBorders>
              <w:top w:val="nil"/>
              <w:left w:val="single" w:sz="4" w:space="0" w:color="auto"/>
              <w:bottom w:val="single" w:sz="4" w:space="0" w:color="auto"/>
              <w:right w:val="single" w:sz="4" w:space="0" w:color="auto"/>
            </w:tcBorders>
            <w:shd w:val="clear" w:color="000000" w:fill="E2EFDA"/>
          </w:tcPr>
          <w:p w14:paraId="4ACBD782"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Medicinal resources</w:t>
            </w:r>
          </w:p>
        </w:tc>
        <w:tc>
          <w:tcPr>
            <w:tcW w:w="2430" w:type="dxa"/>
            <w:tcBorders>
              <w:top w:val="nil"/>
              <w:left w:val="nil"/>
              <w:bottom w:val="single" w:sz="4" w:space="0" w:color="auto"/>
              <w:right w:val="single" w:sz="4" w:space="0" w:color="auto"/>
            </w:tcBorders>
            <w:shd w:val="clear" w:color="000000" w:fill="E2EFDA"/>
          </w:tcPr>
          <w:p w14:paraId="09177876" w14:textId="4189F722" w:rsidR="00A01A99" w:rsidRPr="00761424" w:rsidRDefault="00A01A99" w:rsidP="00736B28">
            <w:pPr>
              <w:spacing w:after="0" w:line="240" w:lineRule="auto"/>
              <w:jc w:val="center"/>
              <w:rPr>
                <w:rFonts w:ascii="Cambria" w:hAnsi="Cambria"/>
                <w:sz w:val="20"/>
                <w:szCs w:val="20"/>
              </w:rPr>
            </w:pPr>
            <w:r w:rsidRPr="000E2ED3">
              <w:rPr>
                <w:rFonts w:ascii="Cambria" w:hAnsi="Cambria"/>
                <w:sz w:val="20"/>
                <w:szCs w:val="20"/>
              </w:rPr>
              <w:t>Spiritual, medical and recreational benefits</w:t>
            </w:r>
            <w:r w:rsidR="00736B28">
              <w:rPr>
                <w:rFonts w:ascii="Cambria" w:hAnsi="Cambria"/>
                <w:sz w:val="20"/>
                <w:szCs w:val="20"/>
              </w:rPr>
              <w:t>:</w:t>
            </w:r>
            <w:r w:rsidRPr="000E2ED3">
              <w:rPr>
                <w:rFonts w:ascii="Cambria" w:hAnsi="Cambria"/>
                <w:sz w:val="20"/>
                <w:szCs w:val="20"/>
              </w:rPr>
              <w:t xml:space="preserve"> US$20/ha/</w:t>
            </w:r>
            <w:proofErr w:type="spellStart"/>
            <w:r w:rsidRPr="000E2ED3">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Ayanlade</w:t>
            </w:r>
            <w:proofErr w:type="spellEnd"/>
            <w:r w:rsidRPr="00CB67CB">
              <w:rPr>
                <w:rFonts w:ascii="Cambria" w:hAnsi="Cambria"/>
                <w:sz w:val="20"/>
                <w:szCs w:val="20"/>
              </w:rPr>
              <w:t xml:space="preserve"> et al. 2015)</w:t>
            </w:r>
          </w:p>
        </w:tc>
        <w:tc>
          <w:tcPr>
            <w:tcW w:w="1260" w:type="dxa"/>
            <w:tcBorders>
              <w:top w:val="single" w:sz="4" w:space="0" w:color="auto"/>
              <w:left w:val="nil"/>
              <w:bottom w:val="single" w:sz="4" w:space="0" w:color="auto"/>
              <w:right w:val="single" w:sz="2" w:space="0" w:color="auto"/>
            </w:tcBorders>
            <w:shd w:val="clear" w:color="000000" w:fill="E2EFDA"/>
          </w:tcPr>
          <w:p w14:paraId="40EC8B2B" w14:textId="77777777"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C1D6D97" w14:textId="77777777" w:rsidR="00A01A99"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C7B0516" w14:textId="574F6689"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792EBC6" w14:textId="77777777" w:rsidR="00A01A99"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CC55FBF" w14:textId="00CF30E2"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5AF6F15C" w14:textId="1B04EEA3" w:rsidR="00A01A99" w:rsidRPr="00761424" w:rsidRDefault="001C5A91" w:rsidP="00736B28">
            <w:pPr>
              <w:spacing w:after="0" w:line="240" w:lineRule="auto"/>
              <w:jc w:val="center"/>
              <w:rPr>
                <w:rFonts w:ascii="Cambria" w:hAnsi="Cambria"/>
                <w:sz w:val="20"/>
                <w:szCs w:val="20"/>
              </w:rPr>
            </w:pPr>
            <w:r w:rsidRPr="001C5A91">
              <w:rPr>
                <w:rFonts w:ascii="Cambria" w:hAnsi="Cambria"/>
                <w:sz w:val="20"/>
                <w:szCs w:val="20"/>
              </w:rPr>
              <w:t>Raw material (incl. medicinal plants): US$30.5/ha/year</w:t>
            </w:r>
            <w:r>
              <w:rPr>
                <w:rFonts w:ascii="Cambria" w:hAnsi="Cambria"/>
                <w:sz w:val="20"/>
                <w:szCs w:val="20"/>
              </w:rPr>
              <w:t xml:space="preserve"> (</w:t>
            </w:r>
            <w:proofErr w:type="spellStart"/>
            <w:r>
              <w:rPr>
                <w:rFonts w:ascii="Cambria" w:hAnsi="Cambria"/>
                <w:sz w:val="20"/>
                <w:szCs w:val="20"/>
              </w:rPr>
              <w:t>Janekarnkij</w:t>
            </w:r>
            <w:proofErr w:type="spellEnd"/>
            <w:r>
              <w:rPr>
                <w:rFonts w:ascii="Cambria" w:hAnsi="Cambria"/>
                <w:sz w:val="20"/>
                <w:szCs w:val="20"/>
              </w:rPr>
              <w:t xml:space="preserve"> 2010)</w:t>
            </w:r>
          </w:p>
        </w:tc>
        <w:tc>
          <w:tcPr>
            <w:tcW w:w="1170" w:type="dxa"/>
            <w:tcBorders>
              <w:top w:val="nil"/>
              <w:left w:val="single" w:sz="2" w:space="0" w:color="auto"/>
              <w:bottom w:val="single" w:sz="4" w:space="0" w:color="auto"/>
              <w:right w:val="single" w:sz="4" w:space="0" w:color="auto"/>
            </w:tcBorders>
            <w:shd w:val="clear" w:color="000000" w:fill="E2EFDA"/>
          </w:tcPr>
          <w:p w14:paraId="4E96417E" w14:textId="77777777" w:rsidR="00A01A99" w:rsidRPr="00761424" w:rsidRDefault="00A01A99" w:rsidP="00736B28">
            <w:pPr>
              <w:spacing w:after="0" w:line="240" w:lineRule="auto"/>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6474FF5C" w14:textId="3CE79ED7" w:rsidR="00A01A99" w:rsidRPr="00761424" w:rsidRDefault="00A01A99" w:rsidP="00736B28">
            <w:pPr>
              <w:spacing w:after="0" w:line="240" w:lineRule="auto"/>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77756AF9" w14:textId="7DA76FC8" w:rsidR="00A01A99" w:rsidRPr="00761424" w:rsidRDefault="00A01A99" w:rsidP="00736B28">
            <w:pPr>
              <w:spacing w:after="0" w:line="240" w:lineRule="auto"/>
              <w:jc w:val="center"/>
              <w:rPr>
                <w:rFonts w:ascii="Cambria" w:hAnsi="Cambria"/>
                <w:sz w:val="20"/>
                <w:szCs w:val="20"/>
              </w:rPr>
            </w:pPr>
          </w:p>
        </w:tc>
      </w:tr>
      <w:tr w:rsidR="00A01A99" w:rsidRPr="00761424" w14:paraId="1B791850" w14:textId="77777777" w:rsidTr="00D80463">
        <w:trPr>
          <w:trHeight w:val="422"/>
        </w:trPr>
        <w:tc>
          <w:tcPr>
            <w:tcW w:w="1260" w:type="dxa"/>
            <w:tcBorders>
              <w:top w:val="nil"/>
              <w:left w:val="single" w:sz="4" w:space="0" w:color="auto"/>
              <w:bottom w:val="single" w:sz="4" w:space="0" w:color="auto"/>
              <w:right w:val="single" w:sz="4" w:space="0" w:color="auto"/>
            </w:tcBorders>
            <w:shd w:val="clear" w:color="000000" w:fill="E2EFDA"/>
            <w:hideMark/>
          </w:tcPr>
          <w:p w14:paraId="665F7197"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Raw material</w:t>
            </w:r>
          </w:p>
        </w:tc>
        <w:tc>
          <w:tcPr>
            <w:tcW w:w="2430" w:type="dxa"/>
            <w:tcBorders>
              <w:top w:val="nil"/>
              <w:left w:val="nil"/>
              <w:bottom w:val="single" w:sz="4" w:space="0" w:color="auto"/>
              <w:right w:val="single" w:sz="4" w:space="0" w:color="auto"/>
            </w:tcBorders>
            <w:shd w:val="clear" w:color="000000" w:fill="E2EFDA"/>
          </w:tcPr>
          <w:p w14:paraId="249D6A80" w14:textId="311F65E9" w:rsidR="00A01A99" w:rsidRPr="00586C1D" w:rsidRDefault="00A01A99" w:rsidP="00736B28">
            <w:pPr>
              <w:spacing w:after="0" w:line="240" w:lineRule="auto"/>
              <w:jc w:val="center"/>
              <w:rPr>
                <w:rFonts w:ascii="Cambria" w:hAnsi="Cambria"/>
                <w:sz w:val="20"/>
                <w:szCs w:val="20"/>
              </w:rPr>
            </w:pPr>
            <w:r w:rsidRPr="000E2ED3">
              <w:rPr>
                <w:rFonts w:ascii="Cambria" w:eastAsia="Times New Roman" w:hAnsi="Cambria" w:cs="Times New Roman"/>
                <w:color w:val="000000"/>
                <w:sz w:val="20"/>
                <w:szCs w:val="20"/>
              </w:rPr>
              <w:t>Livestock grazing: US$60/ha/</w:t>
            </w:r>
            <w:proofErr w:type="spellStart"/>
            <w:r w:rsidRPr="000E2ED3">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0E2ED3">
              <w:rPr>
                <w:rFonts w:ascii="Cambria" w:eastAsia="Times New Roman" w:hAnsi="Cambria" w:cs="Times New Roman"/>
                <w:color w:val="000000"/>
                <w:sz w:val="20"/>
                <w:szCs w:val="20"/>
              </w:rPr>
              <w:t>Fertilizer industry: US$50/ha/</w:t>
            </w:r>
            <w:proofErr w:type="spellStart"/>
            <w:r w:rsidRPr="000E2ED3">
              <w:rPr>
                <w:rFonts w:ascii="Cambria" w:eastAsia="Times New Roman" w:hAnsi="Cambria" w:cs="Times New Roman"/>
                <w:color w:val="000000"/>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0E2ED3">
              <w:rPr>
                <w:rFonts w:ascii="Cambria" w:hAnsi="Cambria"/>
                <w:sz w:val="20"/>
                <w:szCs w:val="20"/>
              </w:rPr>
              <w:t>Drinking water, food and raw materials</w:t>
            </w:r>
            <w:r w:rsidR="00736B28">
              <w:rPr>
                <w:rFonts w:ascii="Cambria" w:hAnsi="Cambria"/>
                <w:sz w:val="20"/>
                <w:szCs w:val="20"/>
              </w:rPr>
              <w:t>:</w:t>
            </w:r>
            <w:r w:rsidRPr="000E2ED3">
              <w:rPr>
                <w:rFonts w:ascii="Cambria" w:hAnsi="Cambria"/>
                <w:sz w:val="20"/>
                <w:szCs w:val="20"/>
              </w:rPr>
              <w:t xml:space="preserve"> US$212/ha/</w:t>
            </w:r>
            <w:proofErr w:type="spellStart"/>
            <w:r w:rsidRPr="000E2ED3">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Ayanlade</w:t>
            </w:r>
            <w:proofErr w:type="spellEnd"/>
            <w:r w:rsidRPr="00CB67CB">
              <w:rPr>
                <w:rFonts w:ascii="Cambria" w:hAnsi="Cambria"/>
                <w:sz w:val="20"/>
                <w:szCs w:val="20"/>
              </w:rPr>
              <w:t xml:space="preserve"> et al. 2015)</w:t>
            </w:r>
            <w:r>
              <w:rPr>
                <w:rFonts w:ascii="Cambria" w:hAnsi="Cambria"/>
                <w:sz w:val="20"/>
                <w:szCs w:val="20"/>
              </w:rPr>
              <w:t xml:space="preserve">, </w:t>
            </w:r>
            <w:r w:rsidRPr="009E1187">
              <w:rPr>
                <w:rFonts w:ascii="Cambria" w:hAnsi="Cambria"/>
                <w:sz w:val="20"/>
                <w:szCs w:val="20"/>
              </w:rPr>
              <w:t>Timber products: RM40.85 /household/month</w:t>
            </w:r>
            <w:r>
              <w:rPr>
                <w:rFonts w:ascii="Cambria" w:hAnsi="Cambria"/>
                <w:sz w:val="20"/>
                <w:szCs w:val="20"/>
              </w:rPr>
              <w:t xml:space="preserve"> </w:t>
            </w:r>
            <w:r>
              <w:rPr>
                <w:rFonts w:ascii="Cambria" w:hAnsi="Cambria"/>
                <w:sz w:val="20"/>
                <w:szCs w:val="20"/>
              </w:rPr>
              <w:lastRenderedPageBreak/>
              <w:t>(</w:t>
            </w:r>
            <w:proofErr w:type="spellStart"/>
            <w:r>
              <w:rPr>
                <w:rFonts w:ascii="Cambria" w:hAnsi="Cambria"/>
                <w:sz w:val="20"/>
                <w:szCs w:val="20"/>
              </w:rPr>
              <w:t>Mojiol</w:t>
            </w:r>
            <w:proofErr w:type="spellEnd"/>
            <w:r>
              <w:rPr>
                <w:rFonts w:ascii="Cambria" w:hAnsi="Cambria"/>
                <w:sz w:val="20"/>
                <w:szCs w:val="20"/>
              </w:rPr>
              <w:t xml:space="preserve"> et al. 2016); </w:t>
            </w:r>
            <w:r w:rsidRPr="0051605B">
              <w:rPr>
                <w:rFonts w:ascii="Cambria" w:hAnsi="Cambria"/>
                <w:sz w:val="20"/>
                <w:szCs w:val="20"/>
              </w:rPr>
              <w:t xml:space="preserve">Beekeeping: </w:t>
            </w:r>
            <w:r>
              <w:rPr>
                <w:rFonts w:ascii="Cambria" w:hAnsi="Cambria"/>
                <w:sz w:val="20"/>
                <w:szCs w:val="20"/>
              </w:rPr>
              <w:t>US</w:t>
            </w:r>
            <w:r w:rsidRPr="0051605B">
              <w:rPr>
                <w:rFonts w:ascii="Cambria" w:hAnsi="Cambria"/>
                <w:sz w:val="20"/>
                <w:szCs w:val="20"/>
              </w:rPr>
              <w:t>$0.88/ha/</w:t>
            </w:r>
            <w:proofErr w:type="spellStart"/>
            <w:r w:rsidRPr="0051605B">
              <w:rPr>
                <w:rFonts w:ascii="Cambria" w:hAnsi="Cambria"/>
                <w:sz w:val="20"/>
                <w:szCs w:val="20"/>
              </w:rPr>
              <w:t>yr</w:t>
            </w:r>
            <w:proofErr w:type="spellEnd"/>
            <w:r>
              <w:rPr>
                <w:rFonts w:ascii="Cambria" w:hAnsi="Cambria"/>
                <w:sz w:val="20"/>
                <w:szCs w:val="20"/>
              </w:rPr>
              <w:t xml:space="preserve">, </w:t>
            </w:r>
            <w:r w:rsidRPr="0051605B">
              <w:rPr>
                <w:rFonts w:ascii="Cambria" w:hAnsi="Cambria"/>
                <w:sz w:val="20"/>
                <w:szCs w:val="20"/>
              </w:rPr>
              <w:t xml:space="preserve">Sustainable timber harvesting: </w:t>
            </w:r>
            <w:r>
              <w:rPr>
                <w:rFonts w:ascii="Cambria" w:hAnsi="Cambria"/>
                <w:sz w:val="20"/>
                <w:szCs w:val="20"/>
              </w:rPr>
              <w:t>US</w:t>
            </w:r>
            <w:r w:rsidRPr="0051605B">
              <w:rPr>
                <w:rFonts w:ascii="Cambria" w:hAnsi="Cambria"/>
                <w:sz w:val="20"/>
                <w:szCs w:val="20"/>
              </w:rPr>
              <w:t>$0.50/ha/</w:t>
            </w:r>
            <w:proofErr w:type="spellStart"/>
            <w:r w:rsidRPr="0051605B">
              <w:rPr>
                <w:rFonts w:ascii="Cambria" w:hAnsi="Cambria"/>
                <w:sz w:val="20"/>
                <w:szCs w:val="20"/>
              </w:rPr>
              <w:t>yr</w:t>
            </w:r>
            <w:proofErr w:type="spellEnd"/>
            <w:r>
              <w:rPr>
                <w:rFonts w:ascii="Cambria" w:hAnsi="Cambria"/>
                <w:sz w:val="20"/>
                <w:szCs w:val="20"/>
              </w:rPr>
              <w:t xml:space="preserve">, </w:t>
            </w:r>
            <w:r w:rsidRPr="0051605B">
              <w:rPr>
                <w:rFonts w:ascii="Cambria" w:hAnsi="Cambria"/>
                <w:sz w:val="20"/>
                <w:szCs w:val="20"/>
              </w:rPr>
              <w:t xml:space="preserve">Charcoal production: </w:t>
            </w:r>
            <w:r>
              <w:rPr>
                <w:rFonts w:ascii="Cambria" w:hAnsi="Cambria"/>
                <w:sz w:val="20"/>
                <w:szCs w:val="20"/>
              </w:rPr>
              <w:t>US</w:t>
            </w:r>
            <w:r w:rsidRPr="0051605B">
              <w:rPr>
                <w:rFonts w:ascii="Cambria" w:hAnsi="Cambria"/>
                <w:sz w:val="20"/>
                <w:szCs w:val="20"/>
              </w:rPr>
              <w:t>$150/ha/</w:t>
            </w:r>
            <w:proofErr w:type="spellStart"/>
            <w:r w:rsidRPr="0051605B">
              <w:rPr>
                <w:rFonts w:ascii="Cambria" w:hAnsi="Cambria"/>
                <w:sz w:val="20"/>
                <w:szCs w:val="20"/>
              </w:rPr>
              <w:t>yr</w:t>
            </w:r>
            <w:proofErr w:type="spellEnd"/>
            <w:r>
              <w:rPr>
                <w:rFonts w:ascii="Cambria" w:hAnsi="Cambria"/>
                <w:sz w:val="20"/>
                <w:szCs w:val="20"/>
              </w:rPr>
              <w:t xml:space="preserve"> (Witt 2016); </w:t>
            </w:r>
            <w:r w:rsidRPr="0051605B">
              <w:rPr>
                <w:rFonts w:ascii="Cambria" w:hAnsi="Cambria"/>
                <w:sz w:val="20"/>
                <w:szCs w:val="20"/>
              </w:rPr>
              <w:t>Firewood: US$2/ha/</w:t>
            </w:r>
            <w:proofErr w:type="spellStart"/>
            <w:r w:rsidRPr="0051605B">
              <w:rPr>
                <w:rFonts w:ascii="Cambria" w:hAnsi="Cambria"/>
                <w:sz w:val="20"/>
                <w:szCs w:val="20"/>
              </w:rPr>
              <w:t>yr</w:t>
            </w:r>
            <w:proofErr w:type="spellEnd"/>
            <w:r>
              <w:rPr>
                <w:rFonts w:ascii="Cambria" w:hAnsi="Cambria"/>
                <w:sz w:val="20"/>
                <w:szCs w:val="20"/>
              </w:rPr>
              <w:t xml:space="preserve">, </w:t>
            </w:r>
            <w:r w:rsidRPr="0051605B">
              <w:rPr>
                <w:rFonts w:ascii="Cambria" w:hAnsi="Cambria"/>
                <w:sz w:val="20"/>
                <w:szCs w:val="20"/>
              </w:rPr>
              <w:t>Charcoal: US$5/ha/</w:t>
            </w:r>
            <w:proofErr w:type="spellStart"/>
            <w:r w:rsidRPr="0051605B">
              <w:rPr>
                <w:rFonts w:ascii="Cambria" w:hAnsi="Cambria"/>
                <w:sz w:val="20"/>
                <w:szCs w:val="20"/>
              </w:rPr>
              <w:t>yr</w:t>
            </w:r>
            <w:proofErr w:type="spellEnd"/>
            <w:r>
              <w:rPr>
                <w:rFonts w:ascii="Cambria" w:hAnsi="Cambria"/>
                <w:sz w:val="20"/>
                <w:szCs w:val="20"/>
              </w:rPr>
              <w:t xml:space="preserve">, </w:t>
            </w:r>
            <w:proofErr w:type="spellStart"/>
            <w:r w:rsidRPr="0051605B">
              <w:rPr>
                <w:rFonts w:ascii="Cambria" w:hAnsi="Cambria"/>
                <w:sz w:val="20"/>
                <w:szCs w:val="20"/>
              </w:rPr>
              <w:t>Nypa</w:t>
            </w:r>
            <w:proofErr w:type="spellEnd"/>
            <w:r w:rsidRPr="0051605B">
              <w:rPr>
                <w:rFonts w:ascii="Cambria" w:hAnsi="Cambria"/>
                <w:sz w:val="20"/>
                <w:szCs w:val="20"/>
              </w:rPr>
              <w:t xml:space="preserve"> palm crafting </w:t>
            </w:r>
            <w:proofErr w:type="spellStart"/>
            <w:r w:rsidRPr="0051605B">
              <w:rPr>
                <w:rFonts w:ascii="Cambria" w:hAnsi="Cambria"/>
                <w:sz w:val="20"/>
                <w:szCs w:val="20"/>
              </w:rPr>
              <w:t>valule</w:t>
            </w:r>
            <w:proofErr w:type="spellEnd"/>
            <w:r w:rsidRPr="0051605B">
              <w:rPr>
                <w:rFonts w:ascii="Cambria" w:hAnsi="Cambria"/>
                <w:sz w:val="20"/>
                <w:szCs w:val="20"/>
              </w:rPr>
              <w:t>: US$5/ha/</w:t>
            </w:r>
            <w:proofErr w:type="spellStart"/>
            <w:r w:rsidRPr="0051605B">
              <w:rPr>
                <w:rFonts w:ascii="Cambria" w:hAnsi="Cambria"/>
                <w:sz w:val="20"/>
                <w:szCs w:val="20"/>
              </w:rPr>
              <w:t>yr</w:t>
            </w:r>
            <w:proofErr w:type="spellEnd"/>
            <w:r>
              <w:rPr>
                <w:rFonts w:ascii="Cambria" w:hAnsi="Cambria"/>
                <w:sz w:val="20"/>
                <w:szCs w:val="20"/>
              </w:rPr>
              <w:t xml:space="preserve"> (Malik et al. 2015); </w:t>
            </w:r>
            <w:r w:rsidRPr="0047613F">
              <w:rPr>
                <w:rFonts w:ascii="Cambria" w:hAnsi="Cambria"/>
                <w:sz w:val="20"/>
                <w:szCs w:val="20"/>
              </w:rPr>
              <w:t>Fuelwood: US$88.34</w:t>
            </w:r>
            <w:r>
              <w:rPr>
                <w:rFonts w:ascii="Cambria" w:hAnsi="Cambria"/>
                <w:sz w:val="20"/>
                <w:szCs w:val="20"/>
              </w:rPr>
              <w:t xml:space="preserve">, </w:t>
            </w:r>
            <w:r w:rsidRPr="0047613F">
              <w:rPr>
                <w:rFonts w:ascii="Cambria" w:hAnsi="Cambria"/>
                <w:sz w:val="20"/>
                <w:szCs w:val="20"/>
              </w:rPr>
              <w:t>Timber: US$20.1/household/year</w:t>
            </w:r>
            <w:r>
              <w:rPr>
                <w:rFonts w:ascii="Cambria" w:hAnsi="Cambria"/>
                <w:sz w:val="20"/>
                <w:szCs w:val="20"/>
              </w:rPr>
              <w:t xml:space="preserve">, </w:t>
            </w:r>
            <w:r w:rsidRPr="0047613F">
              <w:rPr>
                <w:rFonts w:ascii="Cambria" w:hAnsi="Cambria"/>
                <w:sz w:val="20"/>
                <w:szCs w:val="20"/>
              </w:rPr>
              <w:t>Thatching material: US$2.5/household/year</w:t>
            </w:r>
            <w:r>
              <w:rPr>
                <w:rFonts w:ascii="Cambria" w:hAnsi="Cambria"/>
                <w:sz w:val="20"/>
                <w:szCs w:val="20"/>
              </w:rPr>
              <w:t xml:space="preserve"> (Hussain and </w:t>
            </w:r>
            <w:proofErr w:type="spellStart"/>
            <w:r>
              <w:rPr>
                <w:rFonts w:ascii="Cambria" w:hAnsi="Cambria"/>
                <w:sz w:val="20"/>
                <w:szCs w:val="20"/>
              </w:rPr>
              <w:t>Badola</w:t>
            </w:r>
            <w:proofErr w:type="spellEnd"/>
            <w:r>
              <w:rPr>
                <w:rFonts w:ascii="Cambria" w:hAnsi="Cambria"/>
                <w:sz w:val="20"/>
                <w:szCs w:val="20"/>
              </w:rPr>
              <w:t xml:space="preserve"> 2010); </w:t>
            </w:r>
            <w:r w:rsidRPr="00760071">
              <w:rPr>
                <w:rFonts w:ascii="Cambria" w:hAnsi="Cambria"/>
                <w:sz w:val="20"/>
                <w:szCs w:val="20"/>
              </w:rPr>
              <w:t>Fertilizer industry: US$50/ha/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 </w:t>
            </w:r>
            <w:r w:rsidRPr="00586C1D">
              <w:rPr>
                <w:rFonts w:ascii="Cambria" w:hAnsi="Cambria"/>
                <w:sz w:val="20"/>
                <w:szCs w:val="20"/>
              </w:rPr>
              <w:t>Total gross mangrove product (Sri Lanka): US$1,771/household/</w:t>
            </w:r>
            <w:proofErr w:type="spellStart"/>
            <w:r w:rsidRPr="00586C1D">
              <w:rPr>
                <w:rFonts w:ascii="Cambria" w:hAnsi="Cambria"/>
                <w:sz w:val="20"/>
                <w:szCs w:val="20"/>
              </w:rPr>
              <w:t>yr</w:t>
            </w:r>
            <w:proofErr w:type="spellEnd"/>
            <w:r w:rsidRPr="00586C1D">
              <w:rPr>
                <w:rFonts w:ascii="Cambria" w:hAnsi="Cambria"/>
                <w:sz w:val="20"/>
                <w:szCs w:val="20"/>
              </w:rPr>
              <w:t xml:space="preserve"> and US$9,201/ha/</w:t>
            </w:r>
            <w:proofErr w:type="spellStart"/>
            <w:r w:rsidRPr="00586C1D">
              <w:rPr>
                <w:rFonts w:ascii="Cambria" w:hAnsi="Cambria"/>
                <w:sz w:val="20"/>
                <w:szCs w:val="20"/>
              </w:rPr>
              <w:t>yr</w:t>
            </w:r>
            <w:proofErr w:type="spellEnd"/>
            <w:r>
              <w:rPr>
                <w:rFonts w:ascii="Cambria" w:hAnsi="Cambria"/>
                <w:sz w:val="20"/>
                <w:szCs w:val="20"/>
              </w:rPr>
              <w:t>,</w:t>
            </w:r>
          </w:p>
          <w:p w14:paraId="76959867" w14:textId="60E93C13" w:rsidR="00A01A99" w:rsidRPr="00761424" w:rsidRDefault="00A01A99" w:rsidP="00736B28">
            <w:pPr>
              <w:spacing w:after="0" w:line="240" w:lineRule="auto"/>
              <w:jc w:val="center"/>
              <w:rPr>
                <w:rFonts w:ascii="Cambria" w:eastAsia="Times New Roman" w:hAnsi="Cambria" w:cs="Times New Roman"/>
                <w:color w:val="000000"/>
                <w:sz w:val="20"/>
                <w:szCs w:val="20"/>
              </w:rPr>
            </w:pPr>
            <w:r w:rsidRPr="00586C1D">
              <w:rPr>
                <w:rFonts w:ascii="Cambria" w:hAnsi="Cambria"/>
                <w:sz w:val="20"/>
                <w:szCs w:val="20"/>
              </w:rPr>
              <w:t>Total gross mangrove product (Thailand): US$9443-14428/household/</w:t>
            </w:r>
            <w:proofErr w:type="spellStart"/>
            <w:r w:rsidRPr="00586C1D">
              <w:rPr>
                <w:rFonts w:ascii="Cambria" w:hAnsi="Cambria"/>
                <w:sz w:val="20"/>
                <w:szCs w:val="20"/>
              </w:rPr>
              <w:t>yr</w:t>
            </w:r>
            <w:proofErr w:type="spellEnd"/>
            <w:r w:rsidRPr="00586C1D">
              <w:rPr>
                <w:rFonts w:ascii="Cambria" w:hAnsi="Cambria"/>
                <w:sz w:val="20"/>
                <w:szCs w:val="20"/>
              </w:rPr>
              <w:t xml:space="preserve"> and US$1336-3306/ha/</w:t>
            </w:r>
            <w:proofErr w:type="spellStart"/>
            <w:r w:rsidRPr="00586C1D">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Kallesoe</w:t>
            </w:r>
            <w:proofErr w:type="spellEnd"/>
            <w:r>
              <w:rPr>
                <w:rFonts w:ascii="Cambria" w:hAnsi="Cambria"/>
                <w:sz w:val="20"/>
                <w:szCs w:val="20"/>
              </w:rPr>
              <w:t xml:space="preserve"> et al. 2008)</w:t>
            </w:r>
          </w:p>
        </w:tc>
        <w:tc>
          <w:tcPr>
            <w:tcW w:w="1260" w:type="dxa"/>
            <w:tcBorders>
              <w:top w:val="single" w:sz="4" w:space="0" w:color="auto"/>
              <w:left w:val="nil"/>
              <w:bottom w:val="single" w:sz="4" w:space="0" w:color="auto"/>
              <w:right w:val="single" w:sz="2" w:space="0" w:color="auto"/>
            </w:tcBorders>
            <w:shd w:val="clear" w:color="000000" w:fill="E2EFDA"/>
          </w:tcPr>
          <w:p w14:paraId="197F562D" w14:textId="29760E00" w:rsidR="00A01A99" w:rsidRPr="00761424" w:rsidRDefault="001C5A91" w:rsidP="00736B28">
            <w:pPr>
              <w:spacing w:after="0" w:line="240" w:lineRule="auto"/>
              <w:jc w:val="center"/>
              <w:rPr>
                <w:rFonts w:ascii="Cambria" w:hAnsi="Cambria"/>
                <w:sz w:val="20"/>
                <w:szCs w:val="20"/>
              </w:rPr>
            </w:pPr>
            <w:r w:rsidRPr="001C5A91">
              <w:rPr>
                <w:rFonts w:ascii="Cambria" w:hAnsi="Cambria"/>
                <w:sz w:val="20"/>
                <w:szCs w:val="20"/>
              </w:rPr>
              <w:lastRenderedPageBreak/>
              <w:t>Wood and non-wood products</w:t>
            </w:r>
            <w:r w:rsidR="00736B28">
              <w:rPr>
                <w:rFonts w:ascii="Cambria" w:hAnsi="Cambria"/>
                <w:sz w:val="20"/>
                <w:szCs w:val="20"/>
              </w:rPr>
              <w:t>:</w:t>
            </w:r>
            <w:r w:rsidRPr="001C5A91">
              <w:rPr>
                <w:rFonts w:ascii="Cambria" w:hAnsi="Cambria"/>
                <w:sz w:val="20"/>
                <w:szCs w:val="20"/>
              </w:rPr>
              <w:t xml:space="preserve"> </w:t>
            </w:r>
            <w:r>
              <w:rPr>
                <w:rFonts w:ascii="Cambria" w:hAnsi="Cambria"/>
                <w:sz w:val="20"/>
                <w:szCs w:val="20"/>
              </w:rPr>
              <w:t>US</w:t>
            </w:r>
            <w:r w:rsidRPr="001C5A91">
              <w:rPr>
                <w:rFonts w:ascii="Cambria" w:hAnsi="Cambria"/>
                <w:sz w:val="20"/>
                <w:szCs w:val="20"/>
              </w:rPr>
              <w:t>$101/ha/</w:t>
            </w:r>
            <w:proofErr w:type="spellStart"/>
            <w:r w:rsidRPr="001C5A9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Barbier</w:t>
            </w:r>
            <w:proofErr w:type="spellEnd"/>
            <w:r>
              <w:rPr>
                <w:rFonts w:ascii="Cambria" w:hAnsi="Cambria"/>
                <w:sz w:val="20"/>
                <w:szCs w:val="20"/>
              </w:rPr>
              <w:t xml:space="preserve"> 2012)</w:t>
            </w:r>
          </w:p>
        </w:tc>
        <w:tc>
          <w:tcPr>
            <w:tcW w:w="1170" w:type="dxa"/>
            <w:tcBorders>
              <w:top w:val="nil"/>
              <w:left w:val="single" w:sz="2" w:space="0" w:color="auto"/>
              <w:bottom w:val="single" w:sz="4" w:space="0" w:color="auto"/>
              <w:right w:val="single" w:sz="2" w:space="0" w:color="auto"/>
            </w:tcBorders>
            <w:shd w:val="clear" w:color="000000" w:fill="E2EFDA"/>
          </w:tcPr>
          <w:p w14:paraId="1ACD7A19" w14:textId="13F27BB5" w:rsidR="00A01A99" w:rsidRDefault="00D83700" w:rsidP="00736B28">
            <w:pPr>
              <w:spacing w:after="0" w:line="240" w:lineRule="auto"/>
              <w:jc w:val="center"/>
              <w:rPr>
                <w:rFonts w:ascii="Cambria" w:hAnsi="Cambria"/>
                <w:sz w:val="20"/>
                <w:szCs w:val="20"/>
              </w:rPr>
            </w:pPr>
            <w:r w:rsidRPr="00D83700">
              <w:rPr>
                <w:rFonts w:ascii="Cambria" w:hAnsi="Cambria"/>
                <w:sz w:val="20"/>
                <w:szCs w:val="20"/>
              </w:rPr>
              <w:t>Forestry products: US$5,100/ha/</w:t>
            </w:r>
            <w:proofErr w:type="spellStart"/>
            <w:r w:rsidRPr="00D83700">
              <w:rPr>
                <w:rFonts w:ascii="Cambria" w:hAnsi="Cambria"/>
                <w:sz w:val="20"/>
                <w:szCs w:val="20"/>
              </w:rPr>
              <w:t>yr</w:t>
            </w:r>
            <w:proofErr w:type="spellEnd"/>
            <w:r>
              <w:rPr>
                <w:rFonts w:ascii="Cambria" w:hAnsi="Cambria"/>
                <w:sz w:val="20"/>
                <w:szCs w:val="20"/>
              </w:rPr>
              <w:t xml:space="preserve"> (1998-2001 average, Christensen et al. 2008)</w:t>
            </w:r>
          </w:p>
        </w:tc>
        <w:tc>
          <w:tcPr>
            <w:tcW w:w="1170" w:type="dxa"/>
            <w:tcBorders>
              <w:top w:val="nil"/>
              <w:left w:val="single" w:sz="2" w:space="0" w:color="auto"/>
              <w:bottom w:val="single" w:sz="4" w:space="0" w:color="auto"/>
              <w:right w:val="single" w:sz="2" w:space="0" w:color="auto"/>
            </w:tcBorders>
            <w:shd w:val="clear" w:color="000000" w:fill="E2EFDA"/>
          </w:tcPr>
          <w:p w14:paraId="3D97E16E" w14:textId="5679D42C"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0A905F7" w14:textId="5BDD6313" w:rsidR="00D83700" w:rsidRPr="00D83700" w:rsidRDefault="00D83700" w:rsidP="00736B28">
            <w:pPr>
              <w:spacing w:after="0" w:line="240" w:lineRule="auto"/>
              <w:jc w:val="center"/>
              <w:rPr>
                <w:rFonts w:ascii="Cambria" w:hAnsi="Cambria"/>
                <w:sz w:val="20"/>
                <w:szCs w:val="20"/>
              </w:rPr>
            </w:pPr>
            <w:r w:rsidRPr="00D83700">
              <w:rPr>
                <w:rFonts w:ascii="Cambria" w:hAnsi="Cambria"/>
                <w:sz w:val="20"/>
                <w:szCs w:val="20"/>
              </w:rPr>
              <w:t>Timber: US$400,000/</w:t>
            </w:r>
            <w:proofErr w:type="spellStart"/>
            <w:r w:rsidRPr="00D83700">
              <w:rPr>
                <w:rFonts w:ascii="Cambria" w:hAnsi="Cambria"/>
                <w:sz w:val="20"/>
                <w:szCs w:val="20"/>
              </w:rPr>
              <w:t>yr</w:t>
            </w:r>
            <w:proofErr w:type="spellEnd"/>
            <w:r>
              <w:rPr>
                <w:rFonts w:ascii="Cambria" w:hAnsi="Cambria"/>
                <w:sz w:val="20"/>
                <w:szCs w:val="20"/>
              </w:rPr>
              <w:t>,</w:t>
            </w:r>
          </w:p>
          <w:p w14:paraId="07DD626F" w14:textId="3F1791B5" w:rsidR="00A01A99" w:rsidRDefault="00D83700" w:rsidP="00736B28">
            <w:pPr>
              <w:spacing w:after="0" w:line="240" w:lineRule="auto"/>
              <w:jc w:val="center"/>
              <w:rPr>
                <w:rFonts w:ascii="Cambria" w:hAnsi="Cambria"/>
                <w:sz w:val="20"/>
                <w:szCs w:val="20"/>
              </w:rPr>
            </w:pPr>
            <w:r w:rsidRPr="00D83700">
              <w:rPr>
                <w:rFonts w:ascii="Cambria" w:hAnsi="Cambria"/>
                <w:sz w:val="20"/>
                <w:szCs w:val="20"/>
              </w:rPr>
              <w:t>Thatching materials: US$60,000/</w:t>
            </w:r>
            <w:proofErr w:type="spellStart"/>
            <w:r w:rsidRPr="00D83700">
              <w:rPr>
                <w:rFonts w:ascii="Cambria" w:hAnsi="Cambria"/>
                <w:sz w:val="20"/>
                <w:szCs w:val="20"/>
              </w:rPr>
              <w:t>yr</w:t>
            </w:r>
            <w:proofErr w:type="spellEnd"/>
            <w:r>
              <w:rPr>
                <w:rFonts w:ascii="Cambria" w:hAnsi="Cambria"/>
                <w:sz w:val="20"/>
                <w:szCs w:val="20"/>
              </w:rPr>
              <w:t xml:space="preserve">, </w:t>
            </w:r>
            <w:r w:rsidRPr="00D83700">
              <w:rPr>
                <w:rFonts w:ascii="Cambria" w:hAnsi="Cambria"/>
                <w:sz w:val="20"/>
                <w:szCs w:val="20"/>
              </w:rPr>
              <w:t>Fuel wood:  US$60,000/</w:t>
            </w:r>
            <w:proofErr w:type="spellStart"/>
            <w:r w:rsidRPr="00D83700">
              <w:rPr>
                <w:rFonts w:ascii="Cambria" w:hAnsi="Cambria"/>
                <w:sz w:val="20"/>
                <w:szCs w:val="20"/>
              </w:rPr>
              <w:t>yr</w:t>
            </w:r>
            <w:proofErr w:type="spellEnd"/>
            <w:r>
              <w:rPr>
                <w:rFonts w:ascii="Cambria" w:hAnsi="Cambria"/>
                <w:sz w:val="20"/>
                <w:szCs w:val="20"/>
              </w:rPr>
              <w:t xml:space="preserve"> (</w:t>
            </w:r>
            <w:r w:rsidRPr="00D83700">
              <w:rPr>
                <w:rFonts w:ascii="Cambria" w:hAnsi="Cambria"/>
                <w:sz w:val="20"/>
                <w:szCs w:val="20"/>
              </w:rPr>
              <w:t>2001-</w:t>
            </w:r>
            <w:r w:rsidRPr="00D83700">
              <w:rPr>
                <w:rFonts w:ascii="Cambria" w:hAnsi="Cambria"/>
                <w:sz w:val="20"/>
                <w:szCs w:val="20"/>
              </w:rPr>
              <w:lastRenderedPageBreak/>
              <w:t xml:space="preserve">2010 average, </w:t>
            </w:r>
            <w:r>
              <w:rPr>
                <w:rFonts w:ascii="Cambria" w:hAnsi="Cambria"/>
                <w:sz w:val="20"/>
                <w:szCs w:val="20"/>
              </w:rPr>
              <w:t>Uddin et al. 2013)</w:t>
            </w:r>
          </w:p>
        </w:tc>
        <w:tc>
          <w:tcPr>
            <w:tcW w:w="1170" w:type="dxa"/>
            <w:tcBorders>
              <w:top w:val="nil"/>
              <w:left w:val="single" w:sz="2" w:space="0" w:color="auto"/>
              <w:bottom w:val="single" w:sz="4" w:space="0" w:color="auto"/>
              <w:right w:val="single" w:sz="2" w:space="0" w:color="auto"/>
            </w:tcBorders>
            <w:shd w:val="clear" w:color="000000" w:fill="E2EFDA"/>
          </w:tcPr>
          <w:p w14:paraId="1CC10924" w14:textId="743DF498" w:rsidR="00A01A99" w:rsidRPr="00761424" w:rsidRDefault="00A01A99"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34885D68" w14:textId="048A746D" w:rsidR="00A01A99" w:rsidRPr="00761424" w:rsidRDefault="001C5A91" w:rsidP="00736B28">
            <w:pPr>
              <w:spacing w:after="0" w:line="240" w:lineRule="auto"/>
              <w:jc w:val="center"/>
              <w:rPr>
                <w:rFonts w:ascii="Cambria" w:hAnsi="Cambria"/>
                <w:sz w:val="20"/>
                <w:szCs w:val="20"/>
              </w:rPr>
            </w:pPr>
            <w:r w:rsidRPr="001C5A91">
              <w:rPr>
                <w:rFonts w:ascii="Cambria" w:hAnsi="Cambria"/>
                <w:sz w:val="20"/>
                <w:szCs w:val="20"/>
              </w:rPr>
              <w:t>Raw material (incl. medicinal plants): US$30.5/ha/year</w:t>
            </w:r>
            <w:r>
              <w:rPr>
                <w:rFonts w:ascii="Cambria" w:hAnsi="Cambria"/>
                <w:sz w:val="20"/>
                <w:szCs w:val="20"/>
              </w:rPr>
              <w:t xml:space="preserve"> (</w:t>
            </w:r>
            <w:proofErr w:type="spellStart"/>
            <w:r>
              <w:rPr>
                <w:rFonts w:ascii="Cambria" w:hAnsi="Cambria"/>
                <w:sz w:val="20"/>
                <w:szCs w:val="20"/>
              </w:rPr>
              <w:t>Janekarnkij</w:t>
            </w:r>
            <w:proofErr w:type="spellEnd"/>
            <w:r>
              <w:rPr>
                <w:rFonts w:ascii="Cambria" w:hAnsi="Cambria"/>
                <w:sz w:val="20"/>
                <w:szCs w:val="20"/>
              </w:rPr>
              <w:t xml:space="preserve"> 2010)</w:t>
            </w:r>
            <w:r w:rsidR="00EA2AAC">
              <w:rPr>
                <w:rFonts w:ascii="Cambria" w:hAnsi="Cambria"/>
                <w:sz w:val="20"/>
                <w:szCs w:val="20"/>
              </w:rPr>
              <w:t xml:space="preserve">; </w:t>
            </w:r>
            <w:r w:rsidR="00EA2AAC" w:rsidRPr="00EA2AAC">
              <w:rPr>
                <w:rFonts w:ascii="Cambria" w:hAnsi="Cambria"/>
                <w:sz w:val="20"/>
                <w:szCs w:val="20"/>
              </w:rPr>
              <w:t xml:space="preserve">Timber </w:t>
            </w:r>
            <w:r w:rsidR="00EA2AAC" w:rsidRPr="00EA2AAC">
              <w:rPr>
                <w:rFonts w:ascii="Cambria" w:hAnsi="Cambria"/>
                <w:sz w:val="20"/>
                <w:szCs w:val="20"/>
              </w:rPr>
              <w:lastRenderedPageBreak/>
              <w:t>a</w:t>
            </w:r>
            <w:r w:rsidR="00EA2AAC">
              <w:rPr>
                <w:rFonts w:ascii="Cambria" w:hAnsi="Cambria"/>
                <w:sz w:val="20"/>
                <w:szCs w:val="20"/>
              </w:rPr>
              <w:t>nd building material provisions:</w:t>
            </w:r>
            <w:r w:rsidR="00EA2AAC" w:rsidRPr="00EA2AAC">
              <w:rPr>
                <w:rFonts w:ascii="Cambria" w:hAnsi="Cambria"/>
                <w:sz w:val="20"/>
                <w:szCs w:val="20"/>
              </w:rPr>
              <w:t xml:space="preserve"> $89.59 to $101.42 per ha</w:t>
            </w:r>
            <w:r w:rsidR="00EA2AAC">
              <w:rPr>
                <w:rFonts w:ascii="Cambria" w:hAnsi="Cambria"/>
                <w:sz w:val="20"/>
                <w:szCs w:val="20"/>
              </w:rPr>
              <w:t xml:space="preserve"> (Clark et al. 2012)</w:t>
            </w:r>
          </w:p>
        </w:tc>
        <w:tc>
          <w:tcPr>
            <w:tcW w:w="1170" w:type="dxa"/>
            <w:tcBorders>
              <w:top w:val="nil"/>
              <w:left w:val="single" w:sz="2" w:space="0" w:color="auto"/>
              <w:bottom w:val="single" w:sz="4" w:space="0" w:color="auto"/>
              <w:right w:val="single" w:sz="4" w:space="0" w:color="auto"/>
            </w:tcBorders>
            <w:shd w:val="clear" w:color="000000" w:fill="E2EFDA"/>
          </w:tcPr>
          <w:p w14:paraId="6E742284" w14:textId="77777777" w:rsidR="00A01A99" w:rsidRPr="00761424" w:rsidRDefault="00A01A99" w:rsidP="00736B28">
            <w:pPr>
              <w:spacing w:after="0" w:line="240" w:lineRule="auto"/>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64048C7F" w14:textId="1699939F" w:rsidR="00A01A99" w:rsidRPr="00761424" w:rsidRDefault="00A01A99" w:rsidP="00736B28">
            <w:pPr>
              <w:spacing w:after="0" w:line="240" w:lineRule="auto"/>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1D8EBF54" w14:textId="3C24894A" w:rsidR="00A01A99" w:rsidRPr="00761424" w:rsidRDefault="00FD4A42" w:rsidP="00736B28">
            <w:pPr>
              <w:spacing w:after="0" w:line="240" w:lineRule="auto"/>
              <w:jc w:val="center"/>
              <w:rPr>
                <w:rFonts w:ascii="Cambria" w:hAnsi="Cambria"/>
                <w:sz w:val="20"/>
                <w:szCs w:val="20"/>
              </w:rPr>
            </w:pPr>
            <w:r w:rsidRPr="00FD4A42">
              <w:rPr>
                <w:rFonts w:ascii="Cambria" w:hAnsi="Cambria"/>
                <w:sz w:val="20"/>
                <w:szCs w:val="20"/>
              </w:rPr>
              <w:t xml:space="preserve">Timber: 279,770.44 </w:t>
            </w:r>
            <w:proofErr w:type="spellStart"/>
            <w:r w:rsidRPr="00FD4A42">
              <w:rPr>
                <w:rFonts w:ascii="Cambria" w:hAnsi="Cambria"/>
                <w:sz w:val="20"/>
                <w:szCs w:val="20"/>
              </w:rPr>
              <w:t>PhP</w:t>
            </w:r>
            <w:proofErr w:type="spellEnd"/>
            <w:r w:rsidRPr="00FD4A42">
              <w:rPr>
                <w:rFonts w:ascii="Cambria" w:hAnsi="Cambria"/>
                <w:sz w:val="20"/>
                <w:szCs w:val="20"/>
              </w:rPr>
              <w:t>/km2/</w:t>
            </w:r>
            <w:proofErr w:type="spellStart"/>
            <w:r w:rsidRPr="00FD4A42">
              <w:rPr>
                <w:rFonts w:ascii="Cambria" w:hAnsi="Cambria"/>
                <w:sz w:val="20"/>
                <w:szCs w:val="20"/>
              </w:rPr>
              <w:t>yr</w:t>
            </w:r>
            <w:proofErr w:type="spellEnd"/>
            <w:r w:rsidR="00060278">
              <w:rPr>
                <w:rFonts w:ascii="Cambria" w:hAnsi="Cambria"/>
                <w:sz w:val="20"/>
                <w:szCs w:val="20"/>
              </w:rPr>
              <w:t xml:space="preserve"> (Padilla 2008); </w:t>
            </w:r>
            <w:r w:rsidR="00060278" w:rsidRPr="00060278">
              <w:rPr>
                <w:rFonts w:ascii="Cambria" w:hAnsi="Cambria"/>
                <w:sz w:val="20"/>
                <w:szCs w:val="20"/>
              </w:rPr>
              <w:t>Poles: US$4,328.27/ha of the plantation</w:t>
            </w:r>
            <w:r w:rsidR="00060278">
              <w:rPr>
                <w:rFonts w:ascii="Cambria" w:hAnsi="Cambria"/>
                <w:sz w:val="20"/>
                <w:szCs w:val="20"/>
              </w:rPr>
              <w:t xml:space="preserve">, </w:t>
            </w:r>
            <w:r w:rsidR="00060278" w:rsidRPr="00060278">
              <w:rPr>
                <w:rFonts w:ascii="Cambria" w:hAnsi="Cambria"/>
                <w:sz w:val="20"/>
                <w:szCs w:val="20"/>
              </w:rPr>
              <w:t xml:space="preserve">Fuelwood: </w:t>
            </w:r>
            <w:r w:rsidR="00060278" w:rsidRPr="00060278">
              <w:rPr>
                <w:rFonts w:ascii="Cambria" w:hAnsi="Cambria"/>
                <w:sz w:val="20"/>
                <w:szCs w:val="20"/>
              </w:rPr>
              <w:lastRenderedPageBreak/>
              <w:t>US$222.07/ha of the plantation</w:t>
            </w:r>
            <w:r w:rsidR="00060278">
              <w:rPr>
                <w:rFonts w:ascii="Cambria" w:hAnsi="Cambria"/>
                <w:sz w:val="20"/>
                <w:szCs w:val="20"/>
              </w:rPr>
              <w:t xml:space="preserve"> (</w:t>
            </w:r>
            <w:proofErr w:type="spellStart"/>
            <w:r w:rsidR="00060278">
              <w:rPr>
                <w:rFonts w:ascii="Cambria" w:hAnsi="Cambria"/>
                <w:sz w:val="20"/>
                <w:szCs w:val="20"/>
              </w:rPr>
              <w:t>Kairo</w:t>
            </w:r>
            <w:proofErr w:type="spellEnd"/>
            <w:r w:rsidR="00060278">
              <w:rPr>
                <w:rFonts w:ascii="Cambria" w:hAnsi="Cambria"/>
                <w:sz w:val="20"/>
                <w:szCs w:val="20"/>
              </w:rPr>
              <w:t xml:space="preserve"> et al. 2009); </w:t>
            </w:r>
            <w:r w:rsidR="00060278" w:rsidRPr="00060278">
              <w:rPr>
                <w:rFonts w:ascii="Cambria" w:hAnsi="Cambria"/>
                <w:sz w:val="20"/>
                <w:szCs w:val="20"/>
              </w:rPr>
              <w:t>Raw materials: US$1.45/ha/</w:t>
            </w:r>
            <w:proofErr w:type="spellStart"/>
            <w:r w:rsidR="00060278" w:rsidRPr="00060278">
              <w:rPr>
                <w:rFonts w:ascii="Cambria" w:hAnsi="Cambria"/>
                <w:sz w:val="20"/>
                <w:szCs w:val="20"/>
              </w:rPr>
              <w:t>yr</w:t>
            </w:r>
            <w:proofErr w:type="spellEnd"/>
            <w:r w:rsidR="00060278">
              <w:rPr>
                <w:rFonts w:ascii="Cambria" w:hAnsi="Cambria"/>
                <w:sz w:val="20"/>
                <w:szCs w:val="20"/>
              </w:rPr>
              <w:t xml:space="preserve"> (</w:t>
            </w:r>
            <w:r w:rsidR="00060278">
              <w:rPr>
                <w:rFonts w:ascii="Cambria" w:eastAsia="Times New Roman" w:hAnsi="Cambria" w:cs="Times New Roman"/>
                <w:color w:val="000000"/>
                <w:sz w:val="20"/>
                <w:szCs w:val="20"/>
              </w:rPr>
              <w:t>Mendoza-González et al. 2012)</w:t>
            </w:r>
          </w:p>
        </w:tc>
      </w:tr>
      <w:tr w:rsidR="00A01A99" w:rsidRPr="00761424" w14:paraId="2DE76855" w14:textId="77777777" w:rsidTr="00D80463">
        <w:trPr>
          <w:trHeight w:val="719"/>
        </w:trPr>
        <w:tc>
          <w:tcPr>
            <w:tcW w:w="1260" w:type="dxa"/>
            <w:tcBorders>
              <w:top w:val="nil"/>
              <w:left w:val="single" w:sz="4" w:space="0" w:color="auto"/>
              <w:bottom w:val="single" w:sz="4" w:space="0" w:color="auto"/>
              <w:right w:val="single" w:sz="4" w:space="0" w:color="auto"/>
            </w:tcBorders>
            <w:shd w:val="clear" w:color="000000" w:fill="A8D08D"/>
            <w:hideMark/>
          </w:tcPr>
          <w:p w14:paraId="0FA67B6C"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lastRenderedPageBreak/>
              <w:t>Regulating services</w:t>
            </w:r>
          </w:p>
        </w:tc>
        <w:tc>
          <w:tcPr>
            <w:tcW w:w="2430" w:type="dxa"/>
            <w:tcBorders>
              <w:top w:val="nil"/>
              <w:left w:val="nil"/>
              <w:bottom w:val="single" w:sz="4" w:space="0" w:color="auto"/>
              <w:right w:val="single" w:sz="4" w:space="0" w:color="auto"/>
            </w:tcBorders>
            <w:shd w:val="clear" w:color="000000" w:fill="A8D08D"/>
          </w:tcPr>
          <w:p w14:paraId="00D9A738"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260" w:type="dxa"/>
            <w:tcBorders>
              <w:top w:val="single" w:sz="4" w:space="0" w:color="auto"/>
              <w:left w:val="nil"/>
              <w:bottom w:val="single" w:sz="4" w:space="0" w:color="auto"/>
              <w:right w:val="single" w:sz="2" w:space="0" w:color="auto"/>
            </w:tcBorders>
            <w:shd w:val="clear" w:color="000000" w:fill="A8D08D"/>
          </w:tcPr>
          <w:p w14:paraId="51E9C6C7"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122958FF"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486384CB" w14:textId="1D243C48"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4DB8D1CB"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264F9D6A" w14:textId="75F18644"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A8D08D"/>
          </w:tcPr>
          <w:p w14:paraId="5756C4E5"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A8D08D"/>
          </w:tcPr>
          <w:p w14:paraId="36CC79C8"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080" w:type="dxa"/>
            <w:tcBorders>
              <w:top w:val="nil"/>
              <w:left w:val="single" w:sz="2" w:space="0" w:color="auto"/>
              <w:bottom w:val="single" w:sz="4" w:space="0" w:color="auto"/>
              <w:right w:val="single" w:sz="4" w:space="0" w:color="auto"/>
            </w:tcBorders>
            <w:shd w:val="clear" w:color="000000" w:fill="A8D08D"/>
          </w:tcPr>
          <w:p w14:paraId="38F0BFAC" w14:textId="1CCE02D6"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260" w:type="dxa"/>
            <w:tcBorders>
              <w:top w:val="nil"/>
              <w:left w:val="nil"/>
              <w:bottom w:val="single" w:sz="4" w:space="0" w:color="auto"/>
              <w:right w:val="single" w:sz="4" w:space="0" w:color="auto"/>
            </w:tcBorders>
            <w:shd w:val="clear" w:color="000000" w:fill="A8D08D"/>
          </w:tcPr>
          <w:p w14:paraId="06F60966"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r>
      <w:tr w:rsidR="00A01A99" w:rsidRPr="004368D7" w14:paraId="1274F76D" w14:textId="77777777" w:rsidTr="00D80463">
        <w:trPr>
          <w:trHeight w:val="701"/>
        </w:trPr>
        <w:tc>
          <w:tcPr>
            <w:tcW w:w="1260" w:type="dxa"/>
            <w:tcBorders>
              <w:top w:val="nil"/>
              <w:left w:val="single" w:sz="4" w:space="0" w:color="auto"/>
              <w:bottom w:val="single" w:sz="4" w:space="0" w:color="auto"/>
              <w:right w:val="single" w:sz="4" w:space="0" w:color="auto"/>
            </w:tcBorders>
            <w:shd w:val="clear" w:color="000000" w:fill="E2EFDA"/>
            <w:hideMark/>
          </w:tcPr>
          <w:p w14:paraId="219A3F07"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Waste treatment</w:t>
            </w:r>
          </w:p>
        </w:tc>
        <w:tc>
          <w:tcPr>
            <w:tcW w:w="2430" w:type="dxa"/>
            <w:tcBorders>
              <w:top w:val="nil"/>
              <w:left w:val="nil"/>
              <w:bottom w:val="single" w:sz="4" w:space="0" w:color="auto"/>
              <w:right w:val="single" w:sz="4" w:space="0" w:color="auto"/>
            </w:tcBorders>
            <w:shd w:val="clear" w:color="000000" w:fill="E2EFDA"/>
          </w:tcPr>
          <w:p w14:paraId="32A32756" w14:textId="77777777" w:rsidR="00A01A99" w:rsidRPr="000E2ED3" w:rsidRDefault="00A01A99" w:rsidP="00736B28">
            <w:pPr>
              <w:spacing w:after="0" w:line="240" w:lineRule="auto"/>
              <w:jc w:val="center"/>
              <w:rPr>
                <w:rFonts w:ascii="Cambria" w:eastAsia="Times New Roman" w:hAnsi="Cambria" w:cs="Times New Roman"/>
                <w:color w:val="000000"/>
                <w:sz w:val="20"/>
                <w:szCs w:val="20"/>
              </w:rPr>
            </w:pPr>
            <w:r w:rsidRPr="000E2ED3">
              <w:rPr>
                <w:rFonts w:ascii="Cambria" w:eastAsia="Times New Roman" w:hAnsi="Cambria" w:cs="Times New Roman"/>
                <w:color w:val="000000"/>
                <w:sz w:val="20"/>
                <w:szCs w:val="20"/>
              </w:rPr>
              <w:t>Pollution filtration: US$260/ha/</w:t>
            </w:r>
            <w:proofErr w:type="spellStart"/>
            <w:r w:rsidRPr="000E2ED3">
              <w:rPr>
                <w:rFonts w:ascii="Cambria" w:eastAsia="Times New Roman" w:hAnsi="Cambria" w:cs="Times New Roman"/>
                <w:color w:val="000000"/>
                <w:sz w:val="20"/>
                <w:szCs w:val="20"/>
              </w:rPr>
              <w:t>yr</w:t>
            </w:r>
            <w:proofErr w:type="spellEnd"/>
          </w:p>
          <w:p w14:paraId="3570A139" w14:textId="7E639E47" w:rsidR="00A01A99" w:rsidRPr="00761424" w:rsidRDefault="00A01A99" w:rsidP="00736B28">
            <w:pPr>
              <w:spacing w:after="0" w:line="240" w:lineRule="auto"/>
              <w:jc w:val="center"/>
              <w:rPr>
                <w:rFonts w:ascii="Cambria" w:eastAsia="Times New Roman" w:hAnsi="Cambria" w:cs="Times New Roman"/>
                <w:color w:val="000000"/>
                <w:sz w:val="20"/>
                <w:szCs w:val="20"/>
              </w:rPr>
            </w:pPr>
            <w:r w:rsidRPr="000E2ED3">
              <w:rPr>
                <w:rFonts w:ascii="Cambria" w:eastAsia="Times New Roman" w:hAnsi="Cambria" w:cs="Times New Roman"/>
                <w:color w:val="000000"/>
                <w:sz w:val="20"/>
                <w:szCs w:val="20"/>
              </w:rPr>
              <w:t>Heavy metal removal: US$150/ha/</w:t>
            </w:r>
            <w:proofErr w:type="spellStart"/>
            <w:r w:rsidRPr="000E2ED3">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0E2ED3">
              <w:rPr>
                <w:rFonts w:ascii="Cambria" w:eastAsia="Times New Roman" w:hAnsi="Cambria" w:cs="Times New Roman"/>
                <w:color w:val="000000"/>
                <w:sz w:val="20"/>
                <w:szCs w:val="20"/>
              </w:rPr>
              <w:t>Chemical pollution absorption: US$350/ha/</w:t>
            </w:r>
            <w:proofErr w:type="spellStart"/>
            <w:r w:rsidRPr="000E2ED3">
              <w:rPr>
                <w:rFonts w:ascii="Cambria" w:eastAsia="Times New Roman" w:hAnsi="Cambria" w:cs="Times New Roman"/>
                <w:color w:val="000000"/>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51605B">
              <w:rPr>
                <w:rFonts w:ascii="Cambria" w:hAnsi="Cambria"/>
                <w:sz w:val="20"/>
                <w:szCs w:val="20"/>
              </w:rPr>
              <w:t>Water and waste treatment: 0.17 M €/km²/year</w:t>
            </w:r>
            <w:r>
              <w:rPr>
                <w:rFonts w:ascii="Cambria" w:hAnsi="Cambria"/>
                <w:sz w:val="20"/>
                <w:szCs w:val="20"/>
              </w:rPr>
              <w:t xml:space="preserve"> (</w:t>
            </w:r>
            <w:proofErr w:type="spellStart"/>
            <w:r>
              <w:rPr>
                <w:rFonts w:ascii="Cambria" w:hAnsi="Cambria"/>
                <w:sz w:val="20"/>
                <w:szCs w:val="20"/>
              </w:rPr>
              <w:t>Failler</w:t>
            </w:r>
            <w:proofErr w:type="spellEnd"/>
            <w:r>
              <w:rPr>
                <w:rFonts w:ascii="Cambria" w:hAnsi="Cambria"/>
                <w:sz w:val="20"/>
                <w:szCs w:val="20"/>
              </w:rPr>
              <w:t xml:space="preserve"> et al. </w:t>
            </w:r>
            <w:r>
              <w:rPr>
                <w:rFonts w:ascii="Cambria" w:hAnsi="Cambria"/>
                <w:sz w:val="20"/>
                <w:szCs w:val="20"/>
              </w:rPr>
              <w:lastRenderedPageBreak/>
              <w:t xml:space="preserve">2015); </w:t>
            </w:r>
            <w:r w:rsidRPr="0047613F">
              <w:rPr>
                <w:rFonts w:ascii="Cambria" w:hAnsi="Cambria"/>
                <w:sz w:val="20"/>
                <w:szCs w:val="20"/>
              </w:rPr>
              <w:t>Wastewater treatment: US$ 72.00/ha/year</w:t>
            </w:r>
            <w:r>
              <w:rPr>
                <w:rFonts w:ascii="Cambria" w:hAnsi="Cambria"/>
                <w:sz w:val="20"/>
                <w:szCs w:val="20"/>
              </w:rPr>
              <w:t xml:space="preserve"> (Souza and Silva 2011); </w:t>
            </w:r>
            <w:r w:rsidRPr="00760071">
              <w:rPr>
                <w:rFonts w:ascii="Cambria" w:hAnsi="Cambria"/>
                <w:sz w:val="20"/>
                <w:szCs w:val="20"/>
              </w:rPr>
              <w:t>Pollution filtration: US$260/ha/</w:t>
            </w:r>
            <w:proofErr w:type="spellStart"/>
            <w:r w:rsidRPr="00760071">
              <w:rPr>
                <w:rFonts w:ascii="Cambria" w:hAnsi="Cambria"/>
                <w:sz w:val="20"/>
                <w:szCs w:val="20"/>
              </w:rPr>
              <w:t>yr</w:t>
            </w:r>
            <w:proofErr w:type="spellEnd"/>
            <w:r>
              <w:rPr>
                <w:rFonts w:ascii="Cambria" w:hAnsi="Cambria"/>
                <w:sz w:val="20"/>
                <w:szCs w:val="20"/>
              </w:rPr>
              <w:t xml:space="preserve">, </w:t>
            </w:r>
            <w:r w:rsidRPr="00760071">
              <w:rPr>
                <w:rFonts w:ascii="Cambria" w:hAnsi="Cambria"/>
                <w:sz w:val="20"/>
                <w:szCs w:val="20"/>
              </w:rPr>
              <w:t>Heavy metal removal: US$100/ha/</w:t>
            </w:r>
            <w:proofErr w:type="spellStart"/>
            <w:r w:rsidRPr="00760071">
              <w:rPr>
                <w:rFonts w:ascii="Cambria" w:hAnsi="Cambria"/>
                <w:sz w:val="20"/>
                <w:szCs w:val="20"/>
              </w:rPr>
              <w:t>yr</w:t>
            </w:r>
            <w:proofErr w:type="spellEnd"/>
            <w:r>
              <w:rPr>
                <w:rFonts w:ascii="Cambria" w:hAnsi="Cambria"/>
                <w:sz w:val="20"/>
                <w:szCs w:val="20"/>
              </w:rPr>
              <w:t xml:space="preserve">, </w:t>
            </w:r>
            <w:r w:rsidRPr="00760071">
              <w:rPr>
                <w:rFonts w:ascii="Cambria" w:hAnsi="Cambria"/>
                <w:sz w:val="20"/>
                <w:szCs w:val="20"/>
              </w:rPr>
              <w:t>Chemical pollution absorption: US$300/ha/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 </w:t>
            </w:r>
            <w:r w:rsidRPr="00760071">
              <w:rPr>
                <w:rFonts w:ascii="Cambria" w:hAnsi="Cambria"/>
                <w:sz w:val="20"/>
                <w:szCs w:val="20"/>
              </w:rPr>
              <w:t>US$6</w:t>
            </w:r>
            <w:r>
              <w:rPr>
                <w:rFonts w:ascii="Cambria" w:hAnsi="Cambria"/>
                <w:sz w:val="20"/>
                <w:szCs w:val="20"/>
              </w:rPr>
              <w:t>6,960/km /</w:t>
            </w:r>
            <w:proofErr w:type="spellStart"/>
            <w:r>
              <w:rPr>
                <w:rFonts w:ascii="Cambria" w:hAnsi="Cambria"/>
                <w:sz w:val="20"/>
                <w:szCs w:val="20"/>
              </w:rPr>
              <w:t>yr</w:t>
            </w:r>
            <w:proofErr w:type="spellEnd"/>
            <w:r>
              <w:rPr>
                <w:rFonts w:ascii="Cambria" w:hAnsi="Cambria"/>
                <w:sz w:val="20"/>
                <w:szCs w:val="20"/>
              </w:rPr>
              <w:t xml:space="preserve"> (in 1994 US$) or</w:t>
            </w:r>
            <w:r w:rsidRPr="00760071">
              <w:rPr>
                <w:rFonts w:ascii="Cambria" w:hAnsi="Cambria"/>
                <w:sz w:val="20"/>
                <w:szCs w:val="20"/>
              </w:rPr>
              <w:t xml:space="preserve"> US$11,000/ha</w:t>
            </w:r>
            <w:r>
              <w:rPr>
                <w:rFonts w:ascii="Cambria" w:hAnsi="Cambria"/>
                <w:sz w:val="20"/>
                <w:szCs w:val="20"/>
              </w:rPr>
              <w:t>/</w:t>
            </w:r>
            <w:proofErr w:type="spellStart"/>
            <w:r>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Korovulavula</w:t>
            </w:r>
            <w:proofErr w:type="spellEnd"/>
            <w:r>
              <w:rPr>
                <w:rFonts w:ascii="Cambria" w:hAnsi="Cambria"/>
                <w:sz w:val="20"/>
                <w:szCs w:val="20"/>
              </w:rPr>
              <w:t xml:space="preserve"> et al. 2008); </w:t>
            </w:r>
            <w:r w:rsidRPr="00586C1D">
              <w:rPr>
                <w:rFonts w:ascii="Cambria" w:hAnsi="Cambria"/>
                <w:sz w:val="20"/>
                <w:szCs w:val="20"/>
              </w:rPr>
              <w:t>US$6696/ha/</w:t>
            </w:r>
            <w:proofErr w:type="spellStart"/>
            <w:r w:rsidRPr="00586C1D">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Gunawardena</w:t>
            </w:r>
            <w:proofErr w:type="spellEnd"/>
            <w:r>
              <w:rPr>
                <w:rFonts w:ascii="Cambria" w:hAnsi="Cambria"/>
                <w:sz w:val="20"/>
                <w:szCs w:val="20"/>
              </w:rPr>
              <w:t xml:space="preserve"> 2009)</w:t>
            </w:r>
          </w:p>
        </w:tc>
        <w:tc>
          <w:tcPr>
            <w:tcW w:w="1260" w:type="dxa"/>
            <w:tcBorders>
              <w:top w:val="single" w:sz="4" w:space="0" w:color="auto"/>
              <w:left w:val="nil"/>
              <w:bottom w:val="single" w:sz="4" w:space="0" w:color="auto"/>
              <w:right w:val="single" w:sz="2" w:space="0" w:color="auto"/>
            </w:tcBorders>
            <w:shd w:val="clear" w:color="000000" w:fill="E2EFDA"/>
          </w:tcPr>
          <w:p w14:paraId="04073941"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4B610AD"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B26B338" w14:textId="5F247554"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EFE6887" w14:textId="77777777" w:rsidR="00A01A99"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AB672F5" w14:textId="20FC02A6"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44651D03"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7616C73D" w14:textId="77777777"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3CE5CB98" w14:textId="5F6D2F24" w:rsidR="00A01A99" w:rsidRPr="00761424" w:rsidRDefault="00A01A99" w:rsidP="00736B28">
            <w:pPr>
              <w:spacing w:after="0" w:line="240" w:lineRule="auto"/>
              <w:jc w:val="center"/>
              <w:rPr>
                <w:rFonts w:ascii="Cambria" w:eastAsia="Times New Roman" w:hAnsi="Cambria" w:cs="Times New Roman"/>
                <w:color w:val="000000"/>
                <w:sz w:val="20"/>
                <w:szCs w:val="20"/>
              </w:rPr>
            </w:pPr>
          </w:p>
        </w:tc>
        <w:tc>
          <w:tcPr>
            <w:tcW w:w="1260" w:type="dxa"/>
            <w:tcBorders>
              <w:top w:val="nil"/>
              <w:left w:val="nil"/>
              <w:bottom w:val="single" w:sz="4" w:space="0" w:color="auto"/>
              <w:right w:val="single" w:sz="4" w:space="0" w:color="auto"/>
            </w:tcBorders>
            <w:shd w:val="clear" w:color="000000" w:fill="E2EFDA"/>
          </w:tcPr>
          <w:p w14:paraId="56C04F6C" w14:textId="437C695A" w:rsidR="00A01A99" w:rsidRPr="00060278" w:rsidRDefault="00FD4A42" w:rsidP="00736B28">
            <w:pPr>
              <w:spacing w:after="0" w:line="240" w:lineRule="auto"/>
              <w:jc w:val="center"/>
              <w:rPr>
                <w:rFonts w:ascii="Cambria" w:eastAsia="Times New Roman" w:hAnsi="Cambria" w:cs="Times New Roman"/>
                <w:color w:val="000000"/>
                <w:sz w:val="20"/>
                <w:szCs w:val="20"/>
                <w:lang w:val="fr-FR"/>
              </w:rPr>
            </w:pPr>
            <w:r w:rsidRPr="00060278">
              <w:rPr>
                <w:rFonts w:ascii="Cambria" w:eastAsia="Times New Roman" w:hAnsi="Cambria" w:cs="Times New Roman"/>
                <w:color w:val="000000"/>
                <w:sz w:val="20"/>
                <w:szCs w:val="20"/>
                <w:lang w:val="fr-FR"/>
              </w:rPr>
              <w:t xml:space="preserve">53.83 million </w:t>
            </w:r>
            <w:proofErr w:type="spellStart"/>
            <w:r w:rsidRPr="00060278">
              <w:rPr>
                <w:rFonts w:ascii="Cambria" w:eastAsia="Times New Roman" w:hAnsi="Cambria" w:cs="Times New Roman"/>
                <w:color w:val="000000"/>
                <w:sz w:val="20"/>
                <w:szCs w:val="20"/>
                <w:lang w:val="fr-FR"/>
              </w:rPr>
              <w:t>PhP</w:t>
            </w:r>
            <w:proofErr w:type="spellEnd"/>
            <w:r w:rsidRPr="00060278">
              <w:rPr>
                <w:rFonts w:ascii="Cambria" w:eastAsia="Times New Roman" w:hAnsi="Cambria" w:cs="Times New Roman"/>
                <w:color w:val="000000"/>
                <w:sz w:val="20"/>
                <w:szCs w:val="20"/>
                <w:lang w:val="fr-FR"/>
              </w:rPr>
              <w:t>/</w:t>
            </w:r>
            <w:proofErr w:type="spellStart"/>
            <w:r w:rsidRPr="00060278">
              <w:rPr>
                <w:rFonts w:ascii="Cambria" w:eastAsia="Times New Roman" w:hAnsi="Cambria" w:cs="Times New Roman"/>
                <w:color w:val="000000"/>
                <w:sz w:val="20"/>
                <w:szCs w:val="20"/>
                <w:lang w:val="fr-FR"/>
              </w:rPr>
              <w:t>yr</w:t>
            </w:r>
            <w:proofErr w:type="spellEnd"/>
            <w:r w:rsidRPr="00060278">
              <w:rPr>
                <w:rFonts w:ascii="Cambria" w:eastAsia="Times New Roman" w:hAnsi="Cambria" w:cs="Times New Roman"/>
                <w:color w:val="000000"/>
                <w:sz w:val="20"/>
                <w:szCs w:val="20"/>
                <w:lang w:val="fr-FR"/>
              </w:rPr>
              <w:t xml:space="preserve"> (</w:t>
            </w:r>
            <w:proofErr w:type="spellStart"/>
            <w:r w:rsidRPr="00060278">
              <w:rPr>
                <w:rFonts w:ascii="Cambria" w:eastAsia="Times New Roman" w:hAnsi="Cambria" w:cs="Times New Roman"/>
                <w:color w:val="000000"/>
                <w:sz w:val="20"/>
                <w:szCs w:val="20"/>
                <w:lang w:val="fr-FR"/>
              </w:rPr>
              <w:t>Padilla</w:t>
            </w:r>
            <w:proofErr w:type="spellEnd"/>
            <w:r w:rsidRPr="00060278">
              <w:rPr>
                <w:rFonts w:ascii="Cambria" w:eastAsia="Times New Roman" w:hAnsi="Cambria" w:cs="Times New Roman"/>
                <w:color w:val="000000"/>
                <w:sz w:val="20"/>
                <w:szCs w:val="20"/>
                <w:lang w:val="fr-FR"/>
              </w:rPr>
              <w:t xml:space="preserve"> 2008)</w:t>
            </w:r>
            <w:r w:rsidR="00060278" w:rsidRPr="00060278">
              <w:rPr>
                <w:rFonts w:ascii="Cambria" w:eastAsia="Times New Roman" w:hAnsi="Cambria" w:cs="Times New Roman"/>
                <w:color w:val="000000"/>
                <w:sz w:val="20"/>
                <w:szCs w:val="20"/>
                <w:lang w:val="fr-FR"/>
              </w:rPr>
              <w:t>; $569/ha/</w:t>
            </w:r>
            <w:proofErr w:type="spellStart"/>
            <w:proofErr w:type="gramStart"/>
            <w:r w:rsidR="00060278" w:rsidRPr="00060278">
              <w:rPr>
                <w:rFonts w:ascii="Cambria" w:eastAsia="Times New Roman" w:hAnsi="Cambria" w:cs="Times New Roman"/>
                <w:color w:val="000000"/>
                <w:sz w:val="20"/>
                <w:szCs w:val="20"/>
                <w:lang w:val="fr-FR"/>
              </w:rPr>
              <w:t>yr</w:t>
            </w:r>
            <w:proofErr w:type="spellEnd"/>
            <w:r w:rsidR="00060278">
              <w:rPr>
                <w:rFonts w:ascii="Cambria" w:eastAsia="Times New Roman" w:hAnsi="Cambria" w:cs="Times New Roman"/>
                <w:color w:val="000000"/>
                <w:sz w:val="20"/>
                <w:szCs w:val="20"/>
                <w:lang w:val="fr-FR"/>
              </w:rPr>
              <w:t>(</w:t>
            </w:r>
            <w:proofErr w:type="gramEnd"/>
            <w:r w:rsidR="00060278" w:rsidRPr="00060278">
              <w:rPr>
                <w:rFonts w:ascii="Cambria" w:eastAsia="Times New Roman" w:hAnsi="Cambria" w:cs="Times New Roman"/>
                <w:color w:val="000000"/>
                <w:sz w:val="20"/>
                <w:szCs w:val="20"/>
                <w:lang w:val="fr-FR"/>
              </w:rPr>
              <w:t>Mendoza-González et al. 2012)</w:t>
            </w:r>
          </w:p>
        </w:tc>
      </w:tr>
      <w:tr w:rsidR="004F737C" w:rsidRPr="00761424" w14:paraId="53DB8287" w14:textId="77777777" w:rsidTr="00D80463">
        <w:trPr>
          <w:trHeight w:val="1061"/>
        </w:trPr>
        <w:tc>
          <w:tcPr>
            <w:tcW w:w="1260" w:type="dxa"/>
            <w:tcBorders>
              <w:top w:val="nil"/>
              <w:left w:val="single" w:sz="4" w:space="0" w:color="auto"/>
              <w:bottom w:val="single" w:sz="4" w:space="0" w:color="auto"/>
              <w:right w:val="single" w:sz="4" w:space="0" w:color="auto"/>
            </w:tcBorders>
            <w:shd w:val="clear" w:color="000000" w:fill="E2EFDA"/>
            <w:hideMark/>
          </w:tcPr>
          <w:p w14:paraId="2C44BAB5" w14:textId="1D20D4F4"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Moderation of extreme events</w:t>
            </w:r>
          </w:p>
        </w:tc>
        <w:tc>
          <w:tcPr>
            <w:tcW w:w="2430" w:type="dxa"/>
            <w:tcBorders>
              <w:top w:val="nil"/>
              <w:left w:val="nil"/>
              <w:bottom w:val="single" w:sz="4" w:space="0" w:color="auto"/>
              <w:right w:val="single" w:sz="4" w:space="0" w:color="auto"/>
            </w:tcBorders>
            <w:shd w:val="clear" w:color="000000" w:fill="E2EFDA"/>
          </w:tcPr>
          <w:p w14:paraId="63BB8EBD" w14:textId="326C3122" w:rsidR="004F737C" w:rsidRPr="00761424" w:rsidRDefault="004F737C" w:rsidP="00736B28">
            <w:pPr>
              <w:spacing w:after="0" w:line="240" w:lineRule="auto"/>
              <w:jc w:val="center"/>
              <w:rPr>
                <w:rFonts w:ascii="Cambria" w:eastAsia="Times New Roman" w:hAnsi="Cambria" w:cs="Times New Roman"/>
                <w:color w:val="000000"/>
                <w:sz w:val="20"/>
                <w:szCs w:val="20"/>
              </w:rPr>
            </w:pPr>
            <w:r w:rsidRPr="000E2ED3">
              <w:rPr>
                <w:rFonts w:ascii="Cambria" w:eastAsia="Times New Roman" w:hAnsi="Cambria" w:cs="Times New Roman"/>
                <w:color w:val="000000"/>
                <w:sz w:val="20"/>
                <w:szCs w:val="20"/>
              </w:rPr>
              <w:t>Protection against cyclone and wave damage: US$2000/ha/</w:t>
            </w:r>
            <w:proofErr w:type="spellStart"/>
            <w:r w:rsidRPr="000E2ED3">
              <w:rPr>
                <w:rFonts w:ascii="Cambria" w:eastAsia="Times New Roman" w:hAnsi="Cambria" w:cs="Times New Roman"/>
                <w:color w:val="000000"/>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C</w:t>
            </w:r>
            <w:r w:rsidRPr="00CB67CB">
              <w:rPr>
                <w:rFonts w:ascii="Cambria" w:hAnsi="Cambria"/>
                <w:sz w:val="20"/>
                <w:szCs w:val="20"/>
              </w:rPr>
              <w:t>oastal protection:</w:t>
            </w:r>
            <w:r>
              <w:rPr>
                <w:rFonts w:ascii="Cambria" w:hAnsi="Cambria"/>
                <w:sz w:val="20"/>
                <w:szCs w:val="20"/>
              </w:rPr>
              <w:t xml:space="preserve"> </w:t>
            </w:r>
            <w:r w:rsidRPr="00CB67CB">
              <w:rPr>
                <w:rFonts w:ascii="Cambria" w:hAnsi="Cambria"/>
                <w:sz w:val="20"/>
                <w:szCs w:val="20"/>
              </w:rPr>
              <w:t>$3,116/ha/</w:t>
            </w:r>
            <w:proofErr w:type="spellStart"/>
            <w:r w:rsidRPr="00CB67CB">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 xml:space="preserve">(Mubarak Bin </w:t>
            </w:r>
            <w:proofErr w:type="spellStart"/>
            <w:r w:rsidRPr="00CB67CB">
              <w:rPr>
                <w:rFonts w:ascii="Cambria" w:hAnsi="Cambria"/>
                <w:sz w:val="20"/>
                <w:szCs w:val="20"/>
              </w:rPr>
              <w:t>Daina</w:t>
            </w:r>
            <w:proofErr w:type="spellEnd"/>
            <w:r w:rsidRPr="00CB67CB">
              <w:rPr>
                <w:rFonts w:ascii="Cambria" w:hAnsi="Cambria"/>
                <w:sz w:val="20"/>
                <w:szCs w:val="20"/>
              </w:rPr>
              <w:t xml:space="preserve"> et al. 2015)</w:t>
            </w:r>
            <w:r>
              <w:rPr>
                <w:rFonts w:ascii="Cambria" w:hAnsi="Cambria"/>
                <w:sz w:val="20"/>
                <w:szCs w:val="20"/>
              </w:rPr>
              <w:t xml:space="preserve">; </w:t>
            </w:r>
            <w:r w:rsidRPr="0051605B">
              <w:rPr>
                <w:rFonts w:ascii="Cambria" w:hAnsi="Cambria"/>
                <w:sz w:val="20"/>
                <w:szCs w:val="20"/>
              </w:rPr>
              <w:t>Coastal protection: 0.06 million €/km²/year</w:t>
            </w:r>
            <w:r>
              <w:rPr>
                <w:rFonts w:ascii="Cambria" w:hAnsi="Cambria"/>
                <w:sz w:val="20"/>
                <w:szCs w:val="20"/>
              </w:rPr>
              <w:t xml:space="preserve"> (</w:t>
            </w:r>
            <w:proofErr w:type="spellStart"/>
            <w:r>
              <w:rPr>
                <w:rFonts w:ascii="Cambria" w:hAnsi="Cambria"/>
                <w:sz w:val="20"/>
                <w:szCs w:val="20"/>
              </w:rPr>
              <w:t>Failler</w:t>
            </w:r>
            <w:proofErr w:type="spellEnd"/>
            <w:r>
              <w:rPr>
                <w:rFonts w:ascii="Cambria" w:hAnsi="Cambria"/>
                <w:sz w:val="20"/>
                <w:szCs w:val="20"/>
              </w:rPr>
              <w:t xml:space="preserve"> et al. 2015); </w:t>
            </w:r>
            <w:r w:rsidRPr="0047613F">
              <w:rPr>
                <w:rFonts w:ascii="Cambria" w:hAnsi="Cambria"/>
                <w:sz w:val="20"/>
                <w:szCs w:val="20"/>
              </w:rPr>
              <w:t>Coastline protection: US$694-3767/ha/</w:t>
            </w:r>
            <w:proofErr w:type="spellStart"/>
            <w:r w:rsidRPr="0047613F">
              <w:rPr>
                <w:rFonts w:ascii="Cambria" w:hAnsi="Cambria"/>
                <w:sz w:val="20"/>
                <w:szCs w:val="20"/>
              </w:rPr>
              <w:t>yr</w:t>
            </w:r>
            <w:proofErr w:type="spellEnd"/>
            <w:r>
              <w:rPr>
                <w:rFonts w:ascii="Cambria" w:hAnsi="Cambria"/>
                <w:sz w:val="20"/>
                <w:szCs w:val="20"/>
              </w:rPr>
              <w:t xml:space="preserve"> (Malik et al. 2015); </w:t>
            </w:r>
            <w:r w:rsidRPr="00760071">
              <w:rPr>
                <w:rFonts w:ascii="Cambria" w:hAnsi="Cambria"/>
                <w:sz w:val="20"/>
                <w:szCs w:val="20"/>
              </w:rPr>
              <w:t>Protection against Tsunami and wave damage: US$1500/ha/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 </w:t>
            </w:r>
            <w:r w:rsidRPr="00586C1D">
              <w:rPr>
                <w:rFonts w:ascii="Cambria" w:hAnsi="Cambria"/>
                <w:sz w:val="20"/>
                <w:szCs w:val="20"/>
              </w:rPr>
              <w:t>Coastal protection: US$1839/ha/</w:t>
            </w:r>
            <w:proofErr w:type="spellStart"/>
            <w:r w:rsidRPr="00586C1D">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Gunawardena</w:t>
            </w:r>
            <w:proofErr w:type="spellEnd"/>
            <w:r>
              <w:rPr>
                <w:rFonts w:ascii="Cambria" w:hAnsi="Cambria"/>
                <w:sz w:val="20"/>
                <w:szCs w:val="20"/>
              </w:rPr>
              <w:t xml:space="preserve"> 2009); </w:t>
            </w:r>
            <w:r w:rsidRPr="00586C1D">
              <w:rPr>
                <w:rFonts w:ascii="Cambria" w:hAnsi="Cambria"/>
                <w:sz w:val="20"/>
                <w:szCs w:val="20"/>
              </w:rPr>
              <w:t>Wave breakers: IDR 93,699,170/</w:t>
            </w:r>
            <w:proofErr w:type="spellStart"/>
            <w:r w:rsidRPr="00586C1D">
              <w:rPr>
                <w:rFonts w:ascii="Cambria" w:hAnsi="Cambria"/>
                <w:sz w:val="20"/>
                <w:szCs w:val="20"/>
              </w:rPr>
              <w:t>yr</w:t>
            </w:r>
            <w:proofErr w:type="spellEnd"/>
            <w:r w:rsidRPr="00586C1D">
              <w:rPr>
                <w:rFonts w:ascii="Cambria" w:hAnsi="Cambria"/>
                <w:sz w:val="20"/>
                <w:szCs w:val="20"/>
              </w:rPr>
              <w:t>; Abrasion breakers: IDR 26,364,2000/</w:t>
            </w:r>
            <w:proofErr w:type="spellStart"/>
            <w:r w:rsidRPr="00586C1D">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Susilo</w:t>
            </w:r>
            <w:proofErr w:type="spellEnd"/>
            <w:r>
              <w:rPr>
                <w:rFonts w:ascii="Cambria" w:hAnsi="Cambria"/>
                <w:sz w:val="20"/>
                <w:szCs w:val="20"/>
              </w:rPr>
              <w:t xml:space="preserve"> et al. 2016)</w:t>
            </w:r>
          </w:p>
        </w:tc>
        <w:tc>
          <w:tcPr>
            <w:tcW w:w="1260" w:type="dxa"/>
            <w:tcBorders>
              <w:top w:val="single" w:sz="4" w:space="0" w:color="auto"/>
              <w:left w:val="nil"/>
              <w:bottom w:val="single" w:sz="4" w:space="0" w:color="auto"/>
              <w:right w:val="single" w:sz="2" w:space="0" w:color="auto"/>
            </w:tcBorders>
            <w:shd w:val="clear" w:color="000000" w:fill="E2EFDA"/>
          </w:tcPr>
          <w:p w14:paraId="63E6E78F" w14:textId="739854EC" w:rsidR="004F737C" w:rsidRPr="00761424" w:rsidRDefault="004F737C" w:rsidP="00D80463">
            <w:pPr>
              <w:spacing w:after="0" w:line="240" w:lineRule="auto"/>
              <w:jc w:val="center"/>
              <w:rPr>
                <w:rFonts w:ascii="Cambria" w:eastAsia="Times New Roman" w:hAnsi="Cambria" w:cs="Times New Roman"/>
                <w:color w:val="000000"/>
                <w:sz w:val="20"/>
                <w:szCs w:val="20"/>
              </w:rPr>
            </w:pPr>
            <w:r w:rsidRPr="00CB67CB">
              <w:rPr>
                <w:rFonts w:ascii="Cambria" w:hAnsi="Cambria"/>
                <w:sz w:val="20"/>
                <w:szCs w:val="20"/>
              </w:rPr>
              <w:t>Storm protection</w:t>
            </w:r>
            <w:r>
              <w:rPr>
                <w:rFonts w:ascii="Cambria" w:hAnsi="Cambria"/>
                <w:sz w:val="20"/>
                <w:szCs w:val="20"/>
              </w:rPr>
              <w:t>:</w:t>
            </w:r>
            <w:r w:rsidRPr="00CB67CB">
              <w:rPr>
                <w:rFonts w:ascii="Cambria" w:hAnsi="Cambria"/>
                <w:sz w:val="20"/>
                <w:szCs w:val="20"/>
              </w:rPr>
              <w:t xml:space="preserve"> </w:t>
            </w:r>
            <w:r>
              <w:rPr>
                <w:rFonts w:ascii="Cambria" w:hAnsi="Cambria"/>
                <w:sz w:val="20"/>
                <w:szCs w:val="20"/>
              </w:rPr>
              <w:t>US$134</w:t>
            </w:r>
            <w:r w:rsidR="00D80463">
              <w:rPr>
                <w:rFonts w:ascii="Cambria" w:hAnsi="Cambria"/>
                <w:sz w:val="20"/>
                <w:szCs w:val="20"/>
              </w:rPr>
              <w:t>,</w:t>
            </w:r>
            <w:r>
              <w:rPr>
                <w:rFonts w:ascii="Cambria" w:hAnsi="Cambria"/>
                <w:sz w:val="20"/>
                <w:szCs w:val="20"/>
              </w:rPr>
              <w:t>801/</w:t>
            </w:r>
            <w:r w:rsidRPr="00CB67CB">
              <w:rPr>
                <w:rFonts w:ascii="Cambria" w:hAnsi="Cambria"/>
                <w:sz w:val="20"/>
                <w:szCs w:val="20"/>
              </w:rPr>
              <w:t>ha (</w:t>
            </w:r>
            <w:proofErr w:type="spellStart"/>
            <w:r w:rsidRPr="00CB67CB">
              <w:rPr>
                <w:rFonts w:ascii="Cambria" w:hAnsi="Cambria"/>
                <w:sz w:val="20"/>
                <w:szCs w:val="20"/>
              </w:rPr>
              <w:t>Barbier</w:t>
            </w:r>
            <w:proofErr w:type="spellEnd"/>
            <w:r w:rsidRPr="00CB67CB">
              <w:rPr>
                <w:rFonts w:ascii="Cambria" w:hAnsi="Cambria"/>
                <w:sz w:val="20"/>
                <w:szCs w:val="20"/>
              </w:rPr>
              <w:t xml:space="preserve"> 2007)</w:t>
            </w:r>
            <w:r>
              <w:rPr>
                <w:rFonts w:ascii="Cambria" w:hAnsi="Cambria"/>
                <w:sz w:val="20"/>
                <w:szCs w:val="20"/>
              </w:rPr>
              <w:t xml:space="preserve">, </w:t>
            </w:r>
            <w:r w:rsidRPr="001C5A91">
              <w:rPr>
                <w:rFonts w:ascii="Cambria" w:hAnsi="Cambria"/>
                <w:sz w:val="20"/>
                <w:szCs w:val="20"/>
              </w:rPr>
              <w:t>Coastal protection</w:t>
            </w:r>
            <w:r>
              <w:rPr>
                <w:rFonts w:ascii="Cambria" w:hAnsi="Cambria"/>
                <w:sz w:val="20"/>
                <w:szCs w:val="20"/>
              </w:rPr>
              <w:t xml:space="preserve">: </w:t>
            </w:r>
            <w:r w:rsidRPr="001C5A91">
              <w:rPr>
                <w:rFonts w:ascii="Cambria" w:hAnsi="Cambria"/>
                <w:sz w:val="20"/>
                <w:szCs w:val="20"/>
              </w:rPr>
              <w:t xml:space="preserve"> </w:t>
            </w:r>
            <w:r>
              <w:rPr>
                <w:rFonts w:ascii="Cambria" w:hAnsi="Cambria"/>
                <w:sz w:val="20"/>
                <w:szCs w:val="20"/>
              </w:rPr>
              <w:t>US</w:t>
            </w:r>
            <w:r w:rsidRPr="001C5A91">
              <w:rPr>
                <w:rFonts w:ascii="Cambria" w:hAnsi="Cambria"/>
                <w:sz w:val="20"/>
                <w:szCs w:val="20"/>
              </w:rPr>
              <w:t>$1879/ha/year</w:t>
            </w:r>
            <w:r>
              <w:rPr>
                <w:rFonts w:ascii="Cambria" w:hAnsi="Cambria"/>
                <w:sz w:val="20"/>
                <w:szCs w:val="20"/>
              </w:rPr>
              <w:t xml:space="preserve"> (</w:t>
            </w:r>
            <w:proofErr w:type="spellStart"/>
            <w:r>
              <w:rPr>
                <w:rFonts w:ascii="Cambria" w:hAnsi="Cambria"/>
                <w:sz w:val="20"/>
                <w:szCs w:val="20"/>
              </w:rPr>
              <w:t>Barbier</w:t>
            </w:r>
            <w:proofErr w:type="spellEnd"/>
            <w:r>
              <w:rPr>
                <w:rFonts w:ascii="Cambria" w:hAnsi="Cambria"/>
                <w:sz w:val="20"/>
                <w:szCs w:val="20"/>
              </w:rPr>
              <w:t xml:space="preserve"> 2012)</w:t>
            </w:r>
          </w:p>
        </w:tc>
        <w:tc>
          <w:tcPr>
            <w:tcW w:w="1170" w:type="dxa"/>
            <w:tcBorders>
              <w:top w:val="nil"/>
              <w:left w:val="single" w:sz="2" w:space="0" w:color="auto"/>
              <w:bottom w:val="single" w:sz="4" w:space="0" w:color="auto"/>
              <w:right w:val="single" w:sz="2" w:space="0" w:color="auto"/>
            </w:tcBorders>
            <w:shd w:val="clear" w:color="000000" w:fill="E2EFDA"/>
          </w:tcPr>
          <w:p w14:paraId="70799F3A" w14:textId="5B43A1F2" w:rsidR="004F737C"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C697EDE" w14:textId="11F92A1C" w:rsidR="004F737C" w:rsidRPr="00761424" w:rsidRDefault="004F737C" w:rsidP="00736B28">
            <w:pPr>
              <w:spacing w:after="0" w:line="240" w:lineRule="auto"/>
              <w:jc w:val="center"/>
              <w:rPr>
                <w:rFonts w:ascii="Cambria" w:eastAsia="Times New Roman" w:hAnsi="Cambria" w:cs="Times New Roman"/>
                <w:color w:val="000000"/>
                <w:sz w:val="20"/>
                <w:szCs w:val="20"/>
              </w:rPr>
            </w:pPr>
            <w:r w:rsidRPr="001C5A91">
              <w:rPr>
                <w:rFonts w:ascii="Cambria" w:eastAsia="Times New Roman" w:hAnsi="Cambria" w:cs="Times New Roman"/>
                <w:color w:val="000000"/>
                <w:sz w:val="20"/>
                <w:szCs w:val="20"/>
              </w:rPr>
              <w:t xml:space="preserve">Wind protection: </w:t>
            </w:r>
            <w:r>
              <w:rPr>
                <w:rFonts w:ascii="Cambria" w:eastAsia="Times New Roman" w:hAnsi="Cambria" w:cs="Times New Roman"/>
                <w:color w:val="000000"/>
                <w:sz w:val="20"/>
                <w:szCs w:val="20"/>
              </w:rPr>
              <w:t>US</w:t>
            </w:r>
            <w:r w:rsidRPr="001C5A91">
              <w:rPr>
                <w:rFonts w:ascii="Cambria" w:eastAsia="Times New Roman" w:hAnsi="Cambria" w:cs="Times New Roman"/>
                <w:color w:val="000000"/>
                <w:sz w:val="20"/>
                <w:szCs w:val="20"/>
              </w:rPr>
              <w:t>$177/ha</w:t>
            </w:r>
            <w:r>
              <w:rPr>
                <w:rFonts w:ascii="Cambria" w:eastAsia="Times New Roman" w:hAnsi="Cambria" w:cs="Times New Roman"/>
                <w:color w:val="000000"/>
                <w:sz w:val="20"/>
                <w:szCs w:val="20"/>
              </w:rPr>
              <w:t xml:space="preserve"> (Das and </w:t>
            </w:r>
            <w:proofErr w:type="spellStart"/>
            <w:r>
              <w:rPr>
                <w:rFonts w:ascii="Cambria" w:eastAsia="Times New Roman" w:hAnsi="Cambria" w:cs="Times New Roman"/>
                <w:color w:val="000000"/>
                <w:sz w:val="20"/>
                <w:szCs w:val="20"/>
              </w:rPr>
              <w:t>Crepin</w:t>
            </w:r>
            <w:proofErr w:type="spellEnd"/>
            <w:r>
              <w:rPr>
                <w:rFonts w:ascii="Cambria" w:eastAsia="Times New Roman" w:hAnsi="Cambria" w:cs="Times New Roman"/>
                <w:color w:val="000000"/>
                <w:sz w:val="20"/>
                <w:szCs w:val="20"/>
              </w:rPr>
              <w:t xml:space="preserve"> 2013)</w:t>
            </w:r>
          </w:p>
        </w:tc>
        <w:tc>
          <w:tcPr>
            <w:tcW w:w="1170" w:type="dxa"/>
            <w:tcBorders>
              <w:top w:val="nil"/>
              <w:left w:val="single" w:sz="2" w:space="0" w:color="auto"/>
              <w:bottom w:val="single" w:sz="4" w:space="0" w:color="auto"/>
              <w:right w:val="single" w:sz="2" w:space="0" w:color="auto"/>
            </w:tcBorders>
            <w:shd w:val="clear" w:color="000000" w:fill="E2EFDA"/>
          </w:tcPr>
          <w:p w14:paraId="28D0131A" w14:textId="30CBD901" w:rsidR="004F737C"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733A777" w14:textId="61F97462"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63AC3128" w14:textId="32BAB8E3" w:rsidR="004F737C" w:rsidRPr="00761424" w:rsidRDefault="004F737C" w:rsidP="00736B28">
            <w:pPr>
              <w:spacing w:after="0" w:line="240" w:lineRule="auto"/>
              <w:jc w:val="center"/>
              <w:rPr>
                <w:rFonts w:ascii="Cambria" w:eastAsia="Times New Roman" w:hAnsi="Cambria" w:cs="Times New Roman"/>
                <w:color w:val="000000"/>
                <w:sz w:val="20"/>
                <w:szCs w:val="20"/>
              </w:rPr>
            </w:pPr>
            <w:r w:rsidRPr="001C5A91">
              <w:rPr>
                <w:rFonts w:ascii="Cambria" w:eastAsia="Times New Roman" w:hAnsi="Cambria" w:cs="Times New Roman"/>
                <w:color w:val="000000"/>
                <w:sz w:val="20"/>
                <w:szCs w:val="20"/>
              </w:rPr>
              <w:t>Storm protection: US$16/ha/</w:t>
            </w:r>
            <w:proofErr w:type="spellStart"/>
            <w:r w:rsidRPr="001C5A91">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Janekarnkij</w:t>
            </w:r>
            <w:proofErr w:type="spellEnd"/>
            <w:r>
              <w:rPr>
                <w:rFonts w:ascii="Cambria" w:eastAsia="Times New Roman" w:hAnsi="Cambria" w:cs="Times New Roman"/>
                <w:color w:val="000000"/>
                <w:sz w:val="20"/>
                <w:szCs w:val="20"/>
              </w:rPr>
              <w:t xml:space="preserve"> 2010)</w:t>
            </w:r>
          </w:p>
        </w:tc>
        <w:tc>
          <w:tcPr>
            <w:tcW w:w="1170" w:type="dxa"/>
            <w:tcBorders>
              <w:top w:val="nil"/>
              <w:left w:val="single" w:sz="2" w:space="0" w:color="auto"/>
              <w:bottom w:val="single" w:sz="4" w:space="0" w:color="auto"/>
              <w:right w:val="single" w:sz="4" w:space="0" w:color="auto"/>
            </w:tcBorders>
            <w:shd w:val="clear" w:color="000000" w:fill="E2EFDA"/>
          </w:tcPr>
          <w:p w14:paraId="5FE6BCD2" w14:textId="15736BF4"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2D5FD276" w14:textId="0BF8AC51" w:rsidR="004F737C" w:rsidRPr="00761424" w:rsidRDefault="004F737C" w:rsidP="00736B28">
            <w:pPr>
              <w:spacing w:after="0" w:line="240" w:lineRule="auto"/>
              <w:jc w:val="center"/>
              <w:rPr>
                <w:rFonts w:ascii="Cambria" w:eastAsia="Times New Roman" w:hAnsi="Cambria" w:cs="Times New Roman"/>
                <w:color w:val="000000"/>
                <w:sz w:val="20"/>
                <w:szCs w:val="20"/>
              </w:rPr>
            </w:pPr>
            <w:r w:rsidRPr="004F737C">
              <w:rPr>
                <w:rFonts w:ascii="Cambria" w:hAnsi="Cambria"/>
                <w:sz w:val="20"/>
                <w:szCs w:val="20"/>
              </w:rPr>
              <w:t xml:space="preserve">Erosion control and Storm protection: 23,210.74 </w:t>
            </w:r>
            <w:proofErr w:type="spellStart"/>
            <w:r w:rsidRPr="004F737C">
              <w:rPr>
                <w:rFonts w:ascii="Cambria" w:hAnsi="Cambria"/>
                <w:sz w:val="20"/>
                <w:szCs w:val="20"/>
              </w:rPr>
              <w:t>PhP</w:t>
            </w:r>
            <w:proofErr w:type="spellEnd"/>
            <w:r w:rsidRPr="004F737C">
              <w:rPr>
                <w:rFonts w:ascii="Cambria" w:hAnsi="Cambria"/>
                <w:sz w:val="20"/>
                <w:szCs w:val="20"/>
              </w:rPr>
              <w:t>/ha/</w:t>
            </w:r>
            <w:proofErr w:type="spellStart"/>
            <w:r w:rsidRPr="004F737C">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Defiesta</w:t>
            </w:r>
            <w:proofErr w:type="spellEnd"/>
            <w:r>
              <w:rPr>
                <w:rFonts w:ascii="Cambria" w:hAnsi="Cambria"/>
                <w:sz w:val="20"/>
                <w:szCs w:val="20"/>
              </w:rPr>
              <w:t xml:space="preserve"> 2007)</w:t>
            </w:r>
          </w:p>
        </w:tc>
        <w:tc>
          <w:tcPr>
            <w:tcW w:w="1260" w:type="dxa"/>
            <w:tcBorders>
              <w:top w:val="nil"/>
              <w:left w:val="nil"/>
              <w:bottom w:val="single" w:sz="4" w:space="0" w:color="auto"/>
              <w:right w:val="single" w:sz="4" w:space="0" w:color="auto"/>
            </w:tcBorders>
            <w:shd w:val="clear" w:color="000000" w:fill="E2EFDA"/>
          </w:tcPr>
          <w:p w14:paraId="5019BEA0" w14:textId="3913948D" w:rsidR="004F737C" w:rsidRPr="00761424" w:rsidRDefault="00FD4A42" w:rsidP="00736B28">
            <w:pPr>
              <w:spacing w:after="0" w:line="240" w:lineRule="auto"/>
              <w:jc w:val="center"/>
              <w:rPr>
                <w:rFonts w:ascii="Cambria" w:eastAsia="Times New Roman" w:hAnsi="Cambria" w:cs="Times New Roman"/>
                <w:color w:val="000000"/>
                <w:sz w:val="20"/>
                <w:szCs w:val="20"/>
              </w:rPr>
            </w:pPr>
            <w:r w:rsidRPr="00FD4A42">
              <w:rPr>
                <w:rFonts w:ascii="Cambria" w:eastAsia="Times New Roman" w:hAnsi="Cambria" w:cs="Times New Roman"/>
                <w:color w:val="000000"/>
                <w:sz w:val="20"/>
                <w:szCs w:val="20"/>
              </w:rPr>
              <w:t>Coastal protection: 40,000PhP/ha/</w:t>
            </w:r>
            <w:proofErr w:type="spellStart"/>
            <w:r w:rsidRPr="00FD4A42">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(Padilla 2008); </w:t>
            </w:r>
            <w:r w:rsidRPr="00FD4A42">
              <w:rPr>
                <w:rFonts w:ascii="Cambria" w:eastAsia="Times New Roman" w:hAnsi="Cambria" w:cs="Times New Roman"/>
                <w:color w:val="000000"/>
                <w:sz w:val="20"/>
                <w:szCs w:val="20"/>
              </w:rPr>
              <w:t>Coastal protection: US$95686.63/km/</w:t>
            </w:r>
            <w:proofErr w:type="spellStart"/>
            <w:r w:rsidRPr="00FD4A42">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O’Garra</w:t>
            </w:r>
            <w:proofErr w:type="spellEnd"/>
            <w:r>
              <w:rPr>
                <w:rFonts w:ascii="Cambria" w:eastAsia="Times New Roman" w:hAnsi="Cambria" w:cs="Times New Roman"/>
                <w:color w:val="000000"/>
                <w:sz w:val="20"/>
                <w:szCs w:val="20"/>
              </w:rPr>
              <w:t xml:space="preserve"> 2012)</w:t>
            </w:r>
          </w:p>
        </w:tc>
      </w:tr>
      <w:tr w:rsidR="004F737C" w:rsidRPr="00761424" w14:paraId="387911EB" w14:textId="77777777" w:rsidTr="00D80463">
        <w:trPr>
          <w:trHeight w:val="458"/>
        </w:trPr>
        <w:tc>
          <w:tcPr>
            <w:tcW w:w="1260" w:type="dxa"/>
            <w:tcBorders>
              <w:top w:val="nil"/>
              <w:left w:val="single" w:sz="4" w:space="0" w:color="auto"/>
              <w:bottom w:val="single" w:sz="4" w:space="0" w:color="auto"/>
              <w:right w:val="single" w:sz="4" w:space="0" w:color="auto"/>
            </w:tcBorders>
            <w:shd w:val="clear" w:color="000000" w:fill="E2EFDA"/>
          </w:tcPr>
          <w:p w14:paraId="272B49DD" w14:textId="2EB8B47D"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Regulation of water flows</w:t>
            </w:r>
          </w:p>
        </w:tc>
        <w:tc>
          <w:tcPr>
            <w:tcW w:w="2430" w:type="dxa"/>
            <w:tcBorders>
              <w:top w:val="nil"/>
              <w:left w:val="nil"/>
              <w:bottom w:val="single" w:sz="4" w:space="0" w:color="auto"/>
              <w:right w:val="single" w:sz="4" w:space="0" w:color="auto"/>
            </w:tcBorders>
            <w:shd w:val="clear" w:color="000000" w:fill="E2EFDA"/>
          </w:tcPr>
          <w:p w14:paraId="42BD6E70" w14:textId="7BCEA0FE" w:rsidR="004F737C" w:rsidRPr="00761424" w:rsidRDefault="004F737C" w:rsidP="00736B28">
            <w:pPr>
              <w:spacing w:line="240" w:lineRule="auto"/>
              <w:jc w:val="center"/>
              <w:rPr>
                <w:rFonts w:ascii="Cambria" w:hAnsi="Cambria"/>
                <w:sz w:val="20"/>
                <w:szCs w:val="20"/>
              </w:rPr>
            </w:pPr>
            <w:r w:rsidRPr="000E2ED3">
              <w:rPr>
                <w:rFonts w:ascii="Cambria" w:hAnsi="Cambria"/>
                <w:sz w:val="20"/>
                <w:szCs w:val="20"/>
              </w:rPr>
              <w:t>Flood control: US$500/ha/</w:t>
            </w:r>
            <w:proofErr w:type="spellStart"/>
            <w:r w:rsidRPr="000E2ED3">
              <w:rPr>
                <w:rFonts w:ascii="Cambria" w:hAnsi="Cambria"/>
                <w:sz w:val="20"/>
                <w:szCs w:val="20"/>
              </w:rPr>
              <w:t>yr</w:t>
            </w:r>
            <w:proofErr w:type="spellEnd"/>
            <w:r>
              <w:rPr>
                <w:rFonts w:ascii="Cambria" w:hAnsi="Cambria"/>
                <w:sz w:val="20"/>
                <w:szCs w:val="20"/>
              </w:rPr>
              <w:t xml:space="preserve">, </w:t>
            </w:r>
            <w:r w:rsidRPr="000E2ED3">
              <w:rPr>
                <w:rFonts w:ascii="Cambria" w:hAnsi="Cambria"/>
                <w:sz w:val="20"/>
                <w:szCs w:val="20"/>
              </w:rPr>
              <w:t xml:space="preserve">Groundwater and </w:t>
            </w:r>
            <w:r w:rsidRPr="000E2ED3">
              <w:rPr>
                <w:rFonts w:ascii="Cambria" w:hAnsi="Cambria"/>
                <w:sz w:val="20"/>
                <w:szCs w:val="20"/>
              </w:rPr>
              <w:lastRenderedPageBreak/>
              <w:t>recharge supply: US$40/ha/</w:t>
            </w:r>
            <w:proofErr w:type="spellStart"/>
            <w:r w:rsidRPr="000E2ED3">
              <w:rPr>
                <w:rFonts w:ascii="Cambria" w:hAnsi="Cambria"/>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47613F">
              <w:rPr>
                <w:rFonts w:ascii="Cambria" w:hAnsi="Cambria"/>
                <w:sz w:val="20"/>
                <w:szCs w:val="20"/>
              </w:rPr>
              <w:t>Seawater intrusion prevention: US$277/ha/</w:t>
            </w:r>
            <w:proofErr w:type="spellStart"/>
            <w:r w:rsidRPr="0047613F">
              <w:rPr>
                <w:rFonts w:ascii="Cambria" w:hAnsi="Cambria"/>
                <w:sz w:val="20"/>
                <w:szCs w:val="20"/>
              </w:rPr>
              <w:t>yr</w:t>
            </w:r>
            <w:proofErr w:type="spellEnd"/>
            <w:r>
              <w:rPr>
                <w:rFonts w:ascii="Cambria" w:hAnsi="Cambria"/>
                <w:sz w:val="20"/>
                <w:szCs w:val="20"/>
              </w:rPr>
              <w:t xml:space="preserve"> (Malik et al. 2015), </w:t>
            </w:r>
            <w:r w:rsidRPr="00760071">
              <w:rPr>
                <w:rFonts w:ascii="Cambria" w:hAnsi="Cambria"/>
                <w:sz w:val="20"/>
                <w:szCs w:val="20"/>
              </w:rPr>
              <w:t>Flood control: US$600/ha/</w:t>
            </w:r>
            <w:proofErr w:type="spellStart"/>
            <w:r w:rsidRPr="00760071">
              <w:rPr>
                <w:rFonts w:ascii="Cambria" w:hAnsi="Cambria"/>
                <w:sz w:val="20"/>
                <w:szCs w:val="20"/>
              </w:rPr>
              <w:t>yr</w:t>
            </w:r>
            <w:proofErr w:type="spellEnd"/>
            <w:r>
              <w:rPr>
                <w:rFonts w:ascii="Cambria" w:hAnsi="Cambria"/>
                <w:sz w:val="20"/>
                <w:szCs w:val="20"/>
              </w:rPr>
              <w:t xml:space="preserve">; </w:t>
            </w:r>
            <w:r w:rsidRPr="00760071">
              <w:rPr>
                <w:rFonts w:ascii="Cambria" w:hAnsi="Cambria"/>
                <w:sz w:val="20"/>
                <w:szCs w:val="20"/>
              </w:rPr>
              <w:t>Groundwater and recharge supply: US$60/ha/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w:t>
            </w:r>
          </w:p>
        </w:tc>
        <w:tc>
          <w:tcPr>
            <w:tcW w:w="1260" w:type="dxa"/>
            <w:tcBorders>
              <w:top w:val="single" w:sz="4" w:space="0" w:color="auto"/>
              <w:left w:val="nil"/>
              <w:bottom w:val="single" w:sz="4" w:space="0" w:color="auto"/>
              <w:right w:val="single" w:sz="2" w:space="0" w:color="auto"/>
            </w:tcBorders>
            <w:shd w:val="clear" w:color="000000" w:fill="E2EFDA"/>
          </w:tcPr>
          <w:p w14:paraId="6A245D10" w14:textId="269F7DC0"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F01483E" w14:textId="5D8F5F5E"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AD1A206" w14:textId="50327E65"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1911A59" w14:textId="20AB6FF3"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631DCD4" w14:textId="7E1D631F"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11F17F8B" w14:textId="073795EC"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78B6B8C1" w14:textId="49262385" w:rsidR="004F737C" w:rsidRPr="00761424" w:rsidRDefault="004F737C" w:rsidP="00736B28">
            <w:pPr>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78429FA4" w14:textId="0C4E5BE1" w:rsidR="004F737C" w:rsidRPr="00761424" w:rsidRDefault="004F737C" w:rsidP="00736B28">
            <w:pPr>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2EF3586E" w14:textId="07493E34" w:rsidR="004F737C" w:rsidRPr="00761424" w:rsidRDefault="004F737C" w:rsidP="00736B28">
            <w:pPr>
              <w:jc w:val="center"/>
              <w:rPr>
                <w:rFonts w:ascii="Cambria" w:hAnsi="Cambria"/>
                <w:sz w:val="20"/>
                <w:szCs w:val="20"/>
              </w:rPr>
            </w:pPr>
          </w:p>
        </w:tc>
      </w:tr>
      <w:tr w:rsidR="004F737C" w:rsidRPr="00761424" w14:paraId="21971CA5" w14:textId="77777777" w:rsidTr="00D80463">
        <w:trPr>
          <w:trHeight w:val="630"/>
        </w:trPr>
        <w:tc>
          <w:tcPr>
            <w:tcW w:w="1260" w:type="dxa"/>
            <w:tcBorders>
              <w:top w:val="nil"/>
              <w:left w:val="single" w:sz="4" w:space="0" w:color="auto"/>
              <w:bottom w:val="single" w:sz="4" w:space="0" w:color="auto"/>
              <w:right w:val="single" w:sz="4" w:space="0" w:color="auto"/>
            </w:tcBorders>
            <w:shd w:val="clear" w:color="000000" w:fill="E2EFDA"/>
            <w:hideMark/>
          </w:tcPr>
          <w:p w14:paraId="17B13A3E" w14:textId="476277E6"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Erosion prevention</w:t>
            </w:r>
          </w:p>
        </w:tc>
        <w:tc>
          <w:tcPr>
            <w:tcW w:w="2430" w:type="dxa"/>
            <w:tcBorders>
              <w:top w:val="nil"/>
              <w:left w:val="nil"/>
              <w:bottom w:val="single" w:sz="4" w:space="0" w:color="auto"/>
              <w:right w:val="single" w:sz="4" w:space="0" w:color="auto"/>
            </w:tcBorders>
            <w:shd w:val="clear" w:color="000000" w:fill="E2EFDA"/>
          </w:tcPr>
          <w:p w14:paraId="05141626" w14:textId="7DD8AB00" w:rsidR="004F737C" w:rsidRPr="00761424" w:rsidRDefault="004F737C" w:rsidP="00736B28">
            <w:pPr>
              <w:jc w:val="center"/>
              <w:rPr>
                <w:rFonts w:ascii="Cambria" w:hAnsi="Cambria"/>
                <w:sz w:val="20"/>
                <w:szCs w:val="20"/>
              </w:rPr>
            </w:pPr>
            <w:r w:rsidRPr="000E2ED3">
              <w:rPr>
                <w:rFonts w:ascii="Cambria" w:hAnsi="Cambria"/>
                <w:sz w:val="20"/>
                <w:szCs w:val="20"/>
              </w:rPr>
              <w:t>US$1200/ha/</w:t>
            </w:r>
            <w:proofErr w:type="spellStart"/>
            <w:r w:rsidRPr="000E2ED3">
              <w:rPr>
                <w:rFonts w:ascii="Cambria" w:hAnsi="Cambria"/>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0E2ED3">
              <w:rPr>
                <w:rFonts w:ascii="Cambria" w:hAnsi="Cambria"/>
                <w:sz w:val="20"/>
                <w:szCs w:val="20"/>
              </w:rPr>
              <w:t>Erosion and climate control</w:t>
            </w:r>
            <w:r w:rsidR="00736B28">
              <w:rPr>
                <w:rFonts w:ascii="Cambria" w:hAnsi="Cambria"/>
                <w:sz w:val="20"/>
                <w:szCs w:val="20"/>
              </w:rPr>
              <w:t>:</w:t>
            </w:r>
            <w:r w:rsidRPr="000E2ED3">
              <w:rPr>
                <w:rFonts w:ascii="Cambria" w:hAnsi="Cambria"/>
                <w:sz w:val="20"/>
                <w:szCs w:val="20"/>
              </w:rPr>
              <w:t xml:space="preserve"> US$186/ha/</w:t>
            </w:r>
            <w:proofErr w:type="spellStart"/>
            <w:r w:rsidRPr="000E2ED3">
              <w:rPr>
                <w:rFonts w:ascii="Cambria" w:hAnsi="Cambria"/>
                <w:sz w:val="20"/>
                <w:szCs w:val="20"/>
              </w:rPr>
              <w:t>yr</w:t>
            </w:r>
            <w:proofErr w:type="spellEnd"/>
            <w:r>
              <w:rPr>
                <w:rFonts w:ascii="Cambria" w:hAnsi="Cambria"/>
                <w:sz w:val="20"/>
                <w:szCs w:val="20"/>
              </w:rPr>
              <w:t xml:space="preserve"> </w:t>
            </w:r>
            <w:r w:rsidRPr="000E2ED3">
              <w:rPr>
                <w:rFonts w:ascii="Cambria" w:hAnsi="Cambria"/>
                <w:sz w:val="20"/>
                <w:szCs w:val="20"/>
              </w:rPr>
              <w:t>(</w:t>
            </w:r>
            <w:proofErr w:type="spellStart"/>
            <w:r w:rsidRPr="000E2ED3">
              <w:rPr>
                <w:rFonts w:ascii="Cambria" w:hAnsi="Cambria"/>
                <w:sz w:val="20"/>
                <w:szCs w:val="20"/>
              </w:rPr>
              <w:t>Ayanlade</w:t>
            </w:r>
            <w:proofErr w:type="spellEnd"/>
            <w:r w:rsidRPr="000E2ED3">
              <w:rPr>
                <w:rFonts w:ascii="Cambria" w:hAnsi="Cambria"/>
                <w:sz w:val="20"/>
                <w:szCs w:val="20"/>
              </w:rPr>
              <w:t xml:space="preserve"> et al. 2015)</w:t>
            </w:r>
            <w:r>
              <w:rPr>
                <w:rFonts w:ascii="Cambria" w:hAnsi="Cambria"/>
                <w:sz w:val="20"/>
                <w:szCs w:val="20"/>
              </w:rPr>
              <w:t xml:space="preserve">; </w:t>
            </w:r>
            <w:r w:rsidRPr="00760071">
              <w:rPr>
                <w:rFonts w:ascii="Cambria" w:hAnsi="Cambria"/>
                <w:sz w:val="20"/>
                <w:szCs w:val="20"/>
              </w:rPr>
              <w:t>US$800/ha/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 </w:t>
            </w:r>
            <w:r w:rsidRPr="00760071">
              <w:rPr>
                <w:rFonts w:ascii="Cambria" w:hAnsi="Cambria"/>
                <w:sz w:val="20"/>
                <w:szCs w:val="20"/>
              </w:rPr>
              <w:t xml:space="preserve">Shoreline protection: 1) US$170,100 per km of shoreline per </w:t>
            </w:r>
            <w:proofErr w:type="spellStart"/>
            <w:r w:rsidRPr="00760071">
              <w:rPr>
                <w:rFonts w:ascii="Cambria" w:hAnsi="Cambria"/>
                <w:sz w:val="20"/>
                <w:szCs w:val="20"/>
              </w:rPr>
              <w:t>yr</w:t>
            </w:r>
            <w:proofErr w:type="spellEnd"/>
            <w:r w:rsidRPr="00760071">
              <w:rPr>
                <w:rFonts w:ascii="Cambria" w:hAnsi="Cambria"/>
                <w:sz w:val="20"/>
                <w:szCs w:val="20"/>
              </w:rPr>
              <w:t xml:space="preserve"> (in 1994 US$) or 2) F$105 million total protection value</w:t>
            </w:r>
            <w:r>
              <w:rPr>
                <w:rFonts w:ascii="Cambria" w:hAnsi="Cambria"/>
                <w:sz w:val="20"/>
                <w:szCs w:val="20"/>
              </w:rPr>
              <w:t xml:space="preserve"> (</w:t>
            </w:r>
            <w:proofErr w:type="spellStart"/>
            <w:r>
              <w:rPr>
                <w:rFonts w:ascii="Cambria" w:hAnsi="Cambria"/>
                <w:sz w:val="20"/>
                <w:szCs w:val="20"/>
              </w:rPr>
              <w:t>Korovulavula</w:t>
            </w:r>
            <w:proofErr w:type="spellEnd"/>
            <w:r>
              <w:rPr>
                <w:rFonts w:ascii="Cambria" w:hAnsi="Cambria"/>
                <w:sz w:val="20"/>
                <w:szCs w:val="20"/>
              </w:rPr>
              <w:t xml:space="preserve"> et al. 2008)</w:t>
            </w:r>
          </w:p>
        </w:tc>
        <w:tc>
          <w:tcPr>
            <w:tcW w:w="1260" w:type="dxa"/>
            <w:tcBorders>
              <w:top w:val="single" w:sz="4" w:space="0" w:color="auto"/>
              <w:left w:val="nil"/>
              <w:bottom w:val="single" w:sz="4" w:space="0" w:color="auto"/>
              <w:right w:val="single" w:sz="2" w:space="0" w:color="auto"/>
            </w:tcBorders>
            <w:shd w:val="clear" w:color="000000" w:fill="E2EFDA"/>
          </w:tcPr>
          <w:p w14:paraId="006A9D60" w14:textId="6C2BA543"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77CF66F" w14:textId="6FB2E21E"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07BE821" w14:textId="22F54ED8"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104D058" w14:textId="237BEE6A"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007B2AA" w14:textId="359ABED2"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425DD0B7" w14:textId="7C064910" w:rsidR="004F737C" w:rsidRPr="00761424" w:rsidRDefault="004F737C" w:rsidP="00736B28">
            <w:pPr>
              <w:jc w:val="center"/>
              <w:rPr>
                <w:rFonts w:ascii="Cambria" w:hAnsi="Cambria"/>
                <w:sz w:val="20"/>
                <w:szCs w:val="20"/>
              </w:rPr>
            </w:pPr>
            <w:r w:rsidRPr="001C5A91">
              <w:rPr>
                <w:rFonts w:ascii="Cambria" w:hAnsi="Cambria"/>
                <w:sz w:val="20"/>
                <w:szCs w:val="20"/>
              </w:rPr>
              <w:t>US$38.25 /ha/</w:t>
            </w:r>
            <w:proofErr w:type="spellStart"/>
            <w:r w:rsidRPr="001C5A9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Janekarnkij</w:t>
            </w:r>
            <w:proofErr w:type="spellEnd"/>
            <w:r>
              <w:rPr>
                <w:rFonts w:ascii="Cambria" w:hAnsi="Cambria"/>
                <w:sz w:val="20"/>
                <w:szCs w:val="20"/>
              </w:rPr>
              <w:t xml:space="preserve"> 2010); </w:t>
            </w:r>
            <w:r w:rsidRPr="00EA2AAC">
              <w:rPr>
                <w:rFonts w:ascii="Cambria" w:hAnsi="Cambria"/>
                <w:sz w:val="20"/>
                <w:szCs w:val="20"/>
              </w:rPr>
              <w:t>$597.24 to $1,791.71 per ha</w:t>
            </w:r>
            <w:r>
              <w:rPr>
                <w:rFonts w:ascii="Cambria" w:hAnsi="Cambria"/>
                <w:sz w:val="20"/>
                <w:szCs w:val="20"/>
              </w:rPr>
              <w:t xml:space="preserve"> (Clark et al. 2010)</w:t>
            </w:r>
          </w:p>
        </w:tc>
        <w:tc>
          <w:tcPr>
            <w:tcW w:w="1170" w:type="dxa"/>
            <w:tcBorders>
              <w:top w:val="nil"/>
              <w:left w:val="single" w:sz="2" w:space="0" w:color="auto"/>
              <w:bottom w:val="single" w:sz="4" w:space="0" w:color="auto"/>
              <w:right w:val="single" w:sz="4" w:space="0" w:color="auto"/>
            </w:tcBorders>
            <w:shd w:val="clear" w:color="000000" w:fill="E2EFDA"/>
          </w:tcPr>
          <w:p w14:paraId="241CD5B9" w14:textId="676584D8" w:rsidR="004F737C" w:rsidRPr="00C25841" w:rsidRDefault="004F737C" w:rsidP="00736B28">
            <w:pPr>
              <w:jc w:val="center"/>
              <w:rPr>
                <w:rFonts w:ascii="Cambria" w:hAnsi="Cambria"/>
                <w:sz w:val="20"/>
                <w:szCs w:val="20"/>
                <w:lang w:val="fr-FR"/>
              </w:rPr>
            </w:pPr>
            <w:r w:rsidRPr="00C25841">
              <w:rPr>
                <w:rFonts w:ascii="Cambria" w:hAnsi="Cambria"/>
                <w:sz w:val="20"/>
                <w:szCs w:val="20"/>
                <w:lang w:val="fr-FR"/>
              </w:rPr>
              <w:t>US$672/ha/</w:t>
            </w:r>
            <w:proofErr w:type="spellStart"/>
            <w:r w:rsidRPr="00C25841">
              <w:rPr>
                <w:rFonts w:ascii="Cambria" w:hAnsi="Cambria"/>
                <w:sz w:val="20"/>
                <w:szCs w:val="20"/>
                <w:lang w:val="fr-FR"/>
              </w:rPr>
              <w:t>yr</w:t>
            </w:r>
            <w:proofErr w:type="spellEnd"/>
            <w:r w:rsidRPr="00C25841">
              <w:rPr>
                <w:rFonts w:ascii="Cambria" w:hAnsi="Cambria"/>
                <w:sz w:val="20"/>
                <w:szCs w:val="20"/>
                <w:lang w:val="fr-FR"/>
              </w:rPr>
              <w:t xml:space="preserve"> (</w:t>
            </w:r>
            <w:proofErr w:type="spellStart"/>
            <w:r w:rsidRPr="00C25841">
              <w:rPr>
                <w:rFonts w:ascii="Cambria" w:hAnsi="Cambria"/>
                <w:sz w:val="20"/>
                <w:szCs w:val="20"/>
                <w:lang w:val="fr-FR"/>
              </w:rPr>
              <w:t>Samonte</w:t>
            </w:r>
            <w:proofErr w:type="spellEnd"/>
            <w:r w:rsidRPr="00C25841">
              <w:rPr>
                <w:rFonts w:ascii="Cambria" w:hAnsi="Cambria"/>
                <w:sz w:val="20"/>
                <w:szCs w:val="20"/>
                <w:lang w:val="fr-FR"/>
              </w:rPr>
              <w:t>-Tan</w:t>
            </w:r>
            <w:r w:rsidR="00C25841" w:rsidRPr="00C25841">
              <w:rPr>
                <w:rFonts w:ascii="Cambria" w:hAnsi="Cambria"/>
                <w:sz w:val="20"/>
                <w:szCs w:val="20"/>
                <w:lang w:val="fr-FR"/>
              </w:rPr>
              <w:t xml:space="preserve"> et al.</w:t>
            </w:r>
            <w:r w:rsidRPr="00C25841">
              <w:rPr>
                <w:rFonts w:ascii="Cambria" w:hAnsi="Cambria"/>
                <w:sz w:val="20"/>
                <w:szCs w:val="20"/>
                <w:lang w:val="fr-FR"/>
              </w:rPr>
              <w:t xml:space="preserve"> 2007)</w:t>
            </w:r>
          </w:p>
        </w:tc>
        <w:tc>
          <w:tcPr>
            <w:tcW w:w="1080" w:type="dxa"/>
            <w:tcBorders>
              <w:top w:val="nil"/>
              <w:left w:val="single" w:sz="2" w:space="0" w:color="auto"/>
              <w:bottom w:val="single" w:sz="4" w:space="0" w:color="auto"/>
              <w:right w:val="single" w:sz="4" w:space="0" w:color="auto"/>
            </w:tcBorders>
            <w:shd w:val="clear" w:color="000000" w:fill="E2EFDA"/>
          </w:tcPr>
          <w:p w14:paraId="6EA25711" w14:textId="066BEB78" w:rsidR="004F737C" w:rsidRPr="00761424" w:rsidRDefault="004F737C" w:rsidP="00736B28">
            <w:pPr>
              <w:jc w:val="center"/>
              <w:rPr>
                <w:rFonts w:ascii="Cambria" w:hAnsi="Cambria"/>
                <w:sz w:val="20"/>
                <w:szCs w:val="20"/>
              </w:rPr>
            </w:pPr>
            <w:r w:rsidRPr="004F737C">
              <w:rPr>
                <w:rFonts w:ascii="Cambria" w:hAnsi="Cambria"/>
                <w:sz w:val="20"/>
                <w:szCs w:val="20"/>
              </w:rPr>
              <w:t xml:space="preserve">Erosion control and Storm protection: 23,210.74 </w:t>
            </w:r>
            <w:proofErr w:type="spellStart"/>
            <w:r w:rsidRPr="004F737C">
              <w:rPr>
                <w:rFonts w:ascii="Cambria" w:hAnsi="Cambria"/>
                <w:sz w:val="20"/>
                <w:szCs w:val="20"/>
              </w:rPr>
              <w:t>PhP</w:t>
            </w:r>
            <w:proofErr w:type="spellEnd"/>
            <w:r w:rsidRPr="004F737C">
              <w:rPr>
                <w:rFonts w:ascii="Cambria" w:hAnsi="Cambria"/>
                <w:sz w:val="20"/>
                <w:szCs w:val="20"/>
              </w:rPr>
              <w:t>/ha/</w:t>
            </w:r>
            <w:proofErr w:type="spellStart"/>
            <w:r w:rsidRPr="004F737C">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Defiesta</w:t>
            </w:r>
            <w:proofErr w:type="spellEnd"/>
            <w:r>
              <w:rPr>
                <w:rFonts w:ascii="Cambria" w:hAnsi="Cambria"/>
                <w:sz w:val="20"/>
                <w:szCs w:val="20"/>
              </w:rPr>
              <w:t xml:space="preserve"> 2007)</w:t>
            </w:r>
          </w:p>
        </w:tc>
        <w:tc>
          <w:tcPr>
            <w:tcW w:w="1260" w:type="dxa"/>
            <w:tcBorders>
              <w:top w:val="nil"/>
              <w:left w:val="nil"/>
              <w:bottom w:val="single" w:sz="4" w:space="0" w:color="auto"/>
              <w:right w:val="single" w:sz="4" w:space="0" w:color="auto"/>
            </w:tcBorders>
            <w:shd w:val="clear" w:color="000000" w:fill="E2EFDA"/>
          </w:tcPr>
          <w:p w14:paraId="64F307E8" w14:textId="1FB08E9D" w:rsidR="004F737C" w:rsidRPr="00761424" w:rsidRDefault="004F737C" w:rsidP="00736B28">
            <w:pPr>
              <w:jc w:val="center"/>
              <w:rPr>
                <w:rFonts w:ascii="Cambria" w:hAnsi="Cambria"/>
                <w:sz w:val="20"/>
                <w:szCs w:val="20"/>
              </w:rPr>
            </w:pPr>
          </w:p>
        </w:tc>
      </w:tr>
      <w:tr w:rsidR="004F737C" w:rsidRPr="001C5A91" w14:paraId="4F9052D8" w14:textId="77777777" w:rsidTr="00D80463">
        <w:trPr>
          <w:trHeight w:val="710"/>
        </w:trPr>
        <w:tc>
          <w:tcPr>
            <w:tcW w:w="1260" w:type="dxa"/>
            <w:tcBorders>
              <w:top w:val="nil"/>
              <w:left w:val="single" w:sz="4" w:space="0" w:color="auto"/>
              <w:bottom w:val="single" w:sz="4" w:space="0" w:color="auto"/>
              <w:right w:val="single" w:sz="4" w:space="0" w:color="auto"/>
            </w:tcBorders>
            <w:shd w:val="clear" w:color="000000" w:fill="E2EFDA"/>
            <w:hideMark/>
          </w:tcPr>
          <w:p w14:paraId="3D32B404" w14:textId="5782756E"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Climate regulation</w:t>
            </w:r>
          </w:p>
        </w:tc>
        <w:tc>
          <w:tcPr>
            <w:tcW w:w="2430" w:type="dxa"/>
            <w:tcBorders>
              <w:top w:val="nil"/>
              <w:left w:val="nil"/>
              <w:bottom w:val="single" w:sz="4" w:space="0" w:color="auto"/>
              <w:right w:val="single" w:sz="4" w:space="0" w:color="auto"/>
            </w:tcBorders>
            <w:shd w:val="clear" w:color="000000" w:fill="E2EFDA"/>
          </w:tcPr>
          <w:p w14:paraId="7D133A8A" w14:textId="1ED6D89D" w:rsidR="004F737C" w:rsidRPr="000E2ED3" w:rsidRDefault="004F737C" w:rsidP="00736B28">
            <w:pPr>
              <w:spacing w:after="0" w:line="240" w:lineRule="auto"/>
              <w:jc w:val="center"/>
              <w:rPr>
                <w:rFonts w:ascii="Cambria" w:eastAsia="Times New Roman" w:hAnsi="Cambria" w:cs="Times New Roman"/>
                <w:color w:val="000000"/>
                <w:sz w:val="20"/>
                <w:szCs w:val="20"/>
              </w:rPr>
            </w:pPr>
            <w:r w:rsidRPr="000E2ED3">
              <w:rPr>
                <w:rFonts w:ascii="Cambria" w:eastAsia="Times New Roman" w:hAnsi="Cambria" w:cs="Times New Roman"/>
                <w:color w:val="000000"/>
                <w:sz w:val="20"/>
                <w:szCs w:val="20"/>
              </w:rPr>
              <w:t>Microclimate regulation: US$1000/ha/</w:t>
            </w:r>
            <w:proofErr w:type="spellStart"/>
            <w:r w:rsidRPr="000E2ED3">
              <w:rPr>
                <w:rFonts w:ascii="Cambria" w:eastAsia="Times New Roman" w:hAnsi="Cambria" w:cs="Times New Roman"/>
                <w:color w:val="000000"/>
                <w:sz w:val="20"/>
                <w:szCs w:val="20"/>
              </w:rPr>
              <w:t>yr</w:t>
            </w:r>
            <w:proofErr w:type="spellEnd"/>
          </w:p>
          <w:p w14:paraId="5D30E1A1" w14:textId="0CFF8299" w:rsidR="004F737C" w:rsidRPr="00761424" w:rsidRDefault="004F737C" w:rsidP="005D387E">
            <w:pPr>
              <w:spacing w:after="0" w:line="240" w:lineRule="auto"/>
              <w:jc w:val="center"/>
              <w:rPr>
                <w:rFonts w:ascii="Cambria" w:eastAsia="Times New Roman" w:hAnsi="Cambria" w:cs="Times New Roman"/>
                <w:color w:val="000000"/>
                <w:sz w:val="20"/>
                <w:szCs w:val="20"/>
              </w:rPr>
            </w:pPr>
            <w:r w:rsidRPr="000E2ED3">
              <w:rPr>
                <w:rFonts w:ascii="Cambria" w:eastAsia="Times New Roman" w:hAnsi="Cambria" w:cs="Times New Roman"/>
                <w:color w:val="000000"/>
                <w:sz w:val="20"/>
                <w:szCs w:val="20"/>
              </w:rPr>
              <w:t>World climate regulation: US$100/ha/</w:t>
            </w:r>
            <w:proofErr w:type="spellStart"/>
            <w:r w:rsidRPr="000E2ED3">
              <w:rPr>
                <w:rFonts w:ascii="Cambria" w:eastAsia="Times New Roman" w:hAnsi="Cambria" w:cs="Times New Roman"/>
                <w:color w:val="000000"/>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0E2ED3">
              <w:rPr>
                <w:rFonts w:ascii="Cambria" w:hAnsi="Cambria"/>
                <w:sz w:val="20"/>
                <w:szCs w:val="20"/>
              </w:rPr>
              <w:t>Erosion and climate control</w:t>
            </w:r>
            <w:r w:rsidR="00736B28">
              <w:rPr>
                <w:rFonts w:ascii="Cambria" w:hAnsi="Cambria"/>
                <w:sz w:val="20"/>
                <w:szCs w:val="20"/>
              </w:rPr>
              <w:t>:</w:t>
            </w:r>
            <w:r w:rsidRPr="000E2ED3">
              <w:rPr>
                <w:rFonts w:ascii="Cambria" w:hAnsi="Cambria"/>
                <w:sz w:val="20"/>
                <w:szCs w:val="20"/>
              </w:rPr>
              <w:t xml:space="preserve"> US$186/ha/</w:t>
            </w:r>
            <w:proofErr w:type="spellStart"/>
            <w:r w:rsidRPr="000E2ED3">
              <w:rPr>
                <w:rFonts w:ascii="Cambria" w:hAnsi="Cambria"/>
                <w:sz w:val="20"/>
                <w:szCs w:val="20"/>
              </w:rPr>
              <w:t>yr</w:t>
            </w:r>
            <w:proofErr w:type="spellEnd"/>
            <w:r>
              <w:rPr>
                <w:rFonts w:ascii="Cambria" w:hAnsi="Cambria"/>
                <w:sz w:val="20"/>
                <w:szCs w:val="20"/>
              </w:rPr>
              <w:t xml:space="preserve"> </w:t>
            </w:r>
            <w:r w:rsidRPr="000E2ED3">
              <w:rPr>
                <w:rFonts w:ascii="Cambria" w:hAnsi="Cambria"/>
                <w:sz w:val="20"/>
                <w:szCs w:val="20"/>
              </w:rPr>
              <w:t>(</w:t>
            </w:r>
            <w:proofErr w:type="spellStart"/>
            <w:r w:rsidRPr="000E2ED3">
              <w:rPr>
                <w:rFonts w:ascii="Cambria" w:hAnsi="Cambria"/>
                <w:sz w:val="20"/>
                <w:szCs w:val="20"/>
              </w:rPr>
              <w:t>Ayanlade</w:t>
            </w:r>
            <w:proofErr w:type="spellEnd"/>
            <w:r w:rsidRPr="000E2ED3">
              <w:rPr>
                <w:rFonts w:ascii="Cambria" w:hAnsi="Cambria"/>
                <w:sz w:val="20"/>
                <w:szCs w:val="20"/>
              </w:rPr>
              <w:t xml:space="preserve"> et al. 2015)</w:t>
            </w:r>
            <w:r w:rsidR="005D387E">
              <w:rPr>
                <w:rFonts w:ascii="Cambria" w:hAnsi="Cambria"/>
                <w:sz w:val="20"/>
                <w:szCs w:val="20"/>
              </w:rPr>
              <w:t>;</w:t>
            </w:r>
            <w:r>
              <w:rPr>
                <w:rFonts w:ascii="Cambria" w:hAnsi="Cambria"/>
                <w:sz w:val="20"/>
                <w:szCs w:val="20"/>
              </w:rPr>
              <w:t xml:space="preserve"> </w:t>
            </w:r>
            <w:r w:rsidRPr="0051605B">
              <w:rPr>
                <w:rFonts w:ascii="Cambria" w:hAnsi="Cambria"/>
                <w:sz w:val="20"/>
                <w:szCs w:val="20"/>
              </w:rPr>
              <w:t>Carbon sequestration: 0.01 M €/km²/year</w:t>
            </w:r>
            <w:r>
              <w:rPr>
                <w:rFonts w:ascii="Cambria" w:hAnsi="Cambria"/>
                <w:sz w:val="20"/>
                <w:szCs w:val="20"/>
              </w:rPr>
              <w:t xml:space="preserve"> (</w:t>
            </w:r>
            <w:proofErr w:type="spellStart"/>
            <w:r>
              <w:rPr>
                <w:rFonts w:ascii="Cambria" w:hAnsi="Cambria"/>
                <w:sz w:val="20"/>
                <w:szCs w:val="20"/>
              </w:rPr>
              <w:t>Failler</w:t>
            </w:r>
            <w:proofErr w:type="spellEnd"/>
            <w:r>
              <w:rPr>
                <w:rFonts w:ascii="Cambria" w:hAnsi="Cambria"/>
                <w:sz w:val="20"/>
                <w:szCs w:val="20"/>
              </w:rPr>
              <w:t xml:space="preserve"> et al. 2015); </w:t>
            </w:r>
            <w:r w:rsidRPr="0047613F">
              <w:rPr>
                <w:rFonts w:ascii="Cambria" w:hAnsi="Cambria"/>
                <w:sz w:val="20"/>
                <w:szCs w:val="20"/>
              </w:rPr>
              <w:t>Carbon sequestration:US$550-1100/ha/</w:t>
            </w:r>
            <w:proofErr w:type="spellStart"/>
            <w:r w:rsidRPr="0047613F">
              <w:rPr>
                <w:rFonts w:ascii="Cambria" w:hAnsi="Cambria"/>
                <w:sz w:val="20"/>
                <w:szCs w:val="20"/>
              </w:rPr>
              <w:t>yr</w:t>
            </w:r>
            <w:proofErr w:type="spellEnd"/>
            <w:r>
              <w:rPr>
                <w:rFonts w:ascii="Cambria" w:hAnsi="Cambria"/>
                <w:sz w:val="20"/>
                <w:szCs w:val="20"/>
              </w:rPr>
              <w:t xml:space="preserve"> (Malik et al. 2015); </w:t>
            </w:r>
            <w:r w:rsidRPr="00760071">
              <w:rPr>
                <w:rFonts w:ascii="Cambria" w:hAnsi="Cambria"/>
                <w:sz w:val="20"/>
                <w:szCs w:val="20"/>
              </w:rPr>
              <w:t>Microclimate regulation: US$800/ha/</w:t>
            </w:r>
            <w:proofErr w:type="spellStart"/>
            <w:r w:rsidRPr="00760071">
              <w:rPr>
                <w:rFonts w:ascii="Cambria" w:hAnsi="Cambria"/>
                <w:sz w:val="20"/>
                <w:szCs w:val="20"/>
              </w:rPr>
              <w:t>yr</w:t>
            </w:r>
            <w:proofErr w:type="spellEnd"/>
            <w:r>
              <w:rPr>
                <w:rFonts w:ascii="Cambria" w:hAnsi="Cambria"/>
                <w:sz w:val="20"/>
                <w:szCs w:val="20"/>
              </w:rPr>
              <w:t xml:space="preserve">, </w:t>
            </w:r>
            <w:r w:rsidRPr="00760071">
              <w:rPr>
                <w:rFonts w:ascii="Cambria" w:hAnsi="Cambria"/>
                <w:sz w:val="20"/>
                <w:szCs w:val="20"/>
              </w:rPr>
              <w:t xml:space="preserve">World climate regulation: </w:t>
            </w:r>
            <w:r w:rsidRPr="00760071">
              <w:rPr>
                <w:rFonts w:ascii="Cambria" w:hAnsi="Cambria"/>
                <w:sz w:val="20"/>
                <w:szCs w:val="20"/>
              </w:rPr>
              <w:lastRenderedPageBreak/>
              <w:t>US$100/ha/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w:t>
            </w:r>
          </w:p>
        </w:tc>
        <w:tc>
          <w:tcPr>
            <w:tcW w:w="1260" w:type="dxa"/>
            <w:tcBorders>
              <w:top w:val="single" w:sz="4" w:space="0" w:color="auto"/>
              <w:left w:val="nil"/>
              <w:bottom w:val="single" w:sz="4" w:space="0" w:color="auto"/>
              <w:right w:val="single" w:sz="2" w:space="0" w:color="auto"/>
            </w:tcBorders>
            <w:shd w:val="clear" w:color="000000" w:fill="E2EFDA"/>
          </w:tcPr>
          <w:p w14:paraId="6F101B8C" w14:textId="6F295DAE"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F0CF056" w14:textId="4E7EC806" w:rsidR="004F737C"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451575E5" w14:textId="7C678FFA"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F0FD1DB" w14:textId="6F41E09D" w:rsidR="004F737C"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C949B18" w14:textId="17E53F47" w:rsidR="004F737C" w:rsidRPr="001C5A91" w:rsidRDefault="004F737C" w:rsidP="00736B28">
            <w:pPr>
              <w:spacing w:after="0" w:line="240" w:lineRule="auto"/>
              <w:jc w:val="center"/>
              <w:rPr>
                <w:rFonts w:ascii="Cambria" w:eastAsia="Times New Roman" w:hAnsi="Cambria" w:cs="Times New Roman"/>
                <w:color w:val="000000"/>
                <w:sz w:val="20"/>
                <w:szCs w:val="20"/>
                <w:lang w:val="fr-FR"/>
              </w:rPr>
            </w:pPr>
            <w:r w:rsidRPr="001C5A91">
              <w:rPr>
                <w:rFonts w:ascii="Cambria" w:eastAsia="Times New Roman" w:hAnsi="Cambria" w:cs="Times New Roman"/>
                <w:color w:val="000000"/>
                <w:sz w:val="20"/>
                <w:szCs w:val="20"/>
              </w:rPr>
              <w:t>Forestation cost (C fixation)</w:t>
            </w:r>
            <w:r>
              <w:rPr>
                <w:rFonts w:ascii="Cambria" w:eastAsia="Times New Roman" w:hAnsi="Cambria" w:cs="Times New Roman"/>
                <w:color w:val="000000"/>
                <w:sz w:val="20"/>
                <w:szCs w:val="20"/>
              </w:rPr>
              <w:t xml:space="preserve">: </w:t>
            </w:r>
            <w:r w:rsidRPr="001C5A91">
              <w:rPr>
                <w:rFonts w:ascii="Cambria" w:eastAsia="Times New Roman" w:hAnsi="Cambria" w:cs="Times New Roman"/>
                <w:color w:val="000000"/>
                <w:sz w:val="20"/>
                <w:szCs w:val="20"/>
              </w:rPr>
              <w:t>16,963,200 CNY/year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lang w:val="fr-FR"/>
              </w:rPr>
              <w:t>Carbon</w:t>
            </w:r>
            <w:proofErr w:type="spellEnd"/>
            <w:r>
              <w:rPr>
                <w:rFonts w:ascii="Cambria" w:eastAsia="Times New Roman" w:hAnsi="Cambria" w:cs="Times New Roman"/>
                <w:color w:val="000000"/>
                <w:sz w:val="20"/>
                <w:szCs w:val="20"/>
                <w:lang w:val="fr-FR"/>
              </w:rPr>
              <w:t xml:space="preserve"> </w:t>
            </w:r>
            <w:proofErr w:type="spellStart"/>
            <w:r>
              <w:rPr>
                <w:rFonts w:ascii="Cambria" w:eastAsia="Times New Roman" w:hAnsi="Cambria" w:cs="Times New Roman"/>
                <w:color w:val="000000"/>
                <w:sz w:val="20"/>
                <w:szCs w:val="20"/>
                <w:lang w:val="fr-FR"/>
              </w:rPr>
              <w:t>tax</w:t>
            </w:r>
            <w:proofErr w:type="spellEnd"/>
            <w:r>
              <w:rPr>
                <w:rFonts w:ascii="Cambria" w:eastAsia="Times New Roman" w:hAnsi="Cambria" w:cs="Times New Roman"/>
                <w:color w:val="000000"/>
                <w:sz w:val="20"/>
                <w:szCs w:val="20"/>
                <w:lang w:val="fr-FR"/>
              </w:rPr>
              <w:t xml:space="preserve">: </w:t>
            </w:r>
            <w:r w:rsidRPr="001C5A91">
              <w:rPr>
                <w:rFonts w:ascii="Cambria" w:eastAsia="Times New Roman" w:hAnsi="Cambria" w:cs="Times New Roman"/>
                <w:color w:val="000000"/>
                <w:sz w:val="20"/>
                <w:szCs w:val="20"/>
                <w:lang w:val="fr-FR"/>
              </w:rPr>
              <w:t>80,723,300 CNY/</w:t>
            </w:r>
            <w:proofErr w:type="spellStart"/>
            <w:r w:rsidRPr="001C5A91">
              <w:rPr>
                <w:rFonts w:ascii="Cambria" w:eastAsia="Times New Roman" w:hAnsi="Cambria" w:cs="Times New Roman"/>
                <w:color w:val="000000"/>
                <w:sz w:val="20"/>
                <w:szCs w:val="20"/>
                <w:lang w:val="fr-FR"/>
              </w:rPr>
              <w:t>year</w:t>
            </w:r>
            <w:proofErr w:type="spellEnd"/>
            <w:r w:rsidRPr="001C5A91">
              <w:rPr>
                <w:rFonts w:ascii="Cambria" w:eastAsia="Times New Roman" w:hAnsi="Cambria" w:cs="Times New Roman"/>
                <w:color w:val="000000"/>
                <w:sz w:val="20"/>
                <w:szCs w:val="20"/>
                <w:lang w:val="fr-FR"/>
              </w:rPr>
              <w:t xml:space="preserve"> (</w:t>
            </w:r>
            <w:proofErr w:type="spellStart"/>
            <w:r w:rsidRPr="001C5A91">
              <w:rPr>
                <w:rFonts w:ascii="Cambria" w:eastAsia="Times New Roman" w:hAnsi="Cambria" w:cs="Times New Roman"/>
                <w:color w:val="000000"/>
                <w:sz w:val="20"/>
                <w:szCs w:val="20"/>
                <w:lang w:val="fr-FR"/>
              </w:rPr>
              <w:t>Zhiyun</w:t>
            </w:r>
            <w:proofErr w:type="spellEnd"/>
            <w:r w:rsidRPr="001C5A91">
              <w:rPr>
                <w:rFonts w:ascii="Cambria" w:eastAsia="Times New Roman" w:hAnsi="Cambria" w:cs="Times New Roman"/>
                <w:color w:val="000000"/>
                <w:sz w:val="20"/>
                <w:szCs w:val="20"/>
                <w:lang w:val="fr-FR"/>
              </w:rPr>
              <w:t xml:space="preserve"> et al. </w:t>
            </w:r>
            <w:r>
              <w:rPr>
                <w:rFonts w:ascii="Cambria" w:eastAsia="Times New Roman" w:hAnsi="Cambria" w:cs="Times New Roman"/>
                <w:color w:val="000000"/>
                <w:sz w:val="20"/>
                <w:szCs w:val="20"/>
                <w:lang w:val="fr-FR"/>
              </w:rPr>
              <w:t>2011)</w:t>
            </w:r>
          </w:p>
        </w:tc>
        <w:tc>
          <w:tcPr>
            <w:tcW w:w="1170" w:type="dxa"/>
            <w:tcBorders>
              <w:top w:val="nil"/>
              <w:left w:val="single" w:sz="2" w:space="0" w:color="auto"/>
              <w:bottom w:val="single" w:sz="4" w:space="0" w:color="auto"/>
              <w:right w:val="single" w:sz="4" w:space="0" w:color="auto"/>
            </w:tcBorders>
            <w:shd w:val="clear" w:color="000000" w:fill="E2EFDA"/>
          </w:tcPr>
          <w:p w14:paraId="6C0ED902" w14:textId="098AA019" w:rsidR="004F737C" w:rsidRPr="001C5A91" w:rsidRDefault="004F737C" w:rsidP="00736B28">
            <w:pPr>
              <w:spacing w:after="0" w:line="240" w:lineRule="auto"/>
              <w:jc w:val="center"/>
              <w:rPr>
                <w:rFonts w:ascii="Cambria" w:eastAsia="Times New Roman" w:hAnsi="Cambria" w:cs="Times New Roman"/>
                <w:color w:val="000000"/>
                <w:sz w:val="20"/>
                <w:szCs w:val="20"/>
                <w:lang w:val="fr-FR"/>
              </w:rPr>
            </w:pPr>
            <w:r w:rsidRPr="001C5A91">
              <w:rPr>
                <w:rFonts w:ascii="Cambria" w:eastAsia="Times New Roman" w:hAnsi="Cambria" w:cs="Times New Roman"/>
                <w:color w:val="000000"/>
                <w:sz w:val="20"/>
                <w:szCs w:val="20"/>
              </w:rPr>
              <w:t>Carbon sequestration: US$2.2/ha/</w:t>
            </w:r>
            <w:proofErr w:type="spellStart"/>
            <w:r w:rsidRPr="001C5A91">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Pr>
                <w:rFonts w:ascii="Cambria" w:hAnsi="Cambria"/>
                <w:sz w:val="20"/>
                <w:szCs w:val="20"/>
              </w:rPr>
              <w:t>(</w:t>
            </w:r>
            <w:proofErr w:type="spellStart"/>
            <w:r>
              <w:rPr>
                <w:rFonts w:ascii="Cambria" w:hAnsi="Cambria"/>
                <w:sz w:val="20"/>
                <w:szCs w:val="20"/>
              </w:rPr>
              <w:t>Janekarnkij</w:t>
            </w:r>
            <w:proofErr w:type="spellEnd"/>
            <w:r>
              <w:rPr>
                <w:rFonts w:ascii="Cambria" w:hAnsi="Cambria"/>
                <w:sz w:val="20"/>
                <w:szCs w:val="20"/>
              </w:rPr>
              <w:t xml:space="preserve"> 2010)</w:t>
            </w:r>
          </w:p>
        </w:tc>
        <w:tc>
          <w:tcPr>
            <w:tcW w:w="1170" w:type="dxa"/>
            <w:tcBorders>
              <w:top w:val="nil"/>
              <w:left w:val="single" w:sz="2" w:space="0" w:color="auto"/>
              <w:bottom w:val="single" w:sz="4" w:space="0" w:color="auto"/>
              <w:right w:val="single" w:sz="4" w:space="0" w:color="auto"/>
            </w:tcBorders>
            <w:shd w:val="clear" w:color="000000" w:fill="E2EFDA"/>
          </w:tcPr>
          <w:p w14:paraId="10A81425" w14:textId="1176038C" w:rsidR="004F737C" w:rsidRPr="001C5A91" w:rsidRDefault="004F737C" w:rsidP="00736B28">
            <w:pPr>
              <w:spacing w:after="0" w:line="240" w:lineRule="auto"/>
              <w:jc w:val="center"/>
              <w:rPr>
                <w:rFonts w:ascii="Cambria" w:eastAsia="Times New Roman" w:hAnsi="Cambria" w:cs="Times New Roman"/>
                <w:color w:val="000000"/>
                <w:sz w:val="20"/>
                <w:szCs w:val="20"/>
                <w:lang w:val="fr-FR"/>
              </w:rPr>
            </w:pPr>
          </w:p>
        </w:tc>
        <w:tc>
          <w:tcPr>
            <w:tcW w:w="1080" w:type="dxa"/>
            <w:tcBorders>
              <w:top w:val="nil"/>
              <w:left w:val="single" w:sz="2" w:space="0" w:color="auto"/>
              <w:bottom w:val="single" w:sz="4" w:space="0" w:color="auto"/>
              <w:right w:val="single" w:sz="4" w:space="0" w:color="auto"/>
            </w:tcBorders>
            <w:shd w:val="clear" w:color="000000" w:fill="E2EFDA"/>
          </w:tcPr>
          <w:p w14:paraId="374CD812" w14:textId="10DB3F33" w:rsidR="004F737C" w:rsidRPr="001C5A91" w:rsidRDefault="004F737C" w:rsidP="00736B28">
            <w:pPr>
              <w:spacing w:after="0" w:line="240" w:lineRule="auto"/>
              <w:jc w:val="center"/>
              <w:rPr>
                <w:rFonts w:ascii="Cambria" w:eastAsia="Times New Roman" w:hAnsi="Cambria" w:cs="Times New Roman"/>
                <w:color w:val="000000"/>
                <w:sz w:val="20"/>
                <w:szCs w:val="20"/>
                <w:lang w:val="fr-FR"/>
              </w:rPr>
            </w:pPr>
          </w:p>
        </w:tc>
        <w:tc>
          <w:tcPr>
            <w:tcW w:w="1260" w:type="dxa"/>
            <w:tcBorders>
              <w:top w:val="nil"/>
              <w:left w:val="nil"/>
              <w:bottom w:val="single" w:sz="4" w:space="0" w:color="auto"/>
              <w:right w:val="single" w:sz="4" w:space="0" w:color="auto"/>
            </w:tcBorders>
            <w:shd w:val="clear" w:color="000000" w:fill="E2EFDA"/>
          </w:tcPr>
          <w:p w14:paraId="1A0A0AAD" w14:textId="3125F4E9" w:rsidR="004F737C" w:rsidRPr="00060278" w:rsidRDefault="00FD4A42" w:rsidP="00736B28">
            <w:pPr>
              <w:spacing w:after="0" w:line="240" w:lineRule="auto"/>
              <w:jc w:val="center"/>
              <w:rPr>
                <w:rFonts w:ascii="Cambria" w:eastAsia="Times New Roman" w:hAnsi="Cambria" w:cs="Times New Roman"/>
                <w:color w:val="000000"/>
                <w:sz w:val="20"/>
                <w:szCs w:val="20"/>
              </w:rPr>
            </w:pPr>
            <w:r w:rsidRPr="00060278">
              <w:rPr>
                <w:rFonts w:ascii="Cambria" w:eastAsia="Times New Roman" w:hAnsi="Cambria" w:cs="Times New Roman"/>
                <w:color w:val="000000"/>
                <w:sz w:val="20"/>
                <w:szCs w:val="20"/>
              </w:rPr>
              <w:t>Carbon sequestration: US$10.7/ton (Padilla 2008)</w:t>
            </w:r>
            <w:r w:rsidR="00060278" w:rsidRPr="00060278">
              <w:rPr>
                <w:rFonts w:ascii="Cambria" w:eastAsia="Times New Roman" w:hAnsi="Cambria" w:cs="Times New Roman"/>
                <w:color w:val="000000"/>
                <w:sz w:val="20"/>
                <w:szCs w:val="20"/>
              </w:rPr>
              <w:t> ; US$44.42/ha/</w:t>
            </w:r>
            <w:proofErr w:type="spellStart"/>
            <w:r w:rsidR="00060278" w:rsidRPr="00060278">
              <w:rPr>
                <w:rFonts w:ascii="Cambria" w:eastAsia="Times New Roman" w:hAnsi="Cambria" w:cs="Times New Roman"/>
                <w:color w:val="000000"/>
                <w:sz w:val="20"/>
                <w:szCs w:val="20"/>
              </w:rPr>
              <w:t>yr</w:t>
            </w:r>
            <w:proofErr w:type="spellEnd"/>
            <w:r w:rsidR="00060278" w:rsidRPr="00060278">
              <w:rPr>
                <w:rFonts w:ascii="Cambria" w:eastAsia="Times New Roman" w:hAnsi="Cambria" w:cs="Times New Roman"/>
                <w:color w:val="000000"/>
                <w:sz w:val="20"/>
                <w:szCs w:val="20"/>
              </w:rPr>
              <w:t xml:space="preserve"> (</w:t>
            </w:r>
            <w:proofErr w:type="spellStart"/>
            <w:r w:rsidR="00060278" w:rsidRPr="00060278">
              <w:rPr>
                <w:rFonts w:ascii="Cambria" w:eastAsia="Times New Roman" w:hAnsi="Cambria" w:cs="Times New Roman"/>
                <w:color w:val="000000"/>
                <w:sz w:val="20"/>
                <w:szCs w:val="20"/>
              </w:rPr>
              <w:t>Kairo</w:t>
            </w:r>
            <w:proofErr w:type="spellEnd"/>
            <w:r w:rsidR="00060278" w:rsidRPr="00060278">
              <w:rPr>
                <w:rFonts w:ascii="Cambria" w:eastAsia="Times New Roman" w:hAnsi="Cambria" w:cs="Times New Roman"/>
                <w:color w:val="000000"/>
                <w:sz w:val="20"/>
                <w:szCs w:val="20"/>
              </w:rPr>
              <w:t xml:space="preserve"> et al. </w:t>
            </w:r>
            <w:r w:rsidR="00060278">
              <w:rPr>
                <w:rFonts w:ascii="Cambria" w:eastAsia="Times New Roman" w:hAnsi="Cambria" w:cs="Times New Roman"/>
                <w:color w:val="000000"/>
                <w:sz w:val="20"/>
                <w:szCs w:val="20"/>
              </w:rPr>
              <w:t>2009)</w:t>
            </w:r>
          </w:p>
        </w:tc>
      </w:tr>
      <w:tr w:rsidR="004F737C" w:rsidRPr="00761424" w14:paraId="79440DD3" w14:textId="77777777" w:rsidTr="00D80463">
        <w:trPr>
          <w:trHeight w:val="449"/>
        </w:trPr>
        <w:tc>
          <w:tcPr>
            <w:tcW w:w="1260" w:type="dxa"/>
            <w:tcBorders>
              <w:top w:val="nil"/>
              <w:left w:val="single" w:sz="4" w:space="0" w:color="auto"/>
              <w:bottom w:val="single" w:sz="4" w:space="0" w:color="auto"/>
              <w:right w:val="single" w:sz="4" w:space="0" w:color="auto"/>
            </w:tcBorders>
            <w:shd w:val="clear" w:color="000000" w:fill="E2EFDA"/>
          </w:tcPr>
          <w:p w14:paraId="6EC6F5A4" w14:textId="66D496ED"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Maintenance of soil fertility</w:t>
            </w:r>
          </w:p>
        </w:tc>
        <w:tc>
          <w:tcPr>
            <w:tcW w:w="2430" w:type="dxa"/>
            <w:tcBorders>
              <w:top w:val="nil"/>
              <w:left w:val="nil"/>
              <w:bottom w:val="single" w:sz="4" w:space="0" w:color="auto"/>
              <w:right w:val="single" w:sz="4" w:space="0" w:color="auto"/>
            </w:tcBorders>
            <w:shd w:val="clear" w:color="000000" w:fill="E2EFDA"/>
          </w:tcPr>
          <w:p w14:paraId="61CA983A" w14:textId="48E009B3" w:rsidR="004F737C" w:rsidRPr="00761424" w:rsidRDefault="004F737C" w:rsidP="00B113B0">
            <w:pPr>
              <w:jc w:val="center"/>
              <w:rPr>
                <w:rFonts w:ascii="Cambria" w:hAnsi="Cambria"/>
                <w:sz w:val="20"/>
                <w:szCs w:val="20"/>
              </w:rPr>
            </w:pPr>
            <w:r w:rsidRPr="000E2ED3">
              <w:rPr>
                <w:rFonts w:ascii="Cambria" w:hAnsi="Cambria"/>
                <w:sz w:val="20"/>
                <w:szCs w:val="20"/>
              </w:rPr>
              <w:t>Ecosystem function in terms of dry matter: US$150 /ha/</w:t>
            </w:r>
            <w:proofErr w:type="spellStart"/>
            <w:r w:rsidRPr="000E2ED3">
              <w:rPr>
                <w:rFonts w:ascii="Cambria" w:hAnsi="Cambria"/>
                <w:sz w:val="20"/>
                <w:szCs w:val="20"/>
              </w:rPr>
              <w:t>yr</w:t>
            </w:r>
            <w:proofErr w:type="spellEnd"/>
            <w:r>
              <w:rPr>
                <w:rFonts w:ascii="Cambria" w:hAnsi="Cambria"/>
                <w:sz w:val="20"/>
                <w:szCs w:val="20"/>
              </w:rPr>
              <w:t xml:space="preserve">, </w:t>
            </w:r>
            <w:r w:rsidRPr="000E2ED3">
              <w:rPr>
                <w:rFonts w:ascii="Cambria" w:hAnsi="Cambria"/>
                <w:sz w:val="20"/>
                <w:szCs w:val="20"/>
              </w:rPr>
              <w:t>Oxygen production (20 kg/ha): US$ 40/ha/</w:t>
            </w:r>
            <w:proofErr w:type="spellStart"/>
            <w:r w:rsidRPr="000E2ED3">
              <w:rPr>
                <w:rFonts w:ascii="Cambria" w:hAnsi="Cambria"/>
                <w:sz w:val="20"/>
                <w:szCs w:val="20"/>
              </w:rPr>
              <w:t>yr</w:t>
            </w:r>
            <w:proofErr w:type="spellEnd"/>
            <w:r>
              <w:rPr>
                <w:rFonts w:ascii="Cambria" w:hAnsi="Cambria"/>
                <w:sz w:val="20"/>
                <w:szCs w:val="20"/>
              </w:rPr>
              <w:t xml:space="preserve">, </w:t>
            </w:r>
            <w:r w:rsidRPr="000E2ED3">
              <w:rPr>
                <w:rFonts w:ascii="Cambria" w:hAnsi="Cambria"/>
                <w:sz w:val="20"/>
                <w:szCs w:val="20"/>
              </w:rPr>
              <w:t>Nutrient production and recycling: US$450/ha/</w:t>
            </w:r>
            <w:proofErr w:type="spellStart"/>
            <w:r w:rsidRPr="000E2ED3">
              <w:rPr>
                <w:rFonts w:ascii="Cambria" w:hAnsi="Cambria"/>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0E2ED3">
              <w:rPr>
                <w:rFonts w:ascii="Cambria" w:hAnsi="Cambria"/>
                <w:sz w:val="20"/>
                <w:szCs w:val="20"/>
              </w:rPr>
              <w:t>Protection of biodiversity, genetic resources, nutrient cycling</w:t>
            </w:r>
            <w:r w:rsidR="00736B28">
              <w:rPr>
                <w:rFonts w:ascii="Cambria" w:hAnsi="Cambria"/>
                <w:sz w:val="20"/>
                <w:szCs w:val="20"/>
              </w:rPr>
              <w:t>:</w:t>
            </w:r>
            <w:r w:rsidRPr="000E2ED3">
              <w:rPr>
                <w:rFonts w:ascii="Cambria" w:hAnsi="Cambria"/>
                <w:sz w:val="20"/>
                <w:szCs w:val="20"/>
              </w:rPr>
              <w:t xml:space="preserve"> US$168/ha/</w:t>
            </w:r>
            <w:proofErr w:type="spellStart"/>
            <w:r w:rsidRPr="000E2ED3">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Ayanlade</w:t>
            </w:r>
            <w:proofErr w:type="spellEnd"/>
            <w:r w:rsidRPr="00CB67CB">
              <w:rPr>
                <w:rFonts w:ascii="Cambria" w:hAnsi="Cambria"/>
                <w:sz w:val="20"/>
                <w:szCs w:val="20"/>
              </w:rPr>
              <w:t xml:space="preserve"> et al. 2015)</w:t>
            </w:r>
            <w:r>
              <w:rPr>
                <w:rFonts w:ascii="Cambria" w:hAnsi="Cambria"/>
                <w:sz w:val="20"/>
                <w:szCs w:val="20"/>
              </w:rPr>
              <w:t xml:space="preserve">; </w:t>
            </w:r>
            <w:r w:rsidRPr="0047613F">
              <w:rPr>
                <w:rFonts w:ascii="Cambria" w:hAnsi="Cambria"/>
                <w:sz w:val="20"/>
                <w:szCs w:val="20"/>
              </w:rPr>
              <w:t>Nutrient cycling: US$854.68/ha</w:t>
            </w:r>
            <w:r>
              <w:rPr>
                <w:rFonts w:ascii="Cambria" w:hAnsi="Cambria"/>
                <w:sz w:val="20"/>
                <w:szCs w:val="20"/>
              </w:rPr>
              <w:t xml:space="preserve"> (Hussain and </w:t>
            </w:r>
            <w:proofErr w:type="spellStart"/>
            <w:r>
              <w:rPr>
                <w:rFonts w:ascii="Cambria" w:hAnsi="Cambria"/>
                <w:sz w:val="20"/>
                <w:szCs w:val="20"/>
              </w:rPr>
              <w:t>Badola</w:t>
            </w:r>
            <w:proofErr w:type="spellEnd"/>
            <w:r>
              <w:rPr>
                <w:rFonts w:ascii="Cambria" w:hAnsi="Cambria"/>
                <w:sz w:val="20"/>
                <w:szCs w:val="20"/>
              </w:rPr>
              <w:t xml:space="preserve"> 2008); </w:t>
            </w:r>
            <w:r w:rsidRPr="00760071">
              <w:rPr>
                <w:rFonts w:ascii="Cambria" w:hAnsi="Cambria"/>
                <w:sz w:val="20"/>
                <w:szCs w:val="20"/>
              </w:rPr>
              <w:t>Ecosystem function in terms of dry matter: US$150/ha/</w:t>
            </w:r>
            <w:proofErr w:type="spellStart"/>
            <w:r w:rsidRPr="00760071">
              <w:rPr>
                <w:rFonts w:ascii="Cambria" w:hAnsi="Cambria"/>
                <w:sz w:val="20"/>
                <w:szCs w:val="20"/>
              </w:rPr>
              <w:t>yr</w:t>
            </w:r>
            <w:proofErr w:type="spellEnd"/>
            <w:r>
              <w:rPr>
                <w:rFonts w:ascii="Cambria" w:hAnsi="Cambria"/>
                <w:sz w:val="20"/>
                <w:szCs w:val="20"/>
              </w:rPr>
              <w:t xml:space="preserve">, </w:t>
            </w:r>
            <w:r w:rsidRPr="00760071">
              <w:rPr>
                <w:rFonts w:ascii="Cambria" w:hAnsi="Cambria"/>
                <w:sz w:val="20"/>
                <w:szCs w:val="20"/>
              </w:rPr>
              <w:t>Oxygen production (20 kg/ha/</w:t>
            </w:r>
            <w:proofErr w:type="spellStart"/>
            <w:r w:rsidRPr="00760071">
              <w:rPr>
                <w:rFonts w:ascii="Cambria" w:hAnsi="Cambria"/>
                <w:sz w:val="20"/>
                <w:szCs w:val="20"/>
              </w:rPr>
              <w:t>yr</w:t>
            </w:r>
            <w:proofErr w:type="spellEnd"/>
            <w:r w:rsidRPr="00760071">
              <w:rPr>
                <w:rFonts w:ascii="Cambria" w:hAnsi="Cambria"/>
                <w:sz w:val="20"/>
                <w:szCs w:val="20"/>
              </w:rPr>
              <w:t>): US$40/ha/</w:t>
            </w:r>
            <w:proofErr w:type="spellStart"/>
            <w:r w:rsidRPr="00760071">
              <w:rPr>
                <w:rFonts w:ascii="Cambria" w:hAnsi="Cambria"/>
                <w:sz w:val="20"/>
                <w:szCs w:val="20"/>
              </w:rPr>
              <w:t>yr</w:t>
            </w:r>
            <w:proofErr w:type="spellEnd"/>
            <w:r>
              <w:rPr>
                <w:rFonts w:ascii="Cambria" w:hAnsi="Cambria"/>
                <w:sz w:val="20"/>
                <w:szCs w:val="20"/>
              </w:rPr>
              <w:t xml:space="preserve">, </w:t>
            </w:r>
            <w:r w:rsidRPr="00760071">
              <w:rPr>
                <w:rFonts w:ascii="Cambria" w:hAnsi="Cambria"/>
                <w:sz w:val="20"/>
                <w:szCs w:val="20"/>
              </w:rPr>
              <w:t>Nutrient production and recycling: US$450/ha/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 2012)</w:t>
            </w:r>
          </w:p>
        </w:tc>
        <w:tc>
          <w:tcPr>
            <w:tcW w:w="1260" w:type="dxa"/>
            <w:tcBorders>
              <w:top w:val="single" w:sz="4" w:space="0" w:color="auto"/>
              <w:left w:val="nil"/>
              <w:bottom w:val="single" w:sz="4" w:space="0" w:color="auto"/>
              <w:right w:val="single" w:sz="2" w:space="0" w:color="auto"/>
            </w:tcBorders>
            <w:shd w:val="clear" w:color="000000" w:fill="E2EFDA"/>
          </w:tcPr>
          <w:p w14:paraId="1C6CDD25" w14:textId="1887A0A0"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8B0066D" w14:textId="503D9BFA"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0A0F4E2" w14:textId="7CB56B0C"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37136499" w14:textId="1ABA8537"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3B04850" w14:textId="344E081C"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3CD2E6ED" w14:textId="1BD7A457"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01F1DEFA" w14:textId="161FFC0D" w:rsidR="004F737C" w:rsidRPr="00761424" w:rsidRDefault="004F737C" w:rsidP="00736B28">
            <w:pPr>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343EC874" w14:textId="295653F0" w:rsidR="004F737C" w:rsidRPr="00761424" w:rsidRDefault="004F737C" w:rsidP="00736B28">
            <w:pPr>
              <w:jc w:val="center"/>
              <w:rPr>
                <w:rFonts w:ascii="Cambria" w:hAnsi="Cambria"/>
                <w:sz w:val="20"/>
                <w:szCs w:val="20"/>
              </w:rPr>
            </w:pPr>
            <w:proofErr w:type="spellStart"/>
            <w:r w:rsidRPr="004F737C">
              <w:rPr>
                <w:rFonts w:ascii="Cambria" w:hAnsi="Cambria"/>
                <w:sz w:val="20"/>
                <w:szCs w:val="20"/>
              </w:rPr>
              <w:t>Litterfall</w:t>
            </w:r>
            <w:proofErr w:type="spellEnd"/>
            <w:r w:rsidRPr="004F737C">
              <w:rPr>
                <w:rFonts w:ascii="Cambria" w:hAnsi="Cambria"/>
                <w:sz w:val="20"/>
                <w:szCs w:val="20"/>
              </w:rPr>
              <w:t xml:space="preserve"> function: 13,515.47 </w:t>
            </w:r>
            <w:proofErr w:type="spellStart"/>
            <w:r w:rsidRPr="004F737C">
              <w:rPr>
                <w:rFonts w:ascii="Cambria" w:hAnsi="Cambria"/>
                <w:sz w:val="20"/>
                <w:szCs w:val="20"/>
              </w:rPr>
              <w:t>PhP</w:t>
            </w:r>
            <w:proofErr w:type="spellEnd"/>
            <w:r w:rsidRPr="004F737C">
              <w:rPr>
                <w:rFonts w:ascii="Cambria" w:hAnsi="Cambria"/>
                <w:sz w:val="20"/>
                <w:szCs w:val="20"/>
              </w:rPr>
              <w:t>/ha/</w:t>
            </w:r>
            <w:proofErr w:type="spellStart"/>
            <w:r w:rsidRPr="004F737C">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Defiesta</w:t>
            </w:r>
            <w:proofErr w:type="spellEnd"/>
            <w:r>
              <w:rPr>
                <w:rFonts w:ascii="Cambria" w:hAnsi="Cambria"/>
                <w:sz w:val="20"/>
                <w:szCs w:val="20"/>
              </w:rPr>
              <w:t xml:space="preserve"> 2007)</w:t>
            </w:r>
          </w:p>
        </w:tc>
        <w:tc>
          <w:tcPr>
            <w:tcW w:w="1260" w:type="dxa"/>
            <w:tcBorders>
              <w:top w:val="nil"/>
              <w:left w:val="nil"/>
              <w:bottom w:val="single" w:sz="4" w:space="0" w:color="auto"/>
              <w:right w:val="single" w:sz="4" w:space="0" w:color="auto"/>
            </w:tcBorders>
            <w:shd w:val="clear" w:color="000000" w:fill="E2EFDA"/>
          </w:tcPr>
          <w:p w14:paraId="679CECBF" w14:textId="4B2D5323" w:rsidR="004F737C" w:rsidRPr="00761424" w:rsidRDefault="004F737C" w:rsidP="00736B28">
            <w:pPr>
              <w:jc w:val="center"/>
              <w:rPr>
                <w:rFonts w:ascii="Cambria" w:hAnsi="Cambria"/>
                <w:sz w:val="20"/>
                <w:szCs w:val="20"/>
              </w:rPr>
            </w:pPr>
          </w:p>
        </w:tc>
      </w:tr>
      <w:tr w:rsidR="004F737C" w:rsidRPr="00761424" w14:paraId="797B9572" w14:textId="77777777" w:rsidTr="00D80463">
        <w:trPr>
          <w:trHeight w:val="251"/>
        </w:trPr>
        <w:tc>
          <w:tcPr>
            <w:tcW w:w="1260" w:type="dxa"/>
            <w:tcBorders>
              <w:top w:val="nil"/>
              <w:left w:val="single" w:sz="4" w:space="0" w:color="auto"/>
              <w:bottom w:val="single" w:sz="4" w:space="0" w:color="auto"/>
              <w:right w:val="single" w:sz="4" w:space="0" w:color="auto"/>
            </w:tcBorders>
            <w:shd w:val="clear" w:color="000000" w:fill="E2EFDA"/>
          </w:tcPr>
          <w:p w14:paraId="42D35E00" w14:textId="7125AD4C"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Pollination</w:t>
            </w:r>
          </w:p>
        </w:tc>
        <w:tc>
          <w:tcPr>
            <w:tcW w:w="2430" w:type="dxa"/>
            <w:tcBorders>
              <w:top w:val="nil"/>
              <w:left w:val="nil"/>
              <w:bottom w:val="single" w:sz="4" w:space="0" w:color="auto"/>
              <w:right w:val="single" w:sz="4" w:space="0" w:color="auto"/>
            </w:tcBorders>
            <w:shd w:val="clear" w:color="000000" w:fill="E2EFDA"/>
          </w:tcPr>
          <w:p w14:paraId="41C9F3B3" w14:textId="40077702" w:rsidR="004F737C" w:rsidRPr="00761424" w:rsidRDefault="004F737C" w:rsidP="00736B28">
            <w:pPr>
              <w:jc w:val="center"/>
              <w:rPr>
                <w:rFonts w:ascii="Cambria" w:hAnsi="Cambria"/>
                <w:sz w:val="20"/>
                <w:szCs w:val="20"/>
              </w:rPr>
            </w:pPr>
          </w:p>
        </w:tc>
        <w:tc>
          <w:tcPr>
            <w:tcW w:w="1260" w:type="dxa"/>
            <w:tcBorders>
              <w:top w:val="single" w:sz="4" w:space="0" w:color="auto"/>
              <w:left w:val="nil"/>
              <w:bottom w:val="single" w:sz="4" w:space="0" w:color="auto"/>
              <w:right w:val="single" w:sz="2" w:space="0" w:color="auto"/>
            </w:tcBorders>
            <w:shd w:val="clear" w:color="000000" w:fill="E2EFDA"/>
          </w:tcPr>
          <w:p w14:paraId="2CBD8418" w14:textId="07237CCD"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BB8365E" w14:textId="6B753858"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3C7C5F81" w14:textId="7B874684"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BC56DAC" w14:textId="6D34F3B2"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B846B19" w14:textId="5A660B72"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720D67CF" w14:textId="5B713868"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07546637" w14:textId="3C7D23F6" w:rsidR="004F737C" w:rsidRPr="00761424" w:rsidRDefault="004F737C" w:rsidP="00736B28">
            <w:pPr>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7B9701BA" w14:textId="09088DD6" w:rsidR="004F737C" w:rsidRPr="00761424" w:rsidRDefault="004F737C" w:rsidP="00736B28">
            <w:pPr>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6B2A2565" w14:textId="2CF3BE4C" w:rsidR="004F737C" w:rsidRPr="00761424" w:rsidRDefault="004F737C" w:rsidP="00736B28">
            <w:pPr>
              <w:jc w:val="center"/>
              <w:rPr>
                <w:rFonts w:ascii="Cambria" w:hAnsi="Cambria"/>
                <w:sz w:val="20"/>
                <w:szCs w:val="20"/>
              </w:rPr>
            </w:pPr>
          </w:p>
        </w:tc>
      </w:tr>
      <w:tr w:rsidR="004F737C" w:rsidRPr="00761424" w14:paraId="728C2BAF" w14:textId="77777777" w:rsidTr="00D80463">
        <w:trPr>
          <w:trHeight w:val="431"/>
        </w:trPr>
        <w:tc>
          <w:tcPr>
            <w:tcW w:w="1260" w:type="dxa"/>
            <w:tcBorders>
              <w:top w:val="nil"/>
              <w:left w:val="single" w:sz="4" w:space="0" w:color="auto"/>
              <w:bottom w:val="single" w:sz="4" w:space="0" w:color="auto"/>
              <w:right w:val="single" w:sz="4" w:space="0" w:color="auto"/>
            </w:tcBorders>
            <w:shd w:val="clear" w:color="000000" w:fill="E2EFDA"/>
          </w:tcPr>
          <w:p w14:paraId="1521272F" w14:textId="301BBED7"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Biological control</w:t>
            </w:r>
          </w:p>
        </w:tc>
        <w:tc>
          <w:tcPr>
            <w:tcW w:w="2430" w:type="dxa"/>
            <w:tcBorders>
              <w:top w:val="nil"/>
              <w:left w:val="nil"/>
              <w:bottom w:val="single" w:sz="4" w:space="0" w:color="auto"/>
              <w:right w:val="single" w:sz="4" w:space="0" w:color="auto"/>
            </w:tcBorders>
            <w:shd w:val="clear" w:color="000000" w:fill="E2EFDA"/>
          </w:tcPr>
          <w:p w14:paraId="33E8F7CA" w14:textId="0CDA6561" w:rsidR="004F737C" w:rsidRPr="00761424" w:rsidRDefault="004F737C" w:rsidP="00736B28">
            <w:pPr>
              <w:jc w:val="center"/>
              <w:rPr>
                <w:rFonts w:ascii="Cambria" w:hAnsi="Cambria"/>
                <w:sz w:val="20"/>
                <w:szCs w:val="20"/>
              </w:rPr>
            </w:pPr>
            <w:r w:rsidRPr="00760071">
              <w:rPr>
                <w:rFonts w:ascii="Cambria" w:hAnsi="Cambria"/>
                <w:sz w:val="20"/>
                <w:szCs w:val="20"/>
              </w:rPr>
              <w:t>Food production/biological control: US$797/ha/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Gunawardena</w:t>
            </w:r>
            <w:proofErr w:type="spellEnd"/>
            <w:r>
              <w:rPr>
                <w:rFonts w:ascii="Cambria" w:hAnsi="Cambria"/>
                <w:sz w:val="20"/>
                <w:szCs w:val="20"/>
              </w:rPr>
              <w:t xml:space="preserve"> 2009)</w:t>
            </w:r>
          </w:p>
        </w:tc>
        <w:tc>
          <w:tcPr>
            <w:tcW w:w="1260" w:type="dxa"/>
            <w:tcBorders>
              <w:top w:val="single" w:sz="4" w:space="0" w:color="auto"/>
              <w:left w:val="nil"/>
              <w:bottom w:val="single" w:sz="4" w:space="0" w:color="auto"/>
              <w:right w:val="single" w:sz="2" w:space="0" w:color="auto"/>
            </w:tcBorders>
            <w:shd w:val="clear" w:color="000000" w:fill="E2EFDA"/>
          </w:tcPr>
          <w:p w14:paraId="1927143F" w14:textId="0FBBDDEC"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E338858" w14:textId="3B1AFEC3"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66C72D4" w14:textId="25BA3844"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0EDE79C" w14:textId="49C56550"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BB769CE" w14:textId="033DF397"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4662F474" w14:textId="16EED2E7"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5D48E047" w14:textId="6CBF335F" w:rsidR="004F737C" w:rsidRPr="00761424" w:rsidRDefault="004F737C" w:rsidP="00736B28">
            <w:pPr>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0B76BF53" w14:textId="0AAD4B68" w:rsidR="004F737C" w:rsidRPr="00761424" w:rsidRDefault="004F737C" w:rsidP="00736B28">
            <w:pPr>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65969CCE" w14:textId="57BE52CD" w:rsidR="004F737C" w:rsidRPr="00761424" w:rsidRDefault="004F737C" w:rsidP="00736B28">
            <w:pPr>
              <w:jc w:val="center"/>
              <w:rPr>
                <w:rFonts w:ascii="Cambria" w:hAnsi="Cambria"/>
                <w:sz w:val="20"/>
                <w:szCs w:val="20"/>
              </w:rPr>
            </w:pPr>
          </w:p>
        </w:tc>
      </w:tr>
      <w:tr w:rsidR="004F737C" w:rsidRPr="00761424" w14:paraId="0E8E0245" w14:textId="77777777" w:rsidTr="00D80463">
        <w:trPr>
          <w:trHeight w:val="395"/>
        </w:trPr>
        <w:tc>
          <w:tcPr>
            <w:tcW w:w="1260" w:type="dxa"/>
            <w:tcBorders>
              <w:top w:val="nil"/>
              <w:left w:val="single" w:sz="4" w:space="0" w:color="auto"/>
              <w:bottom w:val="single" w:sz="4" w:space="0" w:color="auto"/>
              <w:right w:val="single" w:sz="4" w:space="0" w:color="auto"/>
            </w:tcBorders>
            <w:shd w:val="clear" w:color="000000" w:fill="A8D08D"/>
            <w:hideMark/>
          </w:tcPr>
          <w:p w14:paraId="0674D8DB" w14:textId="61A1EEA5"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Supporting services</w:t>
            </w:r>
          </w:p>
        </w:tc>
        <w:tc>
          <w:tcPr>
            <w:tcW w:w="2430" w:type="dxa"/>
            <w:tcBorders>
              <w:top w:val="nil"/>
              <w:left w:val="nil"/>
              <w:bottom w:val="single" w:sz="4" w:space="0" w:color="auto"/>
              <w:right w:val="single" w:sz="4" w:space="0" w:color="auto"/>
            </w:tcBorders>
            <w:shd w:val="clear" w:color="000000" w:fill="A8D08D"/>
          </w:tcPr>
          <w:p w14:paraId="4BAFFBD6" w14:textId="557C14DA"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260" w:type="dxa"/>
            <w:tcBorders>
              <w:top w:val="single" w:sz="4" w:space="0" w:color="auto"/>
              <w:left w:val="nil"/>
              <w:bottom w:val="single" w:sz="4" w:space="0" w:color="auto"/>
              <w:right w:val="single" w:sz="2" w:space="0" w:color="auto"/>
            </w:tcBorders>
            <w:shd w:val="clear" w:color="000000" w:fill="A8D08D"/>
          </w:tcPr>
          <w:p w14:paraId="61439E1E" w14:textId="36ACE2D7"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2F28DCC1" w14:textId="00ECC5F0" w:rsidR="004F737C"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47A5CBEF" w14:textId="743EA5C9"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63E9E4F9" w14:textId="3CFD53BF" w:rsidR="004F737C"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3A548518" w14:textId="582579D3"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A8D08D"/>
          </w:tcPr>
          <w:p w14:paraId="5782B000" w14:textId="1EEB34A9"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A8D08D"/>
          </w:tcPr>
          <w:p w14:paraId="4BA6D860" w14:textId="5BCCD0BF"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080" w:type="dxa"/>
            <w:tcBorders>
              <w:top w:val="nil"/>
              <w:left w:val="single" w:sz="2" w:space="0" w:color="auto"/>
              <w:bottom w:val="single" w:sz="4" w:space="0" w:color="auto"/>
              <w:right w:val="single" w:sz="4" w:space="0" w:color="auto"/>
            </w:tcBorders>
            <w:shd w:val="clear" w:color="000000" w:fill="A8D08D"/>
          </w:tcPr>
          <w:p w14:paraId="395D1603" w14:textId="5471946D"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260" w:type="dxa"/>
            <w:tcBorders>
              <w:top w:val="nil"/>
              <w:left w:val="nil"/>
              <w:bottom w:val="single" w:sz="4" w:space="0" w:color="auto"/>
              <w:right w:val="single" w:sz="4" w:space="0" w:color="auto"/>
            </w:tcBorders>
            <w:shd w:val="clear" w:color="000000" w:fill="A8D08D"/>
          </w:tcPr>
          <w:p w14:paraId="43223FB1" w14:textId="68807245" w:rsidR="004F737C" w:rsidRPr="00761424" w:rsidRDefault="004F737C" w:rsidP="00736B28">
            <w:pPr>
              <w:spacing w:after="0" w:line="240" w:lineRule="auto"/>
              <w:jc w:val="center"/>
              <w:rPr>
                <w:rFonts w:ascii="Cambria" w:eastAsia="Times New Roman" w:hAnsi="Cambria" w:cs="Times New Roman"/>
                <w:color w:val="000000"/>
                <w:sz w:val="20"/>
                <w:szCs w:val="20"/>
              </w:rPr>
            </w:pPr>
          </w:p>
        </w:tc>
      </w:tr>
      <w:tr w:rsidR="004F737C" w:rsidRPr="00761424" w14:paraId="18C69872" w14:textId="77777777" w:rsidTr="00D80463">
        <w:trPr>
          <w:trHeight w:val="647"/>
        </w:trPr>
        <w:tc>
          <w:tcPr>
            <w:tcW w:w="1260" w:type="dxa"/>
            <w:tcBorders>
              <w:top w:val="nil"/>
              <w:left w:val="single" w:sz="4" w:space="0" w:color="auto"/>
              <w:bottom w:val="single" w:sz="4" w:space="0" w:color="auto"/>
              <w:right w:val="single" w:sz="4" w:space="0" w:color="auto"/>
            </w:tcBorders>
            <w:shd w:val="clear" w:color="000000" w:fill="E2EFDA"/>
            <w:hideMark/>
          </w:tcPr>
          <w:p w14:paraId="78F9BC39" w14:textId="7AA5BE32"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Maintenance of life cycles of migratory species</w:t>
            </w:r>
          </w:p>
        </w:tc>
        <w:tc>
          <w:tcPr>
            <w:tcW w:w="2430" w:type="dxa"/>
            <w:tcBorders>
              <w:top w:val="nil"/>
              <w:left w:val="nil"/>
              <w:bottom w:val="single" w:sz="4" w:space="0" w:color="auto"/>
              <w:right w:val="single" w:sz="4" w:space="0" w:color="auto"/>
            </w:tcBorders>
            <w:shd w:val="clear" w:color="000000" w:fill="E2EFDA"/>
          </w:tcPr>
          <w:p w14:paraId="1FB6C887" w14:textId="1B5EAA10" w:rsidR="004F737C" w:rsidRPr="00761424" w:rsidRDefault="004F737C" w:rsidP="00736B28">
            <w:pPr>
              <w:jc w:val="center"/>
              <w:rPr>
                <w:rFonts w:ascii="Cambria" w:hAnsi="Cambria"/>
                <w:sz w:val="20"/>
                <w:szCs w:val="20"/>
              </w:rPr>
            </w:pPr>
            <w:r w:rsidRPr="000E2ED3">
              <w:rPr>
                <w:rFonts w:ascii="Cambria" w:hAnsi="Cambria"/>
                <w:sz w:val="20"/>
                <w:szCs w:val="20"/>
              </w:rPr>
              <w:t>Fish and shellfish habitat: US$2500/ha/</w:t>
            </w:r>
            <w:proofErr w:type="spellStart"/>
            <w:r w:rsidRPr="000E2ED3">
              <w:rPr>
                <w:rFonts w:ascii="Cambria" w:hAnsi="Cambria"/>
                <w:sz w:val="20"/>
                <w:szCs w:val="20"/>
              </w:rPr>
              <w:t>yr</w:t>
            </w:r>
            <w:proofErr w:type="spellEnd"/>
            <w:r>
              <w:rPr>
                <w:rFonts w:ascii="Cambria" w:hAnsi="Cambria"/>
                <w:sz w:val="20"/>
                <w:szCs w:val="20"/>
              </w:rPr>
              <w:t xml:space="preserve">, </w:t>
            </w:r>
            <w:r w:rsidRPr="000E2ED3">
              <w:rPr>
                <w:rFonts w:ascii="Cambria" w:hAnsi="Cambria"/>
                <w:sz w:val="20"/>
                <w:szCs w:val="20"/>
              </w:rPr>
              <w:t>Waterfowl and other birds' habitat: US$1000/ha/</w:t>
            </w:r>
            <w:proofErr w:type="spellStart"/>
            <w:r w:rsidRPr="000E2ED3">
              <w:rPr>
                <w:rFonts w:ascii="Cambria" w:hAnsi="Cambria"/>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CB67CB">
              <w:rPr>
                <w:rFonts w:ascii="Cambria" w:hAnsi="Cambria"/>
                <w:sz w:val="20"/>
                <w:szCs w:val="20"/>
              </w:rPr>
              <w:t xml:space="preserve">Nursery </w:t>
            </w:r>
            <w:r w:rsidRPr="00CB67CB">
              <w:rPr>
                <w:rFonts w:ascii="Cambria" w:hAnsi="Cambria"/>
                <w:sz w:val="20"/>
                <w:szCs w:val="20"/>
              </w:rPr>
              <w:lastRenderedPageBreak/>
              <w:t>habitat</w:t>
            </w:r>
            <w:r w:rsidR="00736B28">
              <w:rPr>
                <w:rFonts w:ascii="Cambria" w:hAnsi="Cambria"/>
                <w:sz w:val="20"/>
                <w:szCs w:val="20"/>
              </w:rPr>
              <w:t>:</w:t>
            </w:r>
            <w:r w:rsidRPr="00CB67CB">
              <w:rPr>
                <w:rFonts w:ascii="Cambria" w:hAnsi="Cambria"/>
                <w:sz w:val="20"/>
                <w:szCs w:val="20"/>
              </w:rPr>
              <w:t xml:space="preserve"> NPV</w:t>
            </w:r>
            <w:r w:rsidR="00736B28">
              <w:rPr>
                <w:rFonts w:ascii="Cambria" w:hAnsi="Cambria"/>
                <w:sz w:val="20"/>
                <w:szCs w:val="20"/>
              </w:rPr>
              <w:t>:</w:t>
            </w:r>
            <w:r w:rsidRPr="00CB67CB">
              <w:rPr>
                <w:rFonts w:ascii="Cambria" w:hAnsi="Cambria"/>
                <w:sz w:val="20"/>
                <w:szCs w:val="20"/>
              </w:rPr>
              <w:t xml:space="preserve"> US$0.47 and 0.57 million (3.44-18 km2 ha range)</w:t>
            </w:r>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Barbier</w:t>
            </w:r>
            <w:proofErr w:type="spellEnd"/>
            <w:r w:rsidRPr="00CB67CB">
              <w:rPr>
                <w:rFonts w:ascii="Cambria" w:hAnsi="Cambria"/>
                <w:sz w:val="20"/>
                <w:szCs w:val="20"/>
              </w:rPr>
              <w:t xml:space="preserve"> 2007)</w:t>
            </w:r>
            <w:r>
              <w:rPr>
                <w:rFonts w:ascii="Cambria" w:hAnsi="Cambria"/>
                <w:sz w:val="20"/>
                <w:szCs w:val="20"/>
              </w:rPr>
              <w:t xml:space="preserve">; </w:t>
            </w:r>
            <w:r w:rsidRPr="0051605B">
              <w:rPr>
                <w:rFonts w:ascii="Cambria" w:hAnsi="Cambria"/>
                <w:sz w:val="20"/>
                <w:szCs w:val="20"/>
              </w:rPr>
              <w:t>Fisheries biomass production (nursery ground): 0.07 M /km²/year</w:t>
            </w:r>
            <w:r>
              <w:rPr>
                <w:rFonts w:ascii="Cambria" w:hAnsi="Cambria"/>
                <w:sz w:val="20"/>
                <w:szCs w:val="20"/>
              </w:rPr>
              <w:t xml:space="preserve"> (</w:t>
            </w:r>
            <w:proofErr w:type="spellStart"/>
            <w:r>
              <w:rPr>
                <w:rFonts w:ascii="Cambria" w:hAnsi="Cambria"/>
                <w:sz w:val="20"/>
                <w:szCs w:val="20"/>
              </w:rPr>
              <w:t>Failler</w:t>
            </w:r>
            <w:proofErr w:type="spellEnd"/>
            <w:r>
              <w:rPr>
                <w:rFonts w:ascii="Cambria" w:hAnsi="Cambria"/>
                <w:sz w:val="20"/>
                <w:szCs w:val="20"/>
              </w:rPr>
              <w:t xml:space="preserve"> et al. 2015); </w:t>
            </w:r>
            <w:r w:rsidRPr="0047613F">
              <w:rPr>
                <w:rFonts w:ascii="Cambria" w:hAnsi="Cambria"/>
                <w:sz w:val="20"/>
                <w:szCs w:val="20"/>
              </w:rPr>
              <w:t>Provision of nursery grounds: US$2292/ha/</w:t>
            </w:r>
            <w:proofErr w:type="spellStart"/>
            <w:r w:rsidRPr="0047613F">
              <w:rPr>
                <w:rFonts w:ascii="Cambria" w:hAnsi="Cambria"/>
                <w:sz w:val="20"/>
                <w:szCs w:val="20"/>
              </w:rPr>
              <w:t>yr</w:t>
            </w:r>
            <w:proofErr w:type="spellEnd"/>
            <w:r>
              <w:rPr>
                <w:rFonts w:ascii="Cambria" w:hAnsi="Cambria"/>
                <w:sz w:val="20"/>
                <w:szCs w:val="20"/>
              </w:rPr>
              <w:t xml:space="preserve"> (Malik et al. 2015); </w:t>
            </w:r>
            <w:r w:rsidRPr="00760071">
              <w:rPr>
                <w:rFonts w:ascii="Cambria" w:hAnsi="Cambria"/>
                <w:sz w:val="20"/>
                <w:szCs w:val="20"/>
              </w:rPr>
              <w:t>Fish and shellfish habitat: US$2000/ha/</w:t>
            </w:r>
            <w:proofErr w:type="spellStart"/>
            <w:r w:rsidRPr="00760071">
              <w:rPr>
                <w:rFonts w:ascii="Cambria" w:hAnsi="Cambria"/>
                <w:sz w:val="20"/>
                <w:szCs w:val="20"/>
              </w:rPr>
              <w:t>yr</w:t>
            </w:r>
            <w:proofErr w:type="spellEnd"/>
            <w:r>
              <w:rPr>
                <w:rFonts w:ascii="Cambria" w:hAnsi="Cambria"/>
                <w:sz w:val="20"/>
                <w:szCs w:val="20"/>
              </w:rPr>
              <w:t xml:space="preserve">; </w:t>
            </w:r>
            <w:r w:rsidRPr="00760071">
              <w:rPr>
                <w:rFonts w:ascii="Cambria" w:hAnsi="Cambria"/>
                <w:sz w:val="20"/>
                <w:szCs w:val="20"/>
              </w:rPr>
              <w:t>Waterfowl and other birds' habitat: US$1200/ha/</w:t>
            </w:r>
            <w:proofErr w:type="spellStart"/>
            <w:r w:rsidRPr="00760071">
              <w:rPr>
                <w:rFonts w:ascii="Cambria" w:hAnsi="Cambria"/>
                <w:sz w:val="20"/>
                <w:szCs w:val="20"/>
              </w:rPr>
              <w:t>yr</w:t>
            </w:r>
            <w:proofErr w:type="spellEnd"/>
            <w:r>
              <w:rPr>
                <w:rFonts w:ascii="Cambria" w:hAnsi="Cambria"/>
                <w:sz w:val="20"/>
                <w:szCs w:val="20"/>
              </w:rPr>
              <w:t xml:space="preserve">, </w:t>
            </w:r>
            <w:r w:rsidRPr="00760071">
              <w:rPr>
                <w:rFonts w:ascii="Cambria" w:hAnsi="Cambria"/>
                <w:sz w:val="20"/>
                <w:szCs w:val="20"/>
              </w:rPr>
              <w:t xml:space="preserve"> Wildlife habitat: US$1000/ha/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 </w:t>
            </w:r>
            <w:r w:rsidRPr="00586C1D">
              <w:rPr>
                <w:rFonts w:ascii="Cambria" w:hAnsi="Cambria"/>
                <w:sz w:val="20"/>
                <w:szCs w:val="20"/>
              </w:rPr>
              <w:t>Nursery value (Thailand): US$995-4,887/ha/</w:t>
            </w:r>
            <w:proofErr w:type="spellStart"/>
            <w:r w:rsidRPr="00586C1D">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Kallesoe</w:t>
            </w:r>
            <w:proofErr w:type="spellEnd"/>
            <w:r>
              <w:rPr>
                <w:rFonts w:ascii="Cambria" w:hAnsi="Cambria"/>
                <w:sz w:val="20"/>
                <w:szCs w:val="20"/>
              </w:rPr>
              <w:t xml:space="preserve"> et al. 2008); </w:t>
            </w:r>
            <w:r w:rsidRPr="00586C1D">
              <w:rPr>
                <w:rFonts w:ascii="Cambria" w:hAnsi="Cambria"/>
                <w:sz w:val="20"/>
                <w:szCs w:val="20"/>
              </w:rPr>
              <w:t>Nursery ground: IDR 116,065,005</w:t>
            </w:r>
            <w:r>
              <w:rPr>
                <w:rFonts w:ascii="Cambria" w:hAnsi="Cambria"/>
                <w:sz w:val="20"/>
                <w:szCs w:val="20"/>
              </w:rPr>
              <w:t xml:space="preserve"> (</w:t>
            </w:r>
            <w:proofErr w:type="spellStart"/>
            <w:r>
              <w:rPr>
                <w:rFonts w:ascii="Cambria" w:hAnsi="Cambria"/>
                <w:sz w:val="20"/>
                <w:szCs w:val="20"/>
              </w:rPr>
              <w:t>Susilo</w:t>
            </w:r>
            <w:proofErr w:type="spellEnd"/>
            <w:r>
              <w:rPr>
                <w:rFonts w:ascii="Cambria" w:hAnsi="Cambria"/>
                <w:sz w:val="20"/>
                <w:szCs w:val="20"/>
              </w:rPr>
              <w:t xml:space="preserve"> et al. 2016)</w:t>
            </w:r>
          </w:p>
        </w:tc>
        <w:tc>
          <w:tcPr>
            <w:tcW w:w="1260" w:type="dxa"/>
            <w:tcBorders>
              <w:top w:val="single" w:sz="4" w:space="0" w:color="auto"/>
              <w:left w:val="nil"/>
              <w:bottom w:val="single" w:sz="4" w:space="0" w:color="auto"/>
              <w:right w:val="single" w:sz="2" w:space="0" w:color="auto"/>
            </w:tcBorders>
            <w:shd w:val="clear" w:color="000000" w:fill="E2EFDA"/>
          </w:tcPr>
          <w:p w14:paraId="6C4C476D" w14:textId="64FFAD77" w:rsidR="004F737C" w:rsidRPr="00761424" w:rsidRDefault="004F737C" w:rsidP="00736B28">
            <w:pPr>
              <w:jc w:val="center"/>
              <w:rPr>
                <w:rFonts w:ascii="Cambria" w:hAnsi="Cambria"/>
                <w:sz w:val="20"/>
                <w:szCs w:val="20"/>
              </w:rPr>
            </w:pPr>
            <w:r w:rsidRPr="001C5A91">
              <w:rPr>
                <w:rFonts w:ascii="Cambria" w:hAnsi="Cambria"/>
                <w:sz w:val="20"/>
                <w:szCs w:val="20"/>
              </w:rPr>
              <w:lastRenderedPageBreak/>
              <w:t xml:space="preserve">Habitat-fishery </w:t>
            </w:r>
            <w:proofErr w:type="spellStart"/>
            <w:r w:rsidRPr="001C5A91">
              <w:rPr>
                <w:rFonts w:ascii="Cambria" w:hAnsi="Cambria"/>
                <w:sz w:val="20"/>
                <w:szCs w:val="20"/>
              </w:rPr>
              <w:t>linkanges</w:t>
            </w:r>
            <w:proofErr w:type="spellEnd"/>
            <w:r w:rsidR="00736B28">
              <w:rPr>
                <w:rFonts w:ascii="Cambria" w:hAnsi="Cambria"/>
                <w:sz w:val="20"/>
                <w:szCs w:val="20"/>
              </w:rPr>
              <w:t>:</w:t>
            </w:r>
            <w:r w:rsidRPr="001C5A91">
              <w:rPr>
                <w:rFonts w:ascii="Cambria" w:hAnsi="Cambria"/>
                <w:sz w:val="20"/>
                <w:szCs w:val="20"/>
              </w:rPr>
              <w:t xml:space="preserve"> </w:t>
            </w:r>
            <w:r>
              <w:rPr>
                <w:rFonts w:ascii="Cambria" w:hAnsi="Cambria"/>
                <w:sz w:val="20"/>
                <w:szCs w:val="20"/>
              </w:rPr>
              <w:t>US</w:t>
            </w:r>
            <w:r w:rsidRPr="001C5A91">
              <w:rPr>
                <w:rFonts w:ascii="Cambria" w:hAnsi="Cambria"/>
                <w:sz w:val="20"/>
                <w:szCs w:val="20"/>
              </w:rPr>
              <w:t>$249/ha/</w:t>
            </w:r>
            <w:proofErr w:type="spellStart"/>
            <w:r w:rsidRPr="001C5A91">
              <w:rPr>
                <w:rFonts w:ascii="Cambria" w:hAnsi="Cambria"/>
                <w:sz w:val="20"/>
                <w:szCs w:val="20"/>
              </w:rPr>
              <w:t>yr</w:t>
            </w:r>
            <w:proofErr w:type="spellEnd"/>
            <w:r>
              <w:rPr>
                <w:rFonts w:ascii="Cambria" w:hAnsi="Cambria"/>
                <w:sz w:val="20"/>
                <w:szCs w:val="20"/>
              </w:rPr>
              <w:t xml:space="preserve"> </w:t>
            </w:r>
            <w:r>
              <w:rPr>
                <w:rFonts w:ascii="Cambria" w:hAnsi="Cambria"/>
                <w:sz w:val="20"/>
                <w:szCs w:val="20"/>
              </w:rPr>
              <w:lastRenderedPageBreak/>
              <w:t>(</w:t>
            </w:r>
            <w:proofErr w:type="spellStart"/>
            <w:r>
              <w:rPr>
                <w:rFonts w:ascii="Cambria" w:hAnsi="Cambria"/>
                <w:sz w:val="20"/>
                <w:szCs w:val="20"/>
              </w:rPr>
              <w:t>Barbier</w:t>
            </w:r>
            <w:proofErr w:type="spellEnd"/>
            <w:r>
              <w:rPr>
                <w:rFonts w:ascii="Cambria" w:hAnsi="Cambria"/>
                <w:sz w:val="20"/>
                <w:szCs w:val="20"/>
              </w:rPr>
              <w:t xml:space="preserve"> 2012)</w:t>
            </w:r>
          </w:p>
        </w:tc>
        <w:tc>
          <w:tcPr>
            <w:tcW w:w="1170" w:type="dxa"/>
            <w:tcBorders>
              <w:top w:val="nil"/>
              <w:left w:val="single" w:sz="2" w:space="0" w:color="auto"/>
              <w:bottom w:val="single" w:sz="4" w:space="0" w:color="auto"/>
              <w:right w:val="single" w:sz="2" w:space="0" w:color="auto"/>
            </w:tcBorders>
            <w:shd w:val="clear" w:color="000000" w:fill="E2EFDA"/>
          </w:tcPr>
          <w:p w14:paraId="12E50E12" w14:textId="042FEB0C"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3328D635" w14:textId="77A52899"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12F8CAB" w14:textId="6A8C7584"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2F7CDCF" w14:textId="3318D54C"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079F68E7" w14:textId="7CAC0CC8" w:rsidR="004F737C" w:rsidRPr="00761424" w:rsidRDefault="004F737C" w:rsidP="00736B28">
            <w:pPr>
              <w:jc w:val="center"/>
              <w:rPr>
                <w:rFonts w:ascii="Cambria" w:hAnsi="Cambria"/>
                <w:sz w:val="20"/>
                <w:szCs w:val="20"/>
              </w:rPr>
            </w:pPr>
            <w:r w:rsidRPr="001C5A91">
              <w:rPr>
                <w:rFonts w:ascii="Cambria" w:hAnsi="Cambria"/>
                <w:sz w:val="20"/>
                <w:szCs w:val="20"/>
              </w:rPr>
              <w:t>Nursery</w:t>
            </w:r>
            <w:r>
              <w:rPr>
                <w:rFonts w:ascii="Cambria" w:hAnsi="Cambria"/>
                <w:sz w:val="20"/>
                <w:szCs w:val="20"/>
              </w:rPr>
              <w:t xml:space="preserve"> function</w:t>
            </w:r>
            <w:r w:rsidRPr="001C5A91">
              <w:rPr>
                <w:rFonts w:ascii="Cambria" w:hAnsi="Cambria"/>
                <w:sz w:val="20"/>
                <w:szCs w:val="20"/>
              </w:rPr>
              <w:t>: US$117.14/ha/year</w:t>
            </w:r>
            <w:r>
              <w:rPr>
                <w:rFonts w:ascii="Cambria" w:hAnsi="Cambria"/>
                <w:sz w:val="20"/>
                <w:szCs w:val="20"/>
              </w:rPr>
              <w:t xml:space="preserve"> (</w:t>
            </w:r>
            <w:proofErr w:type="spellStart"/>
            <w:r>
              <w:rPr>
                <w:rFonts w:ascii="Cambria" w:hAnsi="Cambria"/>
                <w:sz w:val="20"/>
                <w:szCs w:val="20"/>
              </w:rPr>
              <w:t>Janekarnkij</w:t>
            </w:r>
            <w:proofErr w:type="spellEnd"/>
            <w:r>
              <w:rPr>
                <w:rFonts w:ascii="Cambria" w:hAnsi="Cambria"/>
                <w:sz w:val="20"/>
                <w:szCs w:val="20"/>
              </w:rPr>
              <w:t xml:space="preserve"> 2010); </w:t>
            </w:r>
            <w:r w:rsidRPr="00EA2AAC">
              <w:rPr>
                <w:rFonts w:ascii="Cambria" w:hAnsi="Cambria"/>
                <w:sz w:val="20"/>
                <w:szCs w:val="20"/>
              </w:rPr>
              <w:lastRenderedPageBreak/>
              <w:t>Habitat function</w:t>
            </w:r>
            <w:r>
              <w:rPr>
                <w:rFonts w:ascii="Cambria" w:hAnsi="Cambria"/>
                <w:sz w:val="20"/>
                <w:szCs w:val="20"/>
              </w:rPr>
              <w:t>:</w:t>
            </w:r>
            <w:r w:rsidRPr="00EA2AAC">
              <w:rPr>
                <w:rFonts w:ascii="Cambria" w:hAnsi="Cambria"/>
                <w:sz w:val="20"/>
                <w:szCs w:val="20"/>
              </w:rPr>
              <w:t xml:space="preserve"> $331 per ha</w:t>
            </w:r>
            <w:r>
              <w:rPr>
                <w:rFonts w:ascii="Cambria" w:hAnsi="Cambria"/>
                <w:sz w:val="20"/>
                <w:szCs w:val="20"/>
              </w:rPr>
              <w:t xml:space="preserve"> (Clark et al. 2012)</w:t>
            </w:r>
          </w:p>
        </w:tc>
        <w:tc>
          <w:tcPr>
            <w:tcW w:w="1170" w:type="dxa"/>
            <w:tcBorders>
              <w:top w:val="nil"/>
              <w:left w:val="single" w:sz="2" w:space="0" w:color="auto"/>
              <w:bottom w:val="single" w:sz="4" w:space="0" w:color="auto"/>
              <w:right w:val="single" w:sz="4" w:space="0" w:color="auto"/>
            </w:tcBorders>
            <w:shd w:val="clear" w:color="000000" w:fill="E2EFDA"/>
          </w:tcPr>
          <w:p w14:paraId="09880C36" w14:textId="275442ED" w:rsidR="004F737C" w:rsidRPr="00761424" w:rsidRDefault="004F737C" w:rsidP="00736B28">
            <w:pPr>
              <w:jc w:val="center"/>
              <w:rPr>
                <w:rFonts w:ascii="Cambria" w:hAnsi="Cambria"/>
                <w:sz w:val="20"/>
                <w:szCs w:val="20"/>
              </w:rPr>
            </w:pPr>
            <w:r w:rsidRPr="004F737C">
              <w:rPr>
                <w:rFonts w:ascii="Cambria" w:hAnsi="Cambria"/>
                <w:sz w:val="20"/>
                <w:szCs w:val="20"/>
              </w:rPr>
              <w:lastRenderedPageBreak/>
              <w:t>Nursery function: US$243/ha/</w:t>
            </w:r>
            <w:proofErr w:type="spellStart"/>
            <w:r w:rsidRPr="004F737C">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Samonte</w:t>
            </w:r>
            <w:proofErr w:type="spellEnd"/>
            <w:r>
              <w:rPr>
                <w:rFonts w:ascii="Cambria" w:hAnsi="Cambria"/>
                <w:sz w:val="20"/>
                <w:szCs w:val="20"/>
              </w:rPr>
              <w:t>-</w:t>
            </w:r>
            <w:r>
              <w:rPr>
                <w:rFonts w:ascii="Cambria" w:hAnsi="Cambria"/>
                <w:sz w:val="20"/>
                <w:szCs w:val="20"/>
              </w:rPr>
              <w:lastRenderedPageBreak/>
              <w:t>Tan et al. 2007)</w:t>
            </w:r>
          </w:p>
        </w:tc>
        <w:tc>
          <w:tcPr>
            <w:tcW w:w="1080" w:type="dxa"/>
            <w:tcBorders>
              <w:top w:val="nil"/>
              <w:left w:val="single" w:sz="2" w:space="0" w:color="auto"/>
              <w:bottom w:val="single" w:sz="4" w:space="0" w:color="auto"/>
              <w:right w:val="single" w:sz="4" w:space="0" w:color="auto"/>
            </w:tcBorders>
            <w:shd w:val="clear" w:color="000000" w:fill="E2EFDA"/>
          </w:tcPr>
          <w:p w14:paraId="42379339" w14:textId="040F3289" w:rsidR="004F737C" w:rsidRPr="00761424" w:rsidRDefault="004F737C" w:rsidP="00736B28">
            <w:pPr>
              <w:jc w:val="center"/>
              <w:rPr>
                <w:rFonts w:ascii="Cambria" w:hAnsi="Cambria"/>
                <w:sz w:val="20"/>
                <w:szCs w:val="20"/>
              </w:rPr>
            </w:pPr>
            <w:r w:rsidRPr="004F737C">
              <w:rPr>
                <w:rFonts w:ascii="Cambria" w:hAnsi="Cambria"/>
                <w:sz w:val="20"/>
                <w:szCs w:val="20"/>
              </w:rPr>
              <w:lastRenderedPageBreak/>
              <w:t xml:space="preserve">Nursery function: 36,955.16 </w:t>
            </w:r>
            <w:proofErr w:type="spellStart"/>
            <w:r w:rsidRPr="004F737C">
              <w:rPr>
                <w:rFonts w:ascii="Cambria" w:hAnsi="Cambria"/>
                <w:sz w:val="20"/>
                <w:szCs w:val="20"/>
              </w:rPr>
              <w:t>PhP</w:t>
            </w:r>
            <w:proofErr w:type="spellEnd"/>
            <w:r w:rsidRPr="004F737C">
              <w:rPr>
                <w:rFonts w:ascii="Cambria" w:hAnsi="Cambria"/>
                <w:sz w:val="20"/>
                <w:szCs w:val="20"/>
              </w:rPr>
              <w:t>/ha/</w:t>
            </w:r>
            <w:proofErr w:type="spellStart"/>
            <w:r w:rsidRPr="004F737C">
              <w:rPr>
                <w:rFonts w:ascii="Cambria" w:hAnsi="Cambria"/>
                <w:sz w:val="20"/>
                <w:szCs w:val="20"/>
              </w:rPr>
              <w:t>yr</w:t>
            </w:r>
            <w:proofErr w:type="spellEnd"/>
            <w:r>
              <w:rPr>
                <w:rFonts w:ascii="Cambria" w:hAnsi="Cambria"/>
                <w:sz w:val="20"/>
                <w:szCs w:val="20"/>
              </w:rPr>
              <w:t xml:space="preserve"> </w:t>
            </w:r>
            <w:r>
              <w:rPr>
                <w:rFonts w:ascii="Cambria" w:hAnsi="Cambria"/>
                <w:sz w:val="20"/>
                <w:szCs w:val="20"/>
              </w:rPr>
              <w:lastRenderedPageBreak/>
              <w:t>(</w:t>
            </w:r>
            <w:proofErr w:type="spellStart"/>
            <w:r>
              <w:rPr>
                <w:rFonts w:ascii="Cambria" w:hAnsi="Cambria"/>
                <w:sz w:val="20"/>
                <w:szCs w:val="20"/>
              </w:rPr>
              <w:t>Defiesta</w:t>
            </w:r>
            <w:proofErr w:type="spellEnd"/>
            <w:r>
              <w:rPr>
                <w:rFonts w:ascii="Cambria" w:hAnsi="Cambria"/>
                <w:sz w:val="20"/>
                <w:szCs w:val="20"/>
              </w:rPr>
              <w:t xml:space="preserve"> 2007)</w:t>
            </w:r>
          </w:p>
        </w:tc>
        <w:tc>
          <w:tcPr>
            <w:tcW w:w="1260" w:type="dxa"/>
            <w:tcBorders>
              <w:top w:val="nil"/>
              <w:left w:val="nil"/>
              <w:bottom w:val="single" w:sz="4" w:space="0" w:color="auto"/>
              <w:right w:val="single" w:sz="4" w:space="0" w:color="auto"/>
            </w:tcBorders>
            <w:shd w:val="clear" w:color="000000" w:fill="E2EFDA"/>
          </w:tcPr>
          <w:p w14:paraId="6917C3AD" w14:textId="7102E88F" w:rsidR="004F737C" w:rsidRPr="00761424" w:rsidRDefault="004F737C" w:rsidP="00736B28">
            <w:pPr>
              <w:jc w:val="center"/>
              <w:rPr>
                <w:rFonts w:ascii="Cambria" w:hAnsi="Cambria"/>
                <w:sz w:val="20"/>
                <w:szCs w:val="20"/>
              </w:rPr>
            </w:pPr>
          </w:p>
        </w:tc>
      </w:tr>
      <w:tr w:rsidR="004F737C" w:rsidRPr="004368D7" w14:paraId="21B55C43" w14:textId="77777777" w:rsidTr="00D80463">
        <w:trPr>
          <w:trHeight w:val="647"/>
        </w:trPr>
        <w:tc>
          <w:tcPr>
            <w:tcW w:w="1260" w:type="dxa"/>
            <w:tcBorders>
              <w:top w:val="nil"/>
              <w:left w:val="single" w:sz="4" w:space="0" w:color="auto"/>
              <w:bottom w:val="single" w:sz="4" w:space="0" w:color="auto"/>
              <w:right w:val="single" w:sz="4" w:space="0" w:color="auto"/>
            </w:tcBorders>
            <w:shd w:val="clear" w:color="000000" w:fill="E2EFDA"/>
          </w:tcPr>
          <w:p w14:paraId="15D2FAC0" w14:textId="17B2D188"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Maintenance of genetic diversity</w:t>
            </w:r>
          </w:p>
        </w:tc>
        <w:tc>
          <w:tcPr>
            <w:tcW w:w="2430" w:type="dxa"/>
            <w:tcBorders>
              <w:top w:val="nil"/>
              <w:left w:val="nil"/>
              <w:bottom w:val="single" w:sz="4" w:space="0" w:color="auto"/>
              <w:right w:val="single" w:sz="4" w:space="0" w:color="auto"/>
            </w:tcBorders>
            <w:shd w:val="clear" w:color="000000" w:fill="E2EFDA"/>
          </w:tcPr>
          <w:p w14:paraId="59EA471A" w14:textId="2927C3DD" w:rsidR="004F737C" w:rsidRPr="00761424" w:rsidRDefault="004F737C" w:rsidP="00736B28">
            <w:pPr>
              <w:spacing w:after="0" w:line="240" w:lineRule="auto"/>
              <w:jc w:val="center"/>
              <w:rPr>
                <w:rFonts w:ascii="Cambria" w:hAnsi="Cambria"/>
                <w:sz w:val="20"/>
                <w:szCs w:val="20"/>
              </w:rPr>
            </w:pPr>
            <w:r w:rsidRPr="000E2ED3">
              <w:rPr>
                <w:rFonts w:ascii="Cambria" w:hAnsi="Cambria"/>
                <w:sz w:val="20"/>
                <w:szCs w:val="20"/>
              </w:rPr>
              <w:t>Preservation of gene pool: US$100/ha/</w:t>
            </w:r>
            <w:proofErr w:type="spellStart"/>
            <w:r w:rsidRPr="000E2ED3">
              <w:rPr>
                <w:rFonts w:ascii="Cambria" w:hAnsi="Cambria"/>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0E2ED3">
              <w:rPr>
                <w:rFonts w:ascii="Cambria" w:hAnsi="Cambria"/>
                <w:sz w:val="20"/>
                <w:szCs w:val="20"/>
              </w:rPr>
              <w:t>Protection of biodiversity, genetic resources, nutrient cycling</w:t>
            </w:r>
            <w:r w:rsidR="00736B28">
              <w:rPr>
                <w:rFonts w:ascii="Cambria" w:hAnsi="Cambria"/>
                <w:sz w:val="20"/>
                <w:szCs w:val="20"/>
              </w:rPr>
              <w:t>:</w:t>
            </w:r>
            <w:r w:rsidRPr="000E2ED3">
              <w:rPr>
                <w:rFonts w:ascii="Cambria" w:hAnsi="Cambria"/>
                <w:sz w:val="20"/>
                <w:szCs w:val="20"/>
              </w:rPr>
              <w:t xml:space="preserve"> US$168/ha/</w:t>
            </w:r>
            <w:proofErr w:type="spellStart"/>
            <w:r w:rsidRPr="000E2ED3">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Ayanlade</w:t>
            </w:r>
            <w:proofErr w:type="spellEnd"/>
            <w:r w:rsidRPr="00CB67CB">
              <w:rPr>
                <w:rFonts w:ascii="Cambria" w:hAnsi="Cambria"/>
                <w:sz w:val="20"/>
                <w:szCs w:val="20"/>
              </w:rPr>
              <w:t xml:space="preserve"> et al. 2015)</w:t>
            </w:r>
            <w:r>
              <w:rPr>
                <w:rFonts w:ascii="Cambria" w:hAnsi="Cambria"/>
                <w:sz w:val="20"/>
                <w:szCs w:val="20"/>
              </w:rPr>
              <w:t xml:space="preserve">; </w:t>
            </w:r>
            <w:r w:rsidRPr="0051605B">
              <w:rPr>
                <w:rFonts w:ascii="Cambria" w:hAnsi="Cambria"/>
                <w:sz w:val="20"/>
                <w:szCs w:val="20"/>
              </w:rPr>
              <w:t xml:space="preserve">Biodiversity: </w:t>
            </w:r>
            <w:r>
              <w:rPr>
                <w:rFonts w:ascii="Cambria" w:hAnsi="Cambria"/>
                <w:sz w:val="20"/>
                <w:szCs w:val="20"/>
              </w:rPr>
              <w:t>US</w:t>
            </w:r>
            <w:r w:rsidRPr="0051605B">
              <w:rPr>
                <w:rFonts w:ascii="Cambria" w:hAnsi="Cambria"/>
                <w:sz w:val="20"/>
                <w:szCs w:val="20"/>
              </w:rPr>
              <w:t>$2.43/ha/</w:t>
            </w:r>
            <w:proofErr w:type="spellStart"/>
            <w:r w:rsidRPr="0051605B">
              <w:rPr>
                <w:rFonts w:ascii="Cambria" w:hAnsi="Cambria"/>
                <w:sz w:val="20"/>
                <w:szCs w:val="20"/>
              </w:rPr>
              <w:t>yr</w:t>
            </w:r>
            <w:proofErr w:type="spellEnd"/>
            <w:r>
              <w:rPr>
                <w:rFonts w:ascii="Cambria" w:hAnsi="Cambria"/>
                <w:sz w:val="20"/>
                <w:szCs w:val="20"/>
              </w:rPr>
              <w:t xml:space="preserve"> (Witt 2016); </w:t>
            </w:r>
            <w:r w:rsidRPr="00760071">
              <w:rPr>
                <w:rFonts w:ascii="Cambria" w:hAnsi="Cambria"/>
                <w:sz w:val="20"/>
                <w:szCs w:val="20"/>
              </w:rPr>
              <w:t>Preservation of gene pool: US$200/ha/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w:t>
            </w:r>
          </w:p>
        </w:tc>
        <w:tc>
          <w:tcPr>
            <w:tcW w:w="1260" w:type="dxa"/>
            <w:tcBorders>
              <w:top w:val="single" w:sz="4" w:space="0" w:color="auto"/>
              <w:left w:val="nil"/>
              <w:bottom w:val="single" w:sz="4" w:space="0" w:color="auto"/>
              <w:right w:val="single" w:sz="2" w:space="0" w:color="auto"/>
            </w:tcBorders>
            <w:shd w:val="clear" w:color="000000" w:fill="E2EFDA"/>
          </w:tcPr>
          <w:p w14:paraId="4E6B55F4" w14:textId="3263A1D1" w:rsidR="004F737C" w:rsidRPr="00761424" w:rsidRDefault="004F737C"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0B18CF50" w14:textId="67E8EFB1" w:rsidR="004F737C" w:rsidRDefault="004F737C"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4C1AAA8" w14:textId="2F3B6323" w:rsidR="004F737C" w:rsidRPr="00761424" w:rsidRDefault="004F737C"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9F753E1" w14:textId="10A847B5" w:rsidR="004F737C" w:rsidRDefault="004F737C"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3349C35" w14:textId="53F1B85C" w:rsidR="004F737C" w:rsidRPr="00761424" w:rsidRDefault="004F737C"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4459A3FA" w14:textId="71BE6E59" w:rsidR="004F737C" w:rsidRPr="00761424" w:rsidRDefault="004F737C" w:rsidP="00736B28">
            <w:pPr>
              <w:spacing w:after="0" w:line="240" w:lineRule="auto"/>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3DF47813" w14:textId="35848917" w:rsidR="004F737C" w:rsidRPr="004F737C" w:rsidRDefault="004F737C" w:rsidP="00736B28">
            <w:pPr>
              <w:spacing w:after="0" w:line="240" w:lineRule="auto"/>
              <w:jc w:val="center"/>
              <w:rPr>
                <w:rFonts w:ascii="Cambria" w:hAnsi="Cambria"/>
                <w:sz w:val="20"/>
                <w:szCs w:val="20"/>
                <w:lang w:val="fr-FR"/>
              </w:rPr>
            </w:pPr>
            <w:r w:rsidRPr="004F737C">
              <w:rPr>
                <w:rFonts w:ascii="Cambria" w:hAnsi="Cambria"/>
                <w:sz w:val="20"/>
                <w:szCs w:val="20"/>
                <w:lang w:val="fr-FR"/>
              </w:rPr>
              <w:t>US$19/ha/</w:t>
            </w:r>
            <w:proofErr w:type="spellStart"/>
            <w:r w:rsidRPr="004F737C">
              <w:rPr>
                <w:rFonts w:ascii="Cambria" w:hAnsi="Cambria"/>
                <w:sz w:val="20"/>
                <w:szCs w:val="20"/>
                <w:lang w:val="fr-FR"/>
              </w:rPr>
              <w:t>yr</w:t>
            </w:r>
            <w:proofErr w:type="spellEnd"/>
            <w:r w:rsidRPr="004F737C">
              <w:rPr>
                <w:rFonts w:ascii="Cambria" w:hAnsi="Cambria"/>
                <w:sz w:val="20"/>
                <w:szCs w:val="20"/>
                <w:lang w:val="fr-FR"/>
              </w:rPr>
              <w:t xml:space="preserve"> (</w:t>
            </w:r>
            <w:proofErr w:type="spellStart"/>
            <w:r w:rsidRPr="004F737C">
              <w:rPr>
                <w:rFonts w:ascii="Cambria" w:hAnsi="Cambria"/>
                <w:sz w:val="20"/>
                <w:szCs w:val="20"/>
                <w:lang w:val="fr-FR"/>
              </w:rPr>
              <w:t>Samonte</w:t>
            </w:r>
            <w:proofErr w:type="spellEnd"/>
            <w:r w:rsidRPr="004F737C">
              <w:rPr>
                <w:rFonts w:ascii="Cambria" w:hAnsi="Cambria"/>
                <w:sz w:val="20"/>
                <w:szCs w:val="20"/>
                <w:lang w:val="fr-FR"/>
              </w:rPr>
              <w:t>-Tan et al. 2007)</w:t>
            </w:r>
          </w:p>
        </w:tc>
        <w:tc>
          <w:tcPr>
            <w:tcW w:w="1080" w:type="dxa"/>
            <w:tcBorders>
              <w:top w:val="nil"/>
              <w:left w:val="single" w:sz="2" w:space="0" w:color="auto"/>
              <w:bottom w:val="single" w:sz="4" w:space="0" w:color="auto"/>
              <w:right w:val="single" w:sz="4" w:space="0" w:color="auto"/>
            </w:tcBorders>
            <w:shd w:val="clear" w:color="000000" w:fill="E2EFDA"/>
          </w:tcPr>
          <w:p w14:paraId="0BB6A8DC" w14:textId="00D4CDBA" w:rsidR="004F737C" w:rsidRPr="004F737C" w:rsidRDefault="004F737C" w:rsidP="00736B28">
            <w:pPr>
              <w:spacing w:after="0" w:line="240" w:lineRule="auto"/>
              <w:jc w:val="center"/>
              <w:rPr>
                <w:rFonts w:ascii="Cambria" w:hAnsi="Cambria"/>
                <w:sz w:val="20"/>
                <w:szCs w:val="20"/>
                <w:lang w:val="fr-FR"/>
              </w:rPr>
            </w:pPr>
          </w:p>
        </w:tc>
        <w:tc>
          <w:tcPr>
            <w:tcW w:w="1260" w:type="dxa"/>
            <w:tcBorders>
              <w:top w:val="nil"/>
              <w:left w:val="nil"/>
              <w:bottom w:val="single" w:sz="4" w:space="0" w:color="auto"/>
              <w:right w:val="single" w:sz="4" w:space="0" w:color="auto"/>
            </w:tcBorders>
            <w:shd w:val="clear" w:color="000000" w:fill="E2EFDA"/>
          </w:tcPr>
          <w:p w14:paraId="7978AF6C" w14:textId="6FFECBB9" w:rsidR="004F737C" w:rsidRPr="004F737C" w:rsidRDefault="004F737C" w:rsidP="00736B28">
            <w:pPr>
              <w:spacing w:after="0" w:line="240" w:lineRule="auto"/>
              <w:jc w:val="center"/>
              <w:rPr>
                <w:rFonts w:ascii="Cambria" w:hAnsi="Cambria"/>
                <w:sz w:val="20"/>
                <w:szCs w:val="20"/>
                <w:lang w:val="fr-FR"/>
              </w:rPr>
            </w:pPr>
          </w:p>
        </w:tc>
      </w:tr>
      <w:tr w:rsidR="004F737C" w:rsidRPr="00761424" w14:paraId="07AFBB43" w14:textId="77777777" w:rsidTr="00D80463">
        <w:trPr>
          <w:trHeight w:val="467"/>
        </w:trPr>
        <w:tc>
          <w:tcPr>
            <w:tcW w:w="1260" w:type="dxa"/>
            <w:tcBorders>
              <w:top w:val="nil"/>
              <w:left w:val="single" w:sz="4" w:space="0" w:color="auto"/>
              <w:bottom w:val="single" w:sz="4" w:space="0" w:color="auto"/>
              <w:right w:val="single" w:sz="4" w:space="0" w:color="auto"/>
            </w:tcBorders>
            <w:shd w:val="clear" w:color="000000" w:fill="A8D08D"/>
            <w:hideMark/>
          </w:tcPr>
          <w:p w14:paraId="45A13EA5" w14:textId="148D2160"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Cultural services</w:t>
            </w:r>
          </w:p>
        </w:tc>
        <w:tc>
          <w:tcPr>
            <w:tcW w:w="2430" w:type="dxa"/>
            <w:tcBorders>
              <w:top w:val="nil"/>
              <w:left w:val="nil"/>
              <w:bottom w:val="single" w:sz="4" w:space="0" w:color="auto"/>
              <w:right w:val="single" w:sz="4" w:space="0" w:color="auto"/>
            </w:tcBorders>
            <w:shd w:val="clear" w:color="000000" w:fill="A8D08D"/>
          </w:tcPr>
          <w:p w14:paraId="55ED24A5" w14:textId="0D87D956"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260" w:type="dxa"/>
            <w:tcBorders>
              <w:top w:val="single" w:sz="4" w:space="0" w:color="auto"/>
              <w:left w:val="nil"/>
              <w:bottom w:val="single" w:sz="4" w:space="0" w:color="auto"/>
              <w:right w:val="single" w:sz="2" w:space="0" w:color="auto"/>
            </w:tcBorders>
            <w:shd w:val="clear" w:color="000000" w:fill="A8D08D"/>
          </w:tcPr>
          <w:p w14:paraId="59B606F5" w14:textId="400D87D2"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66C99A7E" w14:textId="450433B5" w:rsidR="004F737C"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27A29913" w14:textId="26C8B34F"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260585CF" w14:textId="604601D5" w:rsidR="004F737C"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2" w:space="0" w:color="auto"/>
            </w:tcBorders>
            <w:shd w:val="clear" w:color="000000" w:fill="A8D08D"/>
          </w:tcPr>
          <w:p w14:paraId="567D11EB" w14:textId="2D8BE976"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A8D08D"/>
          </w:tcPr>
          <w:p w14:paraId="17254BED" w14:textId="0624ACE5"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170" w:type="dxa"/>
            <w:tcBorders>
              <w:top w:val="nil"/>
              <w:left w:val="single" w:sz="2" w:space="0" w:color="auto"/>
              <w:bottom w:val="single" w:sz="4" w:space="0" w:color="auto"/>
              <w:right w:val="single" w:sz="4" w:space="0" w:color="auto"/>
            </w:tcBorders>
            <w:shd w:val="clear" w:color="000000" w:fill="A8D08D"/>
          </w:tcPr>
          <w:p w14:paraId="0CDE77A0" w14:textId="64E758F5"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080" w:type="dxa"/>
            <w:tcBorders>
              <w:top w:val="nil"/>
              <w:left w:val="single" w:sz="2" w:space="0" w:color="auto"/>
              <w:bottom w:val="single" w:sz="4" w:space="0" w:color="auto"/>
              <w:right w:val="single" w:sz="4" w:space="0" w:color="auto"/>
            </w:tcBorders>
            <w:shd w:val="clear" w:color="000000" w:fill="A8D08D"/>
          </w:tcPr>
          <w:p w14:paraId="05A3AC94" w14:textId="6C199AC2" w:rsidR="004F737C" w:rsidRPr="00761424" w:rsidRDefault="004F737C" w:rsidP="00736B28">
            <w:pPr>
              <w:spacing w:after="0" w:line="240" w:lineRule="auto"/>
              <w:jc w:val="center"/>
              <w:rPr>
                <w:rFonts w:ascii="Cambria" w:eastAsia="Times New Roman" w:hAnsi="Cambria" w:cs="Times New Roman"/>
                <w:color w:val="000000"/>
                <w:sz w:val="20"/>
                <w:szCs w:val="20"/>
              </w:rPr>
            </w:pPr>
          </w:p>
        </w:tc>
        <w:tc>
          <w:tcPr>
            <w:tcW w:w="1260" w:type="dxa"/>
            <w:tcBorders>
              <w:top w:val="nil"/>
              <w:left w:val="nil"/>
              <w:bottom w:val="single" w:sz="4" w:space="0" w:color="auto"/>
              <w:right w:val="single" w:sz="4" w:space="0" w:color="auto"/>
            </w:tcBorders>
            <w:shd w:val="clear" w:color="000000" w:fill="A8D08D"/>
          </w:tcPr>
          <w:p w14:paraId="73206D0C" w14:textId="51C57AE1" w:rsidR="004F737C" w:rsidRPr="00761424" w:rsidRDefault="004F737C" w:rsidP="00736B28">
            <w:pPr>
              <w:spacing w:after="0" w:line="240" w:lineRule="auto"/>
              <w:jc w:val="center"/>
              <w:rPr>
                <w:rFonts w:ascii="Cambria" w:eastAsia="Times New Roman" w:hAnsi="Cambria" w:cs="Times New Roman"/>
                <w:color w:val="000000"/>
                <w:sz w:val="20"/>
                <w:szCs w:val="20"/>
              </w:rPr>
            </w:pPr>
          </w:p>
        </w:tc>
      </w:tr>
      <w:tr w:rsidR="004F737C" w:rsidRPr="00761424" w14:paraId="10A72C21" w14:textId="77777777" w:rsidTr="00D80463">
        <w:trPr>
          <w:trHeight w:val="431"/>
        </w:trPr>
        <w:tc>
          <w:tcPr>
            <w:tcW w:w="1260" w:type="dxa"/>
            <w:tcBorders>
              <w:top w:val="nil"/>
              <w:left w:val="single" w:sz="4" w:space="0" w:color="auto"/>
              <w:bottom w:val="single" w:sz="4" w:space="0" w:color="auto"/>
              <w:right w:val="single" w:sz="4" w:space="0" w:color="auto"/>
            </w:tcBorders>
            <w:shd w:val="clear" w:color="000000" w:fill="E2EFDA"/>
            <w:hideMark/>
          </w:tcPr>
          <w:p w14:paraId="7BAFBF2B" w14:textId="4AE251E6"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lastRenderedPageBreak/>
              <w:t>Aesthetic information</w:t>
            </w:r>
          </w:p>
        </w:tc>
        <w:tc>
          <w:tcPr>
            <w:tcW w:w="2430" w:type="dxa"/>
            <w:tcBorders>
              <w:top w:val="nil"/>
              <w:left w:val="nil"/>
              <w:bottom w:val="single" w:sz="4" w:space="0" w:color="auto"/>
              <w:right w:val="single" w:sz="4" w:space="0" w:color="auto"/>
            </w:tcBorders>
            <w:shd w:val="clear" w:color="000000" w:fill="E2EFDA"/>
          </w:tcPr>
          <w:p w14:paraId="2045DFEA" w14:textId="14781894" w:rsidR="004F737C" w:rsidRPr="00761424" w:rsidRDefault="004F737C" w:rsidP="00736B28">
            <w:pPr>
              <w:spacing w:after="0"/>
              <w:jc w:val="center"/>
              <w:rPr>
                <w:rFonts w:ascii="Cambria" w:hAnsi="Cambria"/>
                <w:sz w:val="20"/>
                <w:szCs w:val="20"/>
              </w:rPr>
            </w:pPr>
            <w:r w:rsidRPr="00760071">
              <w:rPr>
                <w:rFonts w:ascii="Cambria" w:hAnsi="Cambria"/>
                <w:sz w:val="20"/>
                <w:szCs w:val="20"/>
              </w:rPr>
              <w:t>Recreation and aesthetics: US$500/ha/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w:t>
            </w:r>
          </w:p>
        </w:tc>
        <w:tc>
          <w:tcPr>
            <w:tcW w:w="1260" w:type="dxa"/>
            <w:tcBorders>
              <w:top w:val="single" w:sz="4" w:space="0" w:color="auto"/>
              <w:left w:val="nil"/>
              <w:bottom w:val="single" w:sz="4" w:space="0" w:color="auto"/>
              <w:right w:val="single" w:sz="2" w:space="0" w:color="auto"/>
            </w:tcBorders>
            <w:shd w:val="clear" w:color="000000" w:fill="E2EFDA"/>
          </w:tcPr>
          <w:p w14:paraId="4B81A599" w14:textId="07A66BF8" w:rsidR="004F737C" w:rsidRPr="00761424" w:rsidRDefault="004F737C" w:rsidP="00736B28">
            <w:pPr>
              <w:spacing w:after="0"/>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984B2A8" w14:textId="45B1C816" w:rsidR="004F737C" w:rsidRDefault="004F737C" w:rsidP="00736B28">
            <w:pPr>
              <w:spacing w:after="0"/>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2263619D" w14:textId="080339A7" w:rsidR="004F737C" w:rsidRPr="00761424" w:rsidRDefault="004F737C" w:rsidP="00736B28">
            <w:pPr>
              <w:spacing w:after="0"/>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46B98314" w14:textId="5C7148EA" w:rsidR="004F737C" w:rsidRDefault="004F737C" w:rsidP="00736B28">
            <w:pPr>
              <w:spacing w:after="0"/>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45408E0" w14:textId="4D5508CB" w:rsidR="004F737C" w:rsidRPr="00761424" w:rsidRDefault="004F737C" w:rsidP="00736B28">
            <w:pPr>
              <w:spacing w:after="0"/>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06E557CA" w14:textId="6B80F466" w:rsidR="004F737C" w:rsidRPr="00761424" w:rsidRDefault="004F737C" w:rsidP="00736B28">
            <w:pPr>
              <w:spacing w:after="0"/>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27658EC4" w14:textId="7A6C15B1" w:rsidR="004F737C" w:rsidRPr="00761424" w:rsidRDefault="004F737C" w:rsidP="00736B28">
            <w:pPr>
              <w:spacing w:after="0"/>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33ABE143" w14:textId="65314F25" w:rsidR="004F737C" w:rsidRPr="00761424" w:rsidRDefault="004F737C" w:rsidP="00736B28">
            <w:pPr>
              <w:spacing w:after="0"/>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63ED853B" w14:textId="77A9E4E1" w:rsidR="004F737C" w:rsidRPr="00761424" w:rsidRDefault="004F737C" w:rsidP="00736B28">
            <w:pPr>
              <w:spacing w:after="0"/>
              <w:jc w:val="center"/>
              <w:rPr>
                <w:rFonts w:ascii="Cambria" w:hAnsi="Cambria"/>
                <w:sz w:val="20"/>
                <w:szCs w:val="20"/>
              </w:rPr>
            </w:pPr>
          </w:p>
        </w:tc>
      </w:tr>
      <w:tr w:rsidR="004933D9" w:rsidRPr="004368D7" w14:paraId="042AA1C4" w14:textId="77777777" w:rsidTr="00D80463">
        <w:trPr>
          <w:trHeight w:val="944"/>
        </w:trPr>
        <w:tc>
          <w:tcPr>
            <w:tcW w:w="1260" w:type="dxa"/>
            <w:tcBorders>
              <w:top w:val="nil"/>
              <w:left w:val="single" w:sz="4" w:space="0" w:color="auto"/>
              <w:bottom w:val="single" w:sz="4" w:space="0" w:color="auto"/>
              <w:right w:val="single" w:sz="4" w:space="0" w:color="auto"/>
            </w:tcBorders>
            <w:shd w:val="clear" w:color="000000" w:fill="E2EFDA"/>
          </w:tcPr>
          <w:p w14:paraId="40331502" w14:textId="728C9F69" w:rsidR="004933D9" w:rsidRPr="00761424" w:rsidRDefault="004933D9" w:rsidP="00736B28">
            <w:pPr>
              <w:spacing w:after="0" w:line="240" w:lineRule="auto"/>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Spiritual experience</w:t>
            </w:r>
          </w:p>
        </w:tc>
        <w:tc>
          <w:tcPr>
            <w:tcW w:w="2430" w:type="dxa"/>
            <w:tcBorders>
              <w:top w:val="nil"/>
              <w:left w:val="nil"/>
              <w:bottom w:val="single" w:sz="4" w:space="0" w:color="auto"/>
              <w:right w:val="single" w:sz="4" w:space="0" w:color="auto"/>
            </w:tcBorders>
            <w:shd w:val="clear" w:color="000000" w:fill="E2EFDA"/>
          </w:tcPr>
          <w:p w14:paraId="02B9C852" w14:textId="5D27A371" w:rsidR="004933D9" w:rsidRPr="004933D9" w:rsidRDefault="004933D9" w:rsidP="00736B28">
            <w:pPr>
              <w:spacing w:after="0" w:line="240" w:lineRule="auto"/>
              <w:jc w:val="center"/>
              <w:rPr>
                <w:rFonts w:ascii="Cambria" w:hAnsi="Cambria"/>
                <w:sz w:val="20"/>
                <w:szCs w:val="20"/>
                <w:lang w:val="fr-FR"/>
              </w:rPr>
            </w:pPr>
            <w:r w:rsidRPr="004933D9">
              <w:rPr>
                <w:rFonts w:ascii="Cambria" w:hAnsi="Cambria"/>
                <w:sz w:val="20"/>
                <w:szCs w:val="20"/>
                <w:lang w:val="fr-FR"/>
              </w:rPr>
              <w:t>US$20/ha/</w:t>
            </w:r>
            <w:proofErr w:type="spellStart"/>
            <w:r w:rsidRPr="004933D9">
              <w:rPr>
                <w:rFonts w:ascii="Cambria" w:hAnsi="Cambria"/>
                <w:sz w:val="20"/>
                <w:szCs w:val="20"/>
                <w:lang w:val="fr-FR"/>
              </w:rPr>
              <w:t>yr</w:t>
            </w:r>
            <w:proofErr w:type="spellEnd"/>
            <w:r w:rsidRPr="004933D9">
              <w:rPr>
                <w:rFonts w:ascii="Cambria" w:hAnsi="Cambria"/>
                <w:sz w:val="20"/>
                <w:szCs w:val="20"/>
                <w:lang w:val="fr-FR"/>
              </w:rPr>
              <w:t xml:space="preserve"> (</w:t>
            </w:r>
            <w:proofErr w:type="spellStart"/>
            <w:r w:rsidRPr="004933D9">
              <w:rPr>
                <w:rFonts w:ascii="Cambria" w:hAnsi="Cambria"/>
                <w:sz w:val="20"/>
                <w:szCs w:val="20"/>
                <w:lang w:val="fr-FR"/>
              </w:rPr>
              <w:t>Ayanlade</w:t>
            </w:r>
            <w:proofErr w:type="spellEnd"/>
            <w:r w:rsidRPr="004933D9">
              <w:rPr>
                <w:rFonts w:ascii="Cambria" w:hAnsi="Cambria"/>
                <w:sz w:val="20"/>
                <w:szCs w:val="20"/>
                <w:lang w:val="fr-FR"/>
              </w:rPr>
              <w:t xml:space="preserve"> et al. 2015)</w:t>
            </w:r>
          </w:p>
        </w:tc>
        <w:tc>
          <w:tcPr>
            <w:tcW w:w="1260" w:type="dxa"/>
            <w:tcBorders>
              <w:top w:val="single" w:sz="4" w:space="0" w:color="auto"/>
              <w:left w:val="nil"/>
              <w:bottom w:val="single" w:sz="4" w:space="0" w:color="auto"/>
              <w:right w:val="single" w:sz="2" w:space="0" w:color="auto"/>
            </w:tcBorders>
            <w:shd w:val="clear" w:color="000000" w:fill="E2EFDA"/>
          </w:tcPr>
          <w:p w14:paraId="2C46960E" w14:textId="77777777" w:rsidR="004933D9" w:rsidRPr="004933D9" w:rsidRDefault="004933D9" w:rsidP="00736B28">
            <w:pPr>
              <w:jc w:val="center"/>
              <w:rPr>
                <w:rFonts w:ascii="Cambria" w:hAnsi="Cambria"/>
                <w:sz w:val="20"/>
                <w:szCs w:val="20"/>
                <w:lang w:val="fr-FR"/>
              </w:rPr>
            </w:pPr>
          </w:p>
        </w:tc>
        <w:tc>
          <w:tcPr>
            <w:tcW w:w="1170" w:type="dxa"/>
            <w:tcBorders>
              <w:top w:val="nil"/>
              <w:left w:val="single" w:sz="2" w:space="0" w:color="auto"/>
              <w:bottom w:val="single" w:sz="4" w:space="0" w:color="auto"/>
              <w:right w:val="single" w:sz="2" w:space="0" w:color="auto"/>
            </w:tcBorders>
            <w:shd w:val="clear" w:color="000000" w:fill="E2EFDA"/>
          </w:tcPr>
          <w:p w14:paraId="2AF76DA2" w14:textId="77777777" w:rsidR="004933D9" w:rsidRPr="004933D9" w:rsidRDefault="004933D9" w:rsidP="00736B28">
            <w:pPr>
              <w:jc w:val="center"/>
              <w:rPr>
                <w:rFonts w:ascii="Cambria" w:hAnsi="Cambria"/>
                <w:sz w:val="20"/>
                <w:szCs w:val="20"/>
                <w:lang w:val="fr-FR"/>
              </w:rPr>
            </w:pPr>
          </w:p>
        </w:tc>
        <w:tc>
          <w:tcPr>
            <w:tcW w:w="1170" w:type="dxa"/>
            <w:tcBorders>
              <w:top w:val="nil"/>
              <w:left w:val="single" w:sz="2" w:space="0" w:color="auto"/>
              <w:bottom w:val="single" w:sz="4" w:space="0" w:color="auto"/>
              <w:right w:val="single" w:sz="2" w:space="0" w:color="auto"/>
            </w:tcBorders>
            <w:shd w:val="clear" w:color="000000" w:fill="E2EFDA"/>
          </w:tcPr>
          <w:p w14:paraId="7135A276" w14:textId="77777777" w:rsidR="004933D9" w:rsidRPr="004933D9" w:rsidRDefault="004933D9" w:rsidP="00736B28">
            <w:pPr>
              <w:jc w:val="center"/>
              <w:rPr>
                <w:rFonts w:ascii="Cambria" w:hAnsi="Cambria"/>
                <w:sz w:val="20"/>
                <w:szCs w:val="20"/>
                <w:lang w:val="fr-FR"/>
              </w:rPr>
            </w:pPr>
          </w:p>
        </w:tc>
        <w:tc>
          <w:tcPr>
            <w:tcW w:w="1170" w:type="dxa"/>
            <w:tcBorders>
              <w:top w:val="nil"/>
              <w:left w:val="single" w:sz="2" w:space="0" w:color="auto"/>
              <w:bottom w:val="single" w:sz="4" w:space="0" w:color="auto"/>
              <w:right w:val="single" w:sz="2" w:space="0" w:color="auto"/>
            </w:tcBorders>
            <w:shd w:val="clear" w:color="000000" w:fill="E2EFDA"/>
          </w:tcPr>
          <w:p w14:paraId="31A67511" w14:textId="77777777" w:rsidR="004933D9" w:rsidRPr="004933D9" w:rsidRDefault="004933D9" w:rsidP="00736B28">
            <w:pPr>
              <w:jc w:val="center"/>
              <w:rPr>
                <w:rFonts w:ascii="Cambria" w:hAnsi="Cambria"/>
                <w:sz w:val="20"/>
                <w:szCs w:val="20"/>
                <w:lang w:val="fr-FR"/>
              </w:rPr>
            </w:pPr>
          </w:p>
        </w:tc>
        <w:tc>
          <w:tcPr>
            <w:tcW w:w="1170" w:type="dxa"/>
            <w:tcBorders>
              <w:top w:val="nil"/>
              <w:left w:val="single" w:sz="2" w:space="0" w:color="auto"/>
              <w:bottom w:val="single" w:sz="4" w:space="0" w:color="auto"/>
              <w:right w:val="single" w:sz="2" w:space="0" w:color="auto"/>
            </w:tcBorders>
            <w:shd w:val="clear" w:color="000000" w:fill="E2EFDA"/>
          </w:tcPr>
          <w:p w14:paraId="59E5CBBD" w14:textId="77777777" w:rsidR="004933D9" w:rsidRPr="004933D9" w:rsidRDefault="004933D9" w:rsidP="00736B28">
            <w:pPr>
              <w:jc w:val="center"/>
              <w:rPr>
                <w:rFonts w:ascii="Cambria" w:hAnsi="Cambria"/>
                <w:sz w:val="20"/>
                <w:szCs w:val="20"/>
                <w:lang w:val="fr-FR"/>
              </w:rPr>
            </w:pPr>
          </w:p>
        </w:tc>
        <w:tc>
          <w:tcPr>
            <w:tcW w:w="1170" w:type="dxa"/>
            <w:tcBorders>
              <w:top w:val="nil"/>
              <w:left w:val="single" w:sz="2" w:space="0" w:color="auto"/>
              <w:bottom w:val="single" w:sz="4" w:space="0" w:color="auto"/>
              <w:right w:val="single" w:sz="4" w:space="0" w:color="auto"/>
            </w:tcBorders>
            <w:shd w:val="clear" w:color="000000" w:fill="E2EFDA"/>
          </w:tcPr>
          <w:p w14:paraId="5FC60533" w14:textId="77777777" w:rsidR="004933D9" w:rsidRPr="004933D9" w:rsidRDefault="004933D9" w:rsidP="00736B28">
            <w:pPr>
              <w:jc w:val="center"/>
              <w:rPr>
                <w:rFonts w:ascii="Cambria" w:hAnsi="Cambria"/>
                <w:sz w:val="20"/>
                <w:szCs w:val="20"/>
                <w:lang w:val="fr-FR"/>
              </w:rPr>
            </w:pPr>
          </w:p>
        </w:tc>
        <w:tc>
          <w:tcPr>
            <w:tcW w:w="1170" w:type="dxa"/>
            <w:tcBorders>
              <w:top w:val="nil"/>
              <w:left w:val="single" w:sz="2" w:space="0" w:color="auto"/>
              <w:bottom w:val="single" w:sz="4" w:space="0" w:color="auto"/>
              <w:right w:val="single" w:sz="4" w:space="0" w:color="auto"/>
            </w:tcBorders>
            <w:shd w:val="clear" w:color="000000" w:fill="E2EFDA"/>
          </w:tcPr>
          <w:p w14:paraId="4AC252D0" w14:textId="77777777" w:rsidR="004933D9" w:rsidRPr="004933D9" w:rsidRDefault="004933D9" w:rsidP="00736B28">
            <w:pPr>
              <w:jc w:val="center"/>
              <w:rPr>
                <w:rFonts w:ascii="Cambria" w:hAnsi="Cambria"/>
                <w:sz w:val="20"/>
                <w:szCs w:val="20"/>
                <w:lang w:val="fr-FR"/>
              </w:rPr>
            </w:pPr>
          </w:p>
        </w:tc>
        <w:tc>
          <w:tcPr>
            <w:tcW w:w="1080" w:type="dxa"/>
            <w:tcBorders>
              <w:top w:val="nil"/>
              <w:left w:val="single" w:sz="2" w:space="0" w:color="auto"/>
              <w:bottom w:val="single" w:sz="4" w:space="0" w:color="auto"/>
              <w:right w:val="single" w:sz="4" w:space="0" w:color="auto"/>
            </w:tcBorders>
            <w:shd w:val="clear" w:color="000000" w:fill="E2EFDA"/>
          </w:tcPr>
          <w:p w14:paraId="1BEFD4E0" w14:textId="77777777" w:rsidR="004933D9" w:rsidRPr="004933D9" w:rsidRDefault="004933D9" w:rsidP="00736B28">
            <w:pPr>
              <w:jc w:val="center"/>
              <w:rPr>
                <w:rFonts w:ascii="Cambria" w:hAnsi="Cambria"/>
                <w:sz w:val="20"/>
                <w:szCs w:val="20"/>
                <w:lang w:val="fr-FR"/>
              </w:rPr>
            </w:pPr>
          </w:p>
        </w:tc>
        <w:tc>
          <w:tcPr>
            <w:tcW w:w="1260" w:type="dxa"/>
            <w:tcBorders>
              <w:top w:val="nil"/>
              <w:left w:val="nil"/>
              <w:bottom w:val="single" w:sz="4" w:space="0" w:color="auto"/>
              <w:right w:val="single" w:sz="4" w:space="0" w:color="auto"/>
            </w:tcBorders>
            <w:shd w:val="clear" w:color="000000" w:fill="E2EFDA"/>
          </w:tcPr>
          <w:p w14:paraId="5AC64AA6" w14:textId="77777777" w:rsidR="004933D9" w:rsidRPr="004933D9" w:rsidRDefault="004933D9" w:rsidP="00736B28">
            <w:pPr>
              <w:spacing w:after="0" w:line="240" w:lineRule="auto"/>
              <w:jc w:val="center"/>
              <w:rPr>
                <w:rFonts w:ascii="Cambria" w:eastAsia="Times New Roman" w:hAnsi="Cambria" w:cs="Times New Roman"/>
                <w:color w:val="000000"/>
                <w:sz w:val="20"/>
                <w:szCs w:val="20"/>
                <w:lang w:val="fr-FR"/>
              </w:rPr>
            </w:pPr>
          </w:p>
        </w:tc>
      </w:tr>
      <w:tr w:rsidR="004F737C" w:rsidRPr="001C5A91" w14:paraId="378C26BB" w14:textId="77777777" w:rsidTr="00D80463">
        <w:trPr>
          <w:trHeight w:val="944"/>
        </w:trPr>
        <w:tc>
          <w:tcPr>
            <w:tcW w:w="1260" w:type="dxa"/>
            <w:tcBorders>
              <w:top w:val="nil"/>
              <w:left w:val="single" w:sz="4" w:space="0" w:color="auto"/>
              <w:bottom w:val="single" w:sz="4" w:space="0" w:color="auto"/>
              <w:right w:val="single" w:sz="4" w:space="0" w:color="auto"/>
            </w:tcBorders>
            <w:shd w:val="clear" w:color="000000" w:fill="E2EFDA"/>
            <w:hideMark/>
          </w:tcPr>
          <w:p w14:paraId="7854A3DC" w14:textId="22492EC3"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Opportunities for recreation and tourism</w:t>
            </w:r>
          </w:p>
        </w:tc>
        <w:tc>
          <w:tcPr>
            <w:tcW w:w="2430" w:type="dxa"/>
            <w:tcBorders>
              <w:top w:val="nil"/>
              <w:left w:val="nil"/>
              <w:bottom w:val="single" w:sz="4" w:space="0" w:color="auto"/>
              <w:right w:val="single" w:sz="4" w:space="0" w:color="auto"/>
            </w:tcBorders>
            <w:shd w:val="clear" w:color="000000" w:fill="E2EFDA"/>
          </w:tcPr>
          <w:p w14:paraId="621F1FC3" w14:textId="72BBB336" w:rsidR="004F737C" w:rsidRPr="00761424" w:rsidRDefault="004F737C" w:rsidP="00736B28">
            <w:pPr>
              <w:spacing w:after="0" w:line="240" w:lineRule="auto"/>
              <w:jc w:val="center"/>
              <w:rPr>
                <w:rFonts w:ascii="Cambria" w:hAnsi="Cambria"/>
                <w:sz w:val="20"/>
                <w:szCs w:val="20"/>
              </w:rPr>
            </w:pPr>
            <w:r w:rsidRPr="000E2ED3">
              <w:rPr>
                <w:rFonts w:ascii="Cambria" w:hAnsi="Cambria"/>
                <w:sz w:val="20"/>
                <w:szCs w:val="20"/>
              </w:rPr>
              <w:t>Recreation and aesthetics: US$500/ha/</w:t>
            </w:r>
            <w:proofErr w:type="spellStart"/>
            <w:r w:rsidRPr="000E2ED3">
              <w:rPr>
                <w:rFonts w:ascii="Cambria" w:hAnsi="Cambria"/>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0E2ED3">
              <w:rPr>
                <w:rFonts w:ascii="Cambria" w:hAnsi="Cambria"/>
                <w:sz w:val="20"/>
                <w:szCs w:val="20"/>
              </w:rPr>
              <w:t>Recreation: RM41.18 per visit</w:t>
            </w:r>
            <w:r>
              <w:rPr>
                <w:rFonts w:ascii="Cambria" w:hAnsi="Cambria"/>
                <w:sz w:val="20"/>
                <w:szCs w:val="20"/>
              </w:rPr>
              <w:t xml:space="preserve"> (Ahmad 2009), </w:t>
            </w:r>
            <w:r w:rsidRPr="000E2ED3">
              <w:rPr>
                <w:rFonts w:ascii="Cambria" w:hAnsi="Cambria"/>
                <w:sz w:val="20"/>
                <w:szCs w:val="20"/>
              </w:rPr>
              <w:t>Spiritual, medical and recreational benefits</w:t>
            </w:r>
            <w:r w:rsidR="00736B28">
              <w:rPr>
                <w:rFonts w:ascii="Cambria" w:hAnsi="Cambria"/>
                <w:sz w:val="20"/>
                <w:szCs w:val="20"/>
              </w:rPr>
              <w:t>:</w:t>
            </w:r>
            <w:r w:rsidRPr="000E2ED3">
              <w:rPr>
                <w:rFonts w:ascii="Cambria" w:hAnsi="Cambria"/>
                <w:sz w:val="20"/>
                <w:szCs w:val="20"/>
              </w:rPr>
              <w:t xml:space="preserve"> US$20/ha/</w:t>
            </w:r>
            <w:proofErr w:type="spellStart"/>
            <w:r w:rsidRPr="000E2ED3">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Ayanlade</w:t>
            </w:r>
            <w:proofErr w:type="spellEnd"/>
            <w:r w:rsidRPr="00CB67CB">
              <w:rPr>
                <w:rFonts w:ascii="Cambria" w:hAnsi="Cambria"/>
                <w:sz w:val="20"/>
                <w:szCs w:val="20"/>
              </w:rPr>
              <w:t xml:space="preserve"> et al. 2015)</w:t>
            </w:r>
            <w:r>
              <w:rPr>
                <w:rFonts w:ascii="Cambria" w:hAnsi="Cambria"/>
                <w:sz w:val="20"/>
                <w:szCs w:val="20"/>
              </w:rPr>
              <w:t xml:space="preserve">, </w:t>
            </w:r>
            <w:r w:rsidRPr="00CB67CB">
              <w:rPr>
                <w:rFonts w:ascii="Cambria" w:hAnsi="Cambria"/>
                <w:sz w:val="20"/>
                <w:szCs w:val="20"/>
              </w:rPr>
              <w:t>Recreation and tourism: $37,927/ha/</w:t>
            </w:r>
            <w:proofErr w:type="spellStart"/>
            <w:r w:rsidRPr="00CB67CB">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 xml:space="preserve">(Mubarak Bin </w:t>
            </w:r>
            <w:proofErr w:type="spellStart"/>
            <w:r w:rsidRPr="00CB67CB">
              <w:rPr>
                <w:rFonts w:ascii="Cambria" w:hAnsi="Cambria"/>
                <w:sz w:val="20"/>
                <w:szCs w:val="20"/>
              </w:rPr>
              <w:t>Daina</w:t>
            </w:r>
            <w:proofErr w:type="spellEnd"/>
            <w:r w:rsidRPr="00CB67CB">
              <w:rPr>
                <w:rFonts w:ascii="Cambria" w:hAnsi="Cambria"/>
                <w:sz w:val="20"/>
                <w:szCs w:val="20"/>
              </w:rPr>
              <w:t xml:space="preserve"> et al. 2015)</w:t>
            </w:r>
            <w:r>
              <w:rPr>
                <w:rFonts w:ascii="Cambria" w:hAnsi="Cambria"/>
                <w:sz w:val="20"/>
                <w:szCs w:val="20"/>
              </w:rPr>
              <w:t xml:space="preserve">; </w:t>
            </w:r>
            <w:r w:rsidRPr="0051605B">
              <w:rPr>
                <w:rFonts w:ascii="Cambria" w:hAnsi="Cambria"/>
                <w:sz w:val="20"/>
                <w:szCs w:val="20"/>
              </w:rPr>
              <w:t>Ecotourism: 0.27 million €/km²/year</w:t>
            </w:r>
            <w:r>
              <w:rPr>
                <w:rFonts w:ascii="Cambria" w:hAnsi="Cambria"/>
                <w:sz w:val="20"/>
                <w:szCs w:val="20"/>
              </w:rPr>
              <w:t xml:space="preserve">, </w:t>
            </w:r>
            <w:r w:rsidRPr="0051605B">
              <w:rPr>
                <w:rFonts w:ascii="Cambria" w:hAnsi="Cambria"/>
                <w:sz w:val="20"/>
                <w:szCs w:val="20"/>
              </w:rPr>
              <w:t>Touring activities: 0.13 million €/km²/year</w:t>
            </w:r>
            <w:r>
              <w:rPr>
                <w:rFonts w:ascii="Cambria" w:hAnsi="Cambria"/>
                <w:sz w:val="20"/>
                <w:szCs w:val="20"/>
              </w:rPr>
              <w:t xml:space="preserve">, </w:t>
            </w:r>
            <w:r w:rsidRPr="0051605B">
              <w:rPr>
                <w:rFonts w:ascii="Cambria" w:hAnsi="Cambria"/>
                <w:sz w:val="20"/>
                <w:szCs w:val="20"/>
              </w:rPr>
              <w:t>Consumer surplus for recreational activities: 0.98 million €/km²/year</w:t>
            </w:r>
            <w:r>
              <w:rPr>
                <w:rFonts w:ascii="Cambria" w:hAnsi="Cambria"/>
                <w:sz w:val="20"/>
                <w:szCs w:val="20"/>
              </w:rPr>
              <w:t xml:space="preserve"> (</w:t>
            </w:r>
            <w:proofErr w:type="spellStart"/>
            <w:r>
              <w:rPr>
                <w:rFonts w:ascii="Cambria" w:hAnsi="Cambria"/>
                <w:sz w:val="20"/>
                <w:szCs w:val="20"/>
              </w:rPr>
              <w:t>Failler</w:t>
            </w:r>
            <w:proofErr w:type="spellEnd"/>
            <w:r>
              <w:rPr>
                <w:rFonts w:ascii="Cambria" w:hAnsi="Cambria"/>
                <w:sz w:val="20"/>
                <w:szCs w:val="20"/>
              </w:rPr>
              <w:t xml:space="preserve"> et al. 2015); </w:t>
            </w:r>
            <w:r w:rsidRPr="0047613F">
              <w:rPr>
                <w:rFonts w:ascii="Cambria" w:hAnsi="Cambria"/>
                <w:sz w:val="20"/>
                <w:szCs w:val="20"/>
              </w:rPr>
              <w:t>Tourism (including education and research): US$2352.15/ha/</w:t>
            </w:r>
            <w:proofErr w:type="spellStart"/>
            <w:r w:rsidRPr="0047613F">
              <w:rPr>
                <w:rFonts w:ascii="Cambria" w:hAnsi="Cambria"/>
                <w:sz w:val="20"/>
                <w:szCs w:val="20"/>
              </w:rPr>
              <w:t>yr</w:t>
            </w:r>
            <w:proofErr w:type="spellEnd"/>
            <w:r>
              <w:rPr>
                <w:rFonts w:ascii="Cambria" w:hAnsi="Cambria"/>
                <w:sz w:val="20"/>
                <w:szCs w:val="20"/>
              </w:rPr>
              <w:t xml:space="preserve"> (Souza and Silva 2011); </w:t>
            </w:r>
            <w:r w:rsidRPr="00760071">
              <w:rPr>
                <w:rFonts w:ascii="Cambria" w:hAnsi="Cambria"/>
                <w:sz w:val="20"/>
                <w:szCs w:val="20"/>
              </w:rPr>
              <w:t>Recreation and aesthetics: US$500/ha/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 </w:t>
            </w:r>
            <w:r w:rsidRPr="00586C1D">
              <w:rPr>
                <w:rFonts w:ascii="Cambria" w:hAnsi="Cambria"/>
                <w:sz w:val="20"/>
                <w:szCs w:val="20"/>
              </w:rPr>
              <w:t>Recreation: US$658/ha/</w:t>
            </w:r>
            <w:proofErr w:type="spellStart"/>
            <w:r w:rsidRPr="00586C1D">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Gunawardena</w:t>
            </w:r>
            <w:proofErr w:type="spellEnd"/>
            <w:r>
              <w:rPr>
                <w:rFonts w:ascii="Cambria" w:hAnsi="Cambria"/>
                <w:sz w:val="20"/>
                <w:szCs w:val="20"/>
              </w:rPr>
              <w:t xml:space="preserve"> 2009); </w:t>
            </w:r>
            <w:r w:rsidRPr="00586C1D">
              <w:rPr>
                <w:rFonts w:ascii="Cambria" w:hAnsi="Cambria"/>
                <w:sz w:val="20"/>
                <w:szCs w:val="20"/>
              </w:rPr>
              <w:t xml:space="preserve">Tourism: </w:t>
            </w:r>
            <w:proofErr w:type="spellStart"/>
            <w:r w:rsidRPr="00586C1D">
              <w:rPr>
                <w:rFonts w:ascii="Cambria" w:hAnsi="Cambria"/>
                <w:sz w:val="20"/>
                <w:szCs w:val="20"/>
              </w:rPr>
              <w:t>Rs</w:t>
            </w:r>
            <w:proofErr w:type="spellEnd"/>
            <w:r w:rsidRPr="00586C1D">
              <w:rPr>
                <w:rFonts w:ascii="Cambria" w:hAnsi="Cambria"/>
                <w:sz w:val="20"/>
                <w:szCs w:val="20"/>
              </w:rPr>
              <w:t xml:space="preserve"> 25,000 in consumer surplus/person/year</w:t>
            </w:r>
            <w:r>
              <w:rPr>
                <w:rFonts w:ascii="Cambria" w:hAnsi="Cambria"/>
                <w:sz w:val="20"/>
                <w:szCs w:val="20"/>
              </w:rPr>
              <w:t xml:space="preserve"> (</w:t>
            </w:r>
            <w:proofErr w:type="spellStart"/>
            <w:r>
              <w:rPr>
                <w:rFonts w:ascii="Cambria" w:hAnsi="Cambria"/>
                <w:sz w:val="20"/>
                <w:szCs w:val="20"/>
              </w:rPr>
              <w:t>Amarnath</w:t>
            </w:r>
            <w:proofErr w:type="spellEnd"/>
            <w:r>
              <w:rPr>
                <w:rFonts w:ascii="Cambria" w:hAnsi="Cambria"/>
                <w:sz w:val="20"/>
                <w:szCs w:val="20"/>
              </w:rPr>
              <w:t xml:space="preserve"> and </w:t>
            </w:r>
            <w:proofErr w:type="spellStart"/>
            <w:r>
              <w:rPr>
                <w:rFonts w:ascii="Cambria" w:hAnsi="Cambria"/>
                <w:sz w:val="20"/>
                <w:szCs w:val="20"/>
              </w:rPr>
              <w:t>Mouna</w:t>
            </w:r>
            <w:proofErr w:type="spellEnd"/>
            <w:r>
              <w:rPr>
                <w:rFonts w:ascii="Cambria" w:hAnsi="Cambria"/>
                <w:sz w:val="20"/>
                <w:szCs w:val="20"/>
              </w:rPr>
              <w:t xml:space="preserve"> 2016)</w:t>
            </w:r>
          </w:p>
        </w:tc>
        <w:tc>
          <w:tcPr>
            <w:tcW w:w="1260" w:type="dxa"/>
            <w:tcBorders>
              <w:top w:val="single" w:sz="4" w:space="0" w:color="auto"/>
              <w:left w:val="nil"/>
              <w:bottom w:val="single" w:sz="4" w:space="0" w:color="auto"/>
              <w:right w:val="single" w:sz="2" w:space="0" w:color="auto"/>
            </w:tcBorders>
            <w:shd w:val="clear" w:color="000000" w:fill="E2EFDA"/>
          </w:tcPr>
          <w:p w14:paraId="44C86FB6" w14:textId="3FC11BED"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43A5120F" w14:textId="7057A6E4"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45DDA99" w14:textId="6DF6392A"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06C2888" w14:textId="5088A953" w:rsidR="004F737C" w:rsidRPr="00D83700" w:rsidRDefault="004F737C" w:rsidP="00736B28">
            <w:pPr>
              <w:jc w:val="center"/>
              <w:rPr>
                <w:rFonts w:ascii="Cambria" w:hAnsi="Cambria"/>
                <w:sz w:val="20"/>
                <w:szCs w:val="20"/>
                <w:lang w:val="fr-FR"/>
              </w:rPr>
            </w:pPr>
            <w:proofErr w:type="spellStart"/>
            <w:r w:rsidRPr="00D83700">
              <w:rPr>
                <w:rFonts w:ascii="Cambria" w:hAnsi="Cambria"/>
                <w:sz w:val="20"/>
                <w:szCs w:val="20"/>
                <w:lang w:val="fr-FR"/>
              </w:rPr>
              <w:t>Tourism</w:t>
            </w:r>
            <w:proofErr w:type="spellEnd"/>
            <w:r w:rsidRPr="00D83700">
              <w:rPr>
                <w:rFonts w:ascii="Cambria" w:hAnsi="Cambria"/>
                <w:sz w:val="20"/>
                <w:szCs w:val="20"/>
                <w:lang w:val="fr-FR"/>
              </w:rPr>
              <w:t>: US$42,000/</w:t>
            </w:r>
            <w:proofErr w:type="spellStart"/>
            <w:r w:rsidRPr="00D83700">
              <w:rPr>
                <w:rFonts w:ascii="Cambria" w:hAnsi="Cambria"/>
                <w:sz w:val="20"/>
                <w:szCs w:val="20"/>
                <w:lang w:val="fr-FR"/>
              </w:rPr>
              <w:t>yr</w:t>
            </w:r>
            <w:proofErr w:type="spellEnd"/>
            <w:r w:rsidRPr="00D83700">
              <w:rPr>
                <w:rFonts w:ascii="Cambria" w:hAnsi="Cambria"/>
                <w:sz w:val="20"/>
                <w:szCs w:val="20"/>
                <w:lang w:val="fr-FR"/>
              </w:rPr>
              <w:t xml:space="preserve"> (2001-2010 </w:t>
            </w:r>
            <w:proofErr w:type="spellStart"/>
            <w:r w:rsidRPr="00D83700">
              <w:rPr>
                <w:rFonts w:ascii="Cambria" w:hAnsi="Cambria"/>
                <w:sz w:val="20"/>
                <w:szCs w:val="20"/>
                <w:lang w:val="fr-FR"/>
              </w:rPr>
              <w:t>average</w:t>
            </w:r>
            <w:proofErr w:type="spellEnd"/>
            <w:r w:rsidRPr="00D83700">
              <w:rPr>
                <w:rFonts w:ascii="Cambria" w:hAnsi="Cambria"/>
                <w:sz w:val="20"/>
                <w:szCs w:val="20"/>
                <w:lang w:val="fr-FR"/>
              </w:rPr>
              <w:t xml:space="preserve">, </w:t>
            </w:r>
            <w:proofErr w:type="spellStart"/>
            <w:r w:rsidRPr="00D83700">
              <w:rPr>
                <w:rFonts w:ascii="Cambria" w:hAnsi="Cambria"/>
                <w:sz w:val="20"/>
                <w:szCs w:val="20"/>
                <w:lang w:val="fr-FR"/>
              </w:rPr>
              <w:t>Uddin</w:t>
            </w:r>
            <w:proofErr w:type="spellEnd"/>
            <w:r w:rsidRPr="00D83700">
              <w:rPr>
                <w:rFonts w:ascii="Cambria" w:hAnsi="Cambria"/>
                <w:sz w:val="20"/>
                <w:szCs w:val="20"/>
                <w:lang w:val="fr-FR"/>
              </w:rPr>
              <w:t xml:space="preserve"> et al. 2013)</w:t>
            </w:r>
          </w:p>
        </w:tc>
        <w:tc>
          <w:tcPr>
            <w:tcW w:w="1170" w:type="dxa"/>
            <w:tcBorders>
              <w:top w:val="nil"/>
              <w:left w:val="single" w:sz="2" w:space="0" w:color="auto"/>
              <w:bottom w:val="single" w:sz="4" w:space="0" w:color="auto"/>
              <w:right w:val="single" w:sz="2" w:space="0" w:color="auto"/>
            </w:tcBorders>
            <w:shd w:val="clear" w:color="000000" w:fill="E2EFDA"/>
          </w:tcPr>
          <w:p w14:paraId="6F893415" w14:textId="42DDA0DE" w:rsidR="004F737C" w:rsidRPr="00D83700" w:rsidRDefault="004F737C" w:rsidP="00736B28">
            <w:pPr>
              <w:jc w:val="center"/>
              <w:rPr>
                <w:rFonts w:ascii="Cambria" w:hAnsi="Cambria"/>
                <w:sz w:val="20"/>
                <w:szCs w:val="20"/>
                <w:lang w:val="fr-FR"/>
              </w:rPr>
            </w:pPr>
          </w:p>
        </w:tc>
        <w:tc>
          <w:tcPr>
            <w:tcW w:w="1170" w:type="dxa"/>
            <w:tcBorders>
              <w:top w:val="nil"/>
              <w:left w:val="single" w:sz="2" w:space="0" w:color="auto"/>
              <w:bottom w:val="single" w:sz="4" w:space="0" w:color="auto"/>
              <w:right w:val="single" w:sz="4" w:space="0" w:color="auto"/>
            </w:tcBorders>
            <w:shd w:val="clear" w:color="000000" w:fill="E2EFDA"/>
          </w:tcPr>
          <w:p w14:paraId="7DA00BED" w14:textId="42E83634" w:rsidR="004F737C" w:rsidRPr="001C5A91" w:rsidRDefault="004F737C" w:rsidP="00736B28">
            <w:pPr>
              <w:jc w:val="center"/>
              <w:rPr>
                <w:rFonts w:ascii="Cambria" w:hAnsi="Cambria"/>
                <w:sz w:val="20"/>
                <w:szCs w:val="20"/>
              </w:rPr>
            </w:pPr>
            <w:r w:rsidRPr="001C5A91">
              <w:rPr>
                <w:rFonts w:ascii="Cambria" w:hAnsi="Cambria"/>
                <w:sz w:val="20"/>
                <w:szCs w:val="20"/>
              </w:rPr>
              <w:t>Ecotourism and recreation: US$453.2/ha/</w:t>
            </w:r>
            <w:proofErr w:type="spellStart"/>
            <w:r w:rsidRPr="001C5A9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Janekarnkij</w:t>
            </w:r>
            <w:proofErr w:type="spellEnd"/>
            <w:r>
              <w:rPr>
                <w:rFonts w:ascii="Cambria" w:hAnsi="Cambria"/>
                <w:sz w:val="20"/>
                <w:szCs w:val="20"/>
              </w:rPr>
              <w:t xml:space="preserve"> 2010); </w:t>
            </w:r>
            <w:r w:rsidRPr="00EA2AAC">
              <w:rPr>
                <w:rFonts w:ascii="Cambria" w:hAnsi="Cambria"/>
                <w:sz w:val="20"/>
                <w:szCs w:val="20"/>
              </w:rPr>
              <w:t>Recreation</w:t>
            </w:r>
            <w:r>
              <w:rPr>
                <w:rFonts w:ascii="Cambria" w:hAnsi="Cambria"/>
                <w:sz w:val="20"/>
                <w:szCs w:val="20"/>
              </w:rPr>
              <w:t>:</w:t>
            </w:r>
            <w:r w:rsidRPr="00EA2AAC">
              <w:rPr>
                <w:rFonts w:ascii="Cambria" w:hAnsi="Cambria"/>
                <w:sz w:val="20"/>
                <w:szCs w:val="20"/>
              </w:rPr>
              <w:t xml:space="preserve"> $358.34 per ha</w:t>
            </w:r>
            <w:r>
              <w:rPr>
                <w:rFonts w:ascii="Cambria" w:hAnsi="Cambria"/>
                <w:sz w:val="20"/>
                <w:szCs w:val="20"/>
              </w:rPr>
              <w:t xml:space="preserve"> (Clark et al. 2012)</w:t>
            </w:r>
          </w:p>
        </w:tc>
        <w:tc>
          <w:tcPr>
            <w:tcW w:w="1170" w:type="dxa"/>
            <w:tcBorders>
              <w:top w:val="nil"/>
              <w:left w:val="single" w:sz="2" w:space="0" w:color="auto"/>
              <w:bottom w:val="single" w:sz="4" w:space="0" w:color="auto"/>
              <w:right w:val="single" w:sz="4" w:space="0" w:color="auto"/>
            </w:tcBorders>
            <w:shd w:val="clear" w:color="000000" w:fill="E2EFDA"/>
          </w:tcPr>
          <w:p w14:paraId="7FF67E80" w14:textId="334FEACB" w:rsidR="004F737C" w:rsidRPr="001C5A91" w:rsidRDefault="004F737C" w:rsidP="00736B28">
            <w:pPr>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5F126AF5" w14:textId="07B40FD2" w:rsidR="004F737C" w:rsidRPr="001C5A91" w:rsidRDefault="004F737C" w:rsidP="00736B28">
            <w:pPr>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609E2127" w14:textId="51CD3655" w:rsidR="004F737C" w:rsidRPr="001C5A91" w:rsidRDefault="00FD4A42" w:rsidP="00736B28">
            <w:pPr>
              <w:spacing w:after="0" w:line="240" w:lineRule="auto"/>
              <w:jc w:val="center"/>
              <w:rPr>
                <w:rFonts w:ascii="Cambria" w:eastAsia="Times New Roman" w:hAnsi="Cambria" w:cs="Times New Roman"/>
                <w:color w:val="000000"/>
                <w:sz w:val="20"/>
                <w:szCs w:val="20"/>
              </w:rPr>
            </w:pPr>
            <w:r w:rsidRPr="00FD4A42">
              <w:rPr>
                <w:rFonts w:ascii="Cambria" w:eastAsia="Times New Roman" w:hAnsi="Cambria" w:cs="Times New Roman"/>
                <w:color w:val="000000"/>
                <w:sz w:val="20"/>
                <w:szCs w:val="20"/>
              </w:rPr>
              <w:t>Recreation value: US$97 ha/</w:t>
            </w:r>
            <w:proofErr w:type="spellStart"/>
            <w:r w:rsidRPr="00FD4A42">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Dehghani</w:t>
            </w:r>
            <w:proofErr w:type="spellEnd"/>
            <w:r>
              <w:rPr>
                <w:rFonts w:ascii="Cambria" w:eastAsia="Times New Roman" w:hAnsi="Cambria" w:cs="Times New Roman"/>
                <w:color w:val="000000"/>
                <w:sz w:val="20"/>
                <w:szCs w:val="20"/>
              </w:rPr>
              <w:t xml:space="preserve"> et al. </w:t>
            </w:r>
            <w:r w:rsidR="00060278">
              <w:rPr>
                <w:rFonts w:ascii="Cambria" w:eastAsia="Times New Roman" w:hAnsi="Cambria" w:cs="Times New Roman"/>
                <w:color w:val="000000"/>
                <w:sz w:val="20"/>
                <w:szCs w:val="20"/>
              </w:rPr>
              <w:t xml:space="preserve">2010); </w:t>
            </w:r>
            <w:r w:rsidR="00060278" w:rsidRPr="00060278">
              <w:rPr>
                <w:rFonts w:ascii="Cambria" w:eastAsia="Times New Roman" w:hAnsi="Cambria" w:cs="Times New Roman"/>
                <w:color w:val="000000"/>
                <w:sz w:val="20"/>
                <w:szCs w:val="20"/>
              </w:rPr>
              <w:t>Ecotourism: US$9.30/ha/</w:t>
            </w:r>
            <w:proofErr w:type="spellStart"/>
            <w:r w:rsidR="00060278" w:rsidRPr="00060278">
              <w:rPr>
                <w:rFonts w:ascii="Cambria" w:eastAsia="Times New Roman" w:hAnsi="Cambria" w:cs="Times New Roman"/>
                <w:color w:val="000000"/>
                <w:sz w:val="20"/>
                <w:szCs w:val="20"/>
              </w:rPr>
              <w:t>yr</w:t>
            </w:r>
            <w:proofErr w:type="spellEnd"/>
            <w:r w:rsidR="00060278">
              <w:rPr>
                <w:rFonts w:ascii="Cambria" w:eastAsia="Times New Roman" w:hAnsi="Cambria" w:cs="Times New Roman"/>
                <w:color w:val="000000"/>
                <w:sz w:val="20"/>
                <w:szCs w:val="20"/>
              </w:rPr>
              <w:t xml:space="preserve"> (</w:t>
            </w:r>
            <w:proofErr w:type="spellStart"/>
            <w:r w:rsidR="00060278">
              <w:rPr>
                <w:rFonts w:ascii="Cambria" w:eastAsia="Times New Roman" w:hAnsi="Cambria" w:cs="Times New Roman"/>
                <w:color w:val="000000"/>
                <w:sz w:val="20"/>
                <w:szCs w:val="20"/>
              </w:rPr>
              <w:t>Kairo</w:t>
            </w:r>
            <w:proofErr w:type="spellEnd"/>
            <w:r w:rsidR="00060278">
              <w:rPr>
                <w:rFonts w:ascii="Cambria" w:eastAsia="Times New Roman" w:hAnsi="Cambria" w:cs="Times New Roman"/>
                <w:color w:val="000000"/>
                <w:sz w:val="20"/>
                <w:szCs w:val="20"/>
              </w:rPr>
              <w:t xml:space="preserve"> et al. 2009); </w:t>
            </w:r>
            <w:r w:rsidR="00060278" w:rsidRPr="00060278">
              <w:rPr>
                <w:rFonts w:ascii="Cambria" w:eastAsia="Times New Roman" w:hAnsi="Cambria" w:cs="Times New Roman"/>
                <w:color w:val="000000"/>
                <w:sz w:val="20"/>
                <w:szCs w:val="20"/>
              </w:rPr>
              <w:t>Recreation: US$155/ha/</w:t>
            </w:r>
            <w:proofErr w:type="spellStart"/>
            <w:r w:rsidR="00060278" w:rsidRPr="00060278">
              <w:rPr>
                <w:rFonts w:ascii="Cambria" w:eastAsia="Times New Roman" w:hAnsi="Cambria" w:cs="Times New Roman"/>
                <w:color w:val="000000"/>
                <w:sz w:val="20"/>
                <w:szCs w:val="20"/>
              </w:rPr>
              <w:t>yr</w:t>
            </w:r>
            <w:proofErr w:type="spellEnd"/>
            <w:r w:rsidR="00060278">
              <w:rPr>
                <w:rFonts w:ascii="Cambria" w:eastAsia="Times New Roman" w:hAnsi="Cambria" w:cs="Times New Roman"/>
                <w:color w:val="000000"/>
                <w:sz w:val="20"/>
                <w:szCs w:val="20"/>
              </w:rPr>
              <w:t xml:space="preserve"> (Mendoza-González et al. 2012)</w:t>
            </w:r>
          </w:p>
        </w:tc>
      </w:tr>
      <w:tr w:rsidR="004F737C" w:rsidRPr="00761424" w14:paraId="49D11C95" w14:textId="77777777" w:rsidTr="00D80463">
        <w:trPr>
          <w:trHeight w:val="827"/>
        </w:trPr>
        <w:tc>
          <w:tcPr>
            <w:tcW w:w="1260" w:type="dxa"/>
            <w:tcBorders>
              <w:top w:val="nil"/>
              <w:left w:val="single" w:sz="4" w:space="0" w:color="auto"/>
              <w:bottom w:val="single" w:sz="4" w:space="0" w:color="auto"/>
              <w:right w:val="single" w:sz="4" w:space="0" w:color="auto"/>
            </w:tcBorders>
            <w:shd w:val="clear" w:color="000000" w:fill="E2EFDA"/>
          </w:tcPr>
          <w:p w14:paraId="16B6B5A5" w14:textId="69910D3B"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lastRenderedPageBreak/>
              <w:t>Inspiration for culture, art and design</w:t>
            </w:r>
          </w:p>
        </w:tc>
        <w:tc>
          <w:tcPr>
            <w:tcW w:w="2430" w:type="dxa"/>
            <w:tcBorders>
              <w:top w:val="nil"/>
              <w:left w:val="nil"/>
              <w:bottom w:val="single" w:sz="4" w:space="0" w:color="auto"/>
              <w:right w:val="single" w:sz="4" w:space="0" w:color="auto"/>
            </w:tcBorders>
            <w:shd w:val="clear" w:color="000000" w:fill="E2EFDA"/>
          </w:tcPr>
          <w:p w14:paraId="7A632905" w14:textId="48BAB08E" w:rsidR="004F737C" w:rsidRPr="00761424" w:rsidRDefault="004F737C" w:rsidP="00736B28">
            <w:pPr>
              <w:spacing w:after="0" w:line="240" w:lineRule="auto"/>
              <w:jc w:val="center"/>
              <w:rPr>
                <w:rFonts w:ascii="Cambria" w:hAnsi="Cambria"/>
                <w:sz w:val="20"/>
                <w:szCs w:val="20"/>
              </w:rPr>
            </w:pPr>
            <w:r w:rsidRPr="000E2ED3">
              <w:rPr>
                <w:rFonts w:ascii="Cambria" w:hAnsi="Cambria"/>
                <w:sz w:val="20"/>
                <w:szCs w:val="20"/>
              </w:rPr>
              <w:t>Spiritual, medical and recreational benefits</w:t>
            </w:r>
            <w:r w:rsidR="00736B28">
              <w:rPr>
                <w:rFonts w:ascii="Cambria" w:hAnsi="Cambria"/>
                <w:sz w:val="20"/>
                <w:szCs w:val="20"/>
              </w:rPr>
              <w:t>:</w:t>
            </w:r>
            <w:r w:rsidRPr="000E2ED3">
              <w:rPr>
                <w:rFonts w:ascii="Cambria" w:hAnsi="Cambria"/>
                <w:sz w:val="20"/>
                <w:szCs w:val="20"/>
              </w:rPr>
              <w:t xml:space="preserve"> US$20/ha/</w:t>
            </w:r>
            <w:proofErr w:type="spellStart"/>
            <w:r w:rsidRPr="000E2ED3">
              <w:rPr>
                <w:rFonts w:ascii="Cambria" w:hAnsi="Cambria"/>
                <w:sz w:val="20"/>
                <w:szCs w:val="20"/>
              </w:rPr>
              <w:t>yr</w:t>
            </w:r>
            <w:proofErr w:type="spellEnd"/>
            <w:r>
              <w:rPr>
                <w:rFonts w:ascii="Cambria" w:hAnsi="Cambria"/>
                <w:sz w:val="20"/>
                <w:szCs w:val="20"/>
              </w:rPr>
              <w:t xml:space="preserve"> </w:t>
            </w:r>
            <w:r w:rsidRPr="00CB67CB">
              <w:rPr>
                <w:rFonts w:ascii="Cambria" w:hAnsi="Cambria"/>
                <w:sz w:val="20"/>
                <w:szCs w:val="20"/>
              </w:rPr>
              <w:t>(</w:t>
            </w:r>
            <w:proofErr w:type="spellStart"/>
            <w:r w:rsidRPr="00CB67CB">
              <w:rPr>
                <w:rFonts w:ascii="Cambria" w:hAnsi="Cambria"/>
                <w:sz w:val="20"/>
                <w:szCs w:val="20"/>
              </w:rPr>
              <w:t>Ayanlade</w:t>
            </w:r>
            <w:proofErr w:type="spellEnd"/>
            <w:r w:rsidRPr="00CB67CB">
              <w:rPr>
                <w:rFonts w:ascii="Cambria" w:hAnsi="Cambria"/>
                <w:sz w:val="20"/>
                <w:szCs w:val="20"/>
              </w:rPr>
              <w:t xml:space="preserve"> et al. 2015)</w:t>
            </w:r>
          </w:p>
        </w:tc>
        <w:tc>
          <w:tcPr>
            <w:tcW w:w="1260" w:type="dxa"/>
            <w:tcBorders>
              <w:top w:val="single" w:sz="4" w:space="0" w:color="auto"/>
              <w:left w:val="nil"/>
              <w:bottom w:val="single" w:sz="4" w:space="0" w:color="auto"/>
              <w:right w:val="single" w:sz="2" w:space="0" w:color="auto"/>
            </w:tcBorders>
            <w:shd w:val="clear" w:color="000000" w:fill="E2EFDA"/>
          </w:tcPr>
          <w:p w14:paraId="7250F69B" w14:textId="1928C6FC"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1FFBF0AD" w14:textId="0856A94A"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9137F9D" w14:textId="5504449E"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3B9020AE" w14:textId="05585AC6"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58E65E0A" w14:textId="3F080118"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18B27CDA" w14:textId="41EC64F6"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126C7B29" w14:textId="21121DF3" w:rsidR="004F737C" w:rsidRPr="00761424" w:rsidRDefault="004F737C" w:rsidP="00736B28">
            <w:pPr>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492999DB" w14:textId="00E285B9" w:rsidR="004F737C" w:rsidRPr="00761424" w:rsidRDefault="004F737C" w:rsidP="00736B28">
            <w:pPr>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5C0035E8" w14:textId="080DF30C" w:rsidR="004F737C" w:rsidRPr="00761424" w:rsidRDefault="004F737C" w:rsidP="00736B28">
            <w:pPr>
              <w:jc w:val="center"/>
              <w:rPr>
                <w:rFonts w:ascii="Cambria" w:hAnsi="Cambria"/>
                <w:sz w:val="20"/>
                <w:szCs w:val="20"/>
              </w:rPr>
            </w:pPr>
          </w:p>
        </w:tc>
      </w:tr>
      <w:tr w:rsidR="004F737C" w:rsidRPr="00761424" w14:paraId="7B81EBD3" w14:textId="77777777" w:rsidTr="00D80463">
        <w:trPr>
          <w:trHeight w:val="710"/>
        </w:trPr>
        <w:tc>
          <w:tcPr>
            <w:tcW w:w="1260" w:type="dxa"/>
            <w:tcBorders>
              <w:top w:val="nil"/>
              <w:left w:val="single" w:sz="4" w:space="0" w:color="auto"/>
              <w:bottom w:val="single" w:sz="4" w:space="0" w:color="auto"/>
              <w:right w:val="single" w:sz="4" w:space="0" w:color="auto"/>
            </w:tcBorders>
            <w:shd w:val="clear" w:color="000000" w:fill="E2EFDA"/>
          </w:tcPr>
          <w:p w14:paraId="76425E89" w14:textId="7D93F187"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Information for cognitive development</w:t>
            </w:r>
          </w:p>
        </w:tc>
        <w:tc>
          <w:tcPr>
            <w:tcW w:w="2430" w:type="dxa"/>
            <w:tcBorders>
              <w:top w:val="nil"/>
              <w:left w:val="nil"/>
              <w:bottom w:val="single" w:sz="4" w:space="0" w:color="auto"/>
              <w:right w:val="single" w:sz="4" w:space="0" w:color="auto"/>
            </w:tcBorders>
            <w:shd w:val="clear" w:color="000000" w:fill="E2EFDA"/>
          </w:tcPr>
          <w:p w14:paraId="6B31A8E0" w14:textId="3EC23984" w:rsidR="004F737C" w:rsidRPr="00761424" w:rsidRDefault="004F737C" w:rsidP="00736B28">
            <w:pPr>
              <w:jc w:val="center"/>
              <w:rPr>
                <w:rFonts w:ascii="Cambria" w:hAnsi="Cambria"/>
                <w:sz w:val="20"/>
                <w:szCs w:val="20"/>
              </w:rPr>
            </w:pPr>
            <w:r w:rsidRPr="000E2ED3">
              <w:rPr>
                <w:rFonts w:ascii="Cambria" w:hAnsi="Cambria"/>
                <w:sz w:val="20"/>
                <w:szCs w:val="20"/>
              </w:rPr>
              <w:t>Scientific research: US$50/ha/</w:t>
            </w:r>
            <w:proofErr w:type="spellStart"/>
            <w:r w:rsidRPr="000E2ED3">
              <w:rPr>
                <w:rFonts w:ascii="Cambria" w:hAnsi="Cambria"/>
                <w:sz w:val="20"/>
                <w:szCs w:val="20"/>
              </w:rPr>
              <w:t>yr</w:t>
            </w:r>
            <w:proofErr w:type="spellEnd"/>
            <w:r>
              <w:rPr>
                <w:rFonts w:ascii="Cambria" w:hAnsi="Cambria"/>
                <w:sz w:val="20"/>
                <w:szCs w:val="20"/>
              </w:rPr>
              <w:t xml:space="preserve"> (</w:t>
            </w:r>
            <w:proofErr w:type="spellStart"/>
            <w:r w:rsidRPr="000E2ED3">
              <w:rPr>
                <w:rFonts w:ascii="Cambria" w:hAnsi="Cambria"/>
                <w:sz w:val="20"/>
                <w:szCs w:val="20"/>
              </w:rPr>
              <w:t>Ullah</w:t>
            </w:r>
            <w:proofErr w:type="spellEnd"/>
            <w:r w:rsidRPr="000E2ED3">
              <w:rPr>
                <w:rFonts w:ascii="Cambria" w:hAnsi="Cambria"/>
                <w:sz w:val="20"/>
                <w:szCs w:val="20"/>
              </w:rPr>
              <w:t xml:space="preserve"> et al. 2010)</w:t>
            </w:r>
            <w:r>
              <w:rPr>
                <w:rFonts w:ascii="Cambria" w:hAnsi="Cambria"/>
                <w:sz w:val="20"/>
                <w:szCs w:val="20"/>
              </w:rPr>
              <w:t xml:space="preserve">; </w:t>
            </w:r>
            <w:r w:rsidRPr="0051605B">
              <w:rPr>
                <w:rFonts w:ascii="Cambria" w:hAnsi="Cambria"/>
                <w:sz w:val="20"/>
                <w:szCs w:val="20"/>
              </w:rPr>
              <w:t>Research and education: 0.01 M €/km²/year</w:t>
            </w:r>
            <w:r>
              <w:rPr>
                <w:rFonts w:ascii="Cambria" w:hAnsi="Cambria"/>
                <w:sz w:val="20"/>
                <w:szCs w:val="20"/>
              </w:rPr>
              <w:t xml:space="preserve"> (</w:t>
            </w:r>
            <w:proofErr w:type="spellStart"/>
            <w:r>
              <w:rPr>
                <w:rFonts w:ascii="Cambria" w:hAnsi="Cambria"/>
                <w:sz w:val="20"/>
                <w:szCs w:val="20"/>
              </w:rPr>
              <w:t>Failler</w:t>
            </w:r>
            <w:proofErr w:type="spellEnd"/>
            <w:r>
              <w:rPr>
                <w:rFonts w:ascii="Cambria" w:hAnsi="Cambria"/>
                <w:sz w:val="20"/>
                <w:szCs w:val="20"/>
              </w:rPr>
              <w:t xml:space="preserve"> et al. 2015); </w:t>
            </w:r>
            <w:r w:rsidRPr="00760071">
              <w:rPr>
                <w:rFonts w:ascii="Cambria" w:hAnsi="Cambria"/>
                <w:sz w:val="20"/>
                <w:szCs w:val="20"/>
              </w:rPr>
              <w:t>Scientific research: US$100/ha/</w:t>
            </w:r>
            <w:proofErr w:type="spellStart"/>
            <w:r w:rsidRPr="00760071">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Khaleel</w:t>
            </w:r>
            <w:proofErr w:type="spellEnd"/>
            <w:r>
              <w:rPr>
                <w:rFonts w:ascii="Cambria" w:hAnsi="Cambria"/>
                <w:sz w:val="20"/>
                <w:szCs w:val="20"/>
              </w:rPr>
              <w:t xml:space="preserve"> et al. 2009; 2012)</w:t>
            </w:r>
          </w:p>
        </w:tc>
        <w:tc>
          <w:tcPr>
            <w:tcW w:w="1260" w:type="dxa"/>
            <w:tcBorders>
              <w:top w:val="single" w:sz="4" w:space="0" w:color="auto"/>
              <w:left w:val="nil"/>
              <w:bottom w:val="single" w:sz="4" w:space="0" w:color="auto"/>
              <w:right w:val="single" w:sz="2" w:space="0" w:color="auto"/>
            </w:tcBorders>
            <w:shd w:val="clear" w:color="000000" w:fill="E2EFDA"/>
          </w:tcPr>
          <w:p w14:paraId="55767FD2" w14:textId="31ECF220"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7728344A" w14:textId="1AD02A3A"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65CC4AF0" w14:textId="2F92FCAD"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4E9943A3" w14:textId="303B094B"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E2EFDA"/>
          </w:tcPr>
          <w:p w14:paraId="477BAE4C" w14:textId="481DDE45"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6EDA85A7" w14:textId="6F0F0E1E"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E2EFDA"/>
          </w:tcPr>
          <w:p w14:paraId="50465506" w14:textId="7BC69348" w:rsidR="004F737C" w:rsidRPr="00761424" w:rsidRDefault="004F737C" w:rsidP="00736B28">
            <w:pPr>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E2EFDA"/>
          </w:tcPr>
          <w:p w14:paraId="6B2883FF" w14:textId="2E229763" w:rsidR="004F737C" w:rsidRPr="00761424" w:rsidRDefault="004F737C" w:rsidP="00736B28">
            <w:pPr>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E2EFDA"/>
          </w:tcPr>
          <w:p w14:paraId="0C5CB9C3" w14:textId="52C0AAC4" w:rsidR="004F737C" w:rsidRPr="00761424" w:rsidRDefault="00FD4A42" w:rsidP="00736B28">
            <w:pPr>
              <w:jc w:val="center"/>
              <w:rPr>
                <w:rFonts w:ascii="Cambria" w:hAnsi="Cambria"/>
                <w:sz w:val="20"/>
                <w:szCs w:val="20"/>
              </w:rPr>
            </w:pPr>
            <w:r w:rsidRPr="00FD4A42">
              <w:rPr>
                <w:rFonts w:ascii="Cambria" w:hAnsi="Cambria"/>
                <w:sz w:val="20"/>
                <w:szCs w:val="20"/>
              </w:rPr>
              <w:t xml:space="preserve">Education and research: 7.5 million </w:t>
            </w:r>
            <w:proofErr w:type="spellStart"/>
            <w:r w:rsidRPr="00FD4A42">
              <w:rPr>
                <w:rFonts w:ascii="Cambria" w:hAnsi="Cambria"/>
                <w:sz w:val="20"/>
                <w:szCs w:val="20"/>
              </w:rPr>
              <w:t>PhP</w:t>
            </w:r>
            <w:proofErr w:type="spellEnd"/>
            <w:r w:rsidRPr="00FD4A42">
              <w:rPr>
                <w:rFonts w:ascii="Cambria" w:hAnsi="Cambria"/>
                <w:sz w:val="20"/>
                <w:szCs w:val="20"/>
              </w:rPr>
              <w:t>/</w:t>
            </w:r>
            <w:proofErr w:type="spellStart"/>
            <w:r w:rsidRPr="00FD4A42">
              <w:rPr>
                <w:rFonts w:ascii="Cambria" w:hAnsi="Cambria"/>
                <w:sz w:val="20"/>
                <w:szCs w:val="20"/>
              </w:rPr>
              <w:t>yr</w:t>
            </w:r>
            <w:proofErr w:type="spellEnd"/>
            <w:r>
              <w:rPr>
                <w:rFonts w:ascii="Cambria" w:hAnsi="Cambria"/>
                <w:sz w:val="20"/>
                <w:szCs w:val="20"/>
              </w:rPr>
              <w:t xml:space="preserve"> (Padilla 2008)</w:t>
            </w:r>
            <w:r w:rsidR="00060278">
              <w:rPr>
                <w:rFonts w:ascii="Cambria" w:hAnsi="Cambria"/>
                <w:sz w:val="20"/>
                <w:szCs w:val="20"/>
              </w:rPr>
              <w:t xml:space="preserve">; </w:t>
            </w:r>
            <w:r w:rsidR="00060278" w:rsidRPr="00060278">
              <w:rPr>
                <w:rFonts w:ascii="Cambria" w:hAnsi="Cambria"/>
                <w:sz w:val="20"/>
                <w:szCs w:val="20"/>
              </w:rPr>
              <w:t>US$770.23/ha/</w:t>
            </w:r>
            <w:proofErr w:type="spellStart"/>
            <w:r w:rsidR="00060278" w:rsidRPr="00060278">
              <w:rPr>
                <w:rFonts w:ascii="Cambria" w:hAnsi="Cambria"/>
                <w:sz w:val="20"/>
                <w:szCs w:val="20"/>
              </w:rPr>
              <w:t>yr</w:t>
            </w:r>
            <w:proofErr w:type="spellEnd"/>
            <w:r w:rsidR="00060278">
              <w:rPr>
                <w:rFonts w:ascii="Cambria" w:hAnsi="Cambria"/>
                <w:sz w:val="20"/>
                <w:szCs w:val="20"/>
              </w:rPr>
              <w:t xml:space="preserve"> (</w:t>
            </w:r>
            <w:proofErr w:type="spellStart"/>
            <w:r w:rsidR="00060278">
              <w:rPr>
                <w:rFonts w:ascii="Cambria" w:hAnsi="Cambria"/>
                <w:sz w:val="20"/>
                <w:szCs w:val="20"/>
              </w:rPr>
              <w:t>Kairo</w:t>
            </w:r>
            <w:proofErr w:type="spellEnd"/>
            <w:r w:rsidR="00060278">
              <w:rPr>
                <w:rFonts w:ascii="Cambria" w:hAnsi="Cambria"/>
                <w:sz w:val="20"/>
                <w:szCs w:val="20"/>
              </w:rPr>
              <w:t xml:space="preserve"> et al. 2009)</w:t>
            </w:r>
          </w:p>
        </w:tc>
      </w:tr>
      <w:tr w:rsidR="004F737C" w:rsidRPr="00761424" w14:paraId="52C7F2BA" w14:textId="77777777" w:rsidTr="00D80463">
        <w:trPr>
          <w:trHeight w:val="449"/>
        </w:trPr>
        <w:tc>
          <w:tcPr>
            <w:tcW w:w="1260" w:type="dxa"/>
            <w:tcBorders>
              <w:top w:val="nil"/>
              <w:left w:val="single" w:sz="4" w:space="0" w:color="auto"/>
              <w:bottom w:val="single" w:sz="4" w:space="0" w:color="auto"/>
              <w:right w:val="single" w:sz="4" w:space="0" w:color="auto"/>
            </w:tcBorders>
            <w:shd w:val="clear" w:color="000000" w:fill="A9D08E"/>
          </w:tcPr>
          <w:p w14:paraId="424101AD" w14:textId="51664292" w:rsidR="004F737C" w:rsidRPr="00761424" w:rsidRDefault="004F737C"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Existence/</w:t>
            </w:r>
            <w:r>
              <w:rPr>
                <w:rFonts w:ascii="Cambria" w:eastAsia="Times New Roman" w:hAnsi="Cambria" w:cs="Times New Roman"/>
                <w:b/>
                <w:bCs/>
                <w:color w:val="000000"/>
                <w:sz w:val="20"/>
                <w:szCs w:val="20"/>
              </w:rPr>
              <w:t xml:space="preserve"> </w:t>
            </w:r>
            <w:r w:rsidRPr="00761424">
              <w:rPr>
                <w:rFonts w:ascii="Cambria" w:eastAsia="Times New Roman" w:hAnsi="Cambria" w:cs="Times New Roman"/>
                <w:b/>
                <w:bCs/>
                <w:color w:val="000000"/>
                <w:sz w:val="20"/>
                <w:szCs w:val="20"/>
              </w:rPr>
              <w:t>option/</w:t>
            </w:r>
            <w:r>
              <w:rPr>
                <w:rFonts w:ascii="Cambria" w:eastAsia="Times New Roman" w:hAnsi="Cambria" w:cs="Times New Roman"/>
                <w:b/>
                <w:bCs/>
                <w:color w:val="000000"/>
                <w:sz w:val="20"/>
                <w:szCs w:val="20"/>
              </w:rPr>
              <w:t xml:space="preserve"> </w:t>
            </w:r>
            <w:r w:rsidRPr="00761424">
              <w:rPr>
                <w:rFonts w:ascii="Cambria" w:eastAsia="Times New Roman" w:hAnsi="Cambria" w:cs="Times New Roman"/>
                <w:b/>
                <w:bCs/>
                <w:color w:val="000000"/>
                <w:sz w:val="20"/>
                <w:szCs w:val="20"/>
              </w:rPr>
              <w:t>bequest value</w:t>
            </w:r>
          </w:p>
        </w:tc>
        <w:tc>
          <w:tcPr>
            <w:tcW w:w="2430" w:type="dxa"/>
            <w:tcBorders>
              <w:top w:val="nil"/>
              <w:left w:val="nil"/>
              <w:bottom w:val="single" w:sz="4" w:space="0" w:color="auto"/>
              <w:right w:val="single" w:sz="4" w:space="0" w:color="auto"/>
            </w:tcBorders>
            <w:shd w:val="clear" w:color="000000" w:fill="A9D08E"/>
          </w:tcPr>
          <w:p w14:paraId="52EA25C9" w14:textId="34F1E08F" w:rsidR="004F737C" w:rsidRPr="00761424" w:rsidRDefault="004F737C" w:rsidP="00736B28">
            <w:pPr>
              <w:jc w:val="center"/>
              <w:rPr>
                <w:rFonts w:ascii="Cambria" w:hAnsi="Cambria"/>
                <w:sz w:val="20"/>
                <w:szCs w:val="20"/>
              </w:rPr>
            </w:pPr>
            <w:r w:rsidRPr="0051605B">
              <w:rPr>
                <w:rFonts w:ascii="Cambria" w:hAnsi="Cambria"/>
                <w:sz w:val="20"/>
                <w:szCs w:val="20"/>
              </w:rPr>
              <w:t xml:space="preserve">Existence value: </w:t>
            </w:r>
            <w:r>
              <w:rPr>
                <w:rFonts w:ascii="Cambria" w:hAnsi="Cambria"/>
                <w:sz w:val="20"/>
                <w:szCs w:val="20"/>
              </w:rPr>
              <w:t>US</w:t>
            </w:r>
            <w:r w:rsidRPr="0051605B">
              <w:rPr>
                <w:rFonts w:ascii="Cambria" w:hAnsi="Cambria"/>
                <w:sz w:val="20"/>
                <w:szCs w:val="20"/>
              </w:rPr>
              <w:t>$1.65/ha/</w:t>
            </w:r>
            <w:proofErr w:type="spellStart"/>
            <w:r w:rsidRPr="0051605B">
              <w:rPr>
                <w:rFonts w:ascii="Cambria" w:hAnsi="Cambria"/>
                <w:sz w:val="20"/>
                <w:szCs w:val="20"/>
              </w:rPr>
              <w:t>yr</w:t>
            </w:r>
            <w:proofErr w:type="spellEnd"/>
            <w:r>
              <w:rPr>
                <w:rFonts w:ascii="Cambria" w:hAnsi="Cambria"/>
                <w:sz w:val="20"/>
                <w:szCs w:val="20"/>
              </w:rPr>
              <w:t xml:space="preserve"> (Witt 2016); </w:t>
            </w:r>
            <w:r w:rsidRPr="0051605B">
              <w:rPr>
                <w:rFonts w:ascii="Cambria" w:hAnsi="Cambria"/>
                <w:sz w:val="20"/>
                <w:szCs w:val="20"/>
              </w:rPr>
              <w:t>Bequest and existence value: 0.15 M €/km²/year</w:t>
            </w:r>
            <w:r>
              <w:rPr>
                <w:rFonts w:ascii="Cambria" w:hAnsi="Cambria"/>
                <w:sz w:val="20"/>
                <w:szCs w:val="20"/>
              </w:rPr>
              <w:t xml:space="preserve"> (</w:t>
            </w:r>
            <w:proofErr w:type="spellStart"/>
            <w:r>
              <w:rPr>
                <w:rFonts w:ascii="Cambria" w:hAnsi="Cambria"/>
                <w:sz w:val="20"/>
                <w:szCs w:val="20"/>
              </w:rPr>
              <w:t>Failler</w:t>
            </w:r>
            <w:proofErr w:type="spellEnd"/>
            <w:r>
              <w:rPr>
                <w:rFonts w:ascii="Cambria" w:hAnsi="Cambria"/>
                <w:sz w:val="20"/>
                <w:szCs w:val="20"/>
              </w:rPr>
              <w:t xml:space="preserve"> et al. 2015); </w:t>
            </w:r>
            <w:r w:rsidRPr="0047613F">
              <w:rPr>
                <w:rFonts w:ascii="Cambria" w:hAnsi="Cambria"/>
                <w:sz w:val="20"/>
                <w:szCs w:val="20"/>
              </w:rPr>
              <w:t>Option value for future medicinal use: US$157/ha/</w:t>
            </w:r>
            <w:proofErr w:type="spellStart"/>
            <w:r w:rsidRPr="0047613F">
              <w:rPr>
                <w:rFonts w:ascii="Cambria" w:hAnsi="Cambria"/>
                <w:sz w:val="20"/>
                <w:szCs w:val="20"/>
              </w:rPr>
              <w:t>yr</w:t>
            </w:r>
            <w:proofErr w:type="spellEnd"/>
            <w:r>
              <w:rPr>
                <w:rFonts w:ascii="Cambria" w:hAnsi="Cambria"/>
                <w:sz w:val="20"/>
                <w:szCs w:val="20"/>
              </w:rPr>
              <w:t xml:space="preserve"> (Malik et al. 2015)</w:t>
            </w:r>
          </w:p>
        </w:tc>
        <w:tc>
          <w:tcPr>
            <w:tcW w:w="1260" w:type="dxa"/>
            <w:tcBorders>
              <w:top w:val="single" w:sz="4" w:space="0" w:color="auto"/>
              <w:left w:val="nil"/>
              <w:bottom w:val="single" w:sz="4" w:space="0" w:color="auto"/>
              <w:right w:val="single" w:sz="2" w:space="0" w:color="auto"/>
            </w:tcBorders>
            <w:shd w:val="clear" w:color="000000" w:fill="A9D08E"/>
          </w:tcPr>
          <w:p w14:paraId="6F4F0B9A" w14:textId="69805274"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A9D08E"/>
          </w:tcPr>
          <w:p w14:paraId="6BFB8285" w14:textId="15BF3350"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A9D08E"/>
          </w:tcPr>
          <w:p w14:paraId="19D8F93F" w14:textId="35380D27"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A9D08E"/>
          </w:tcPr>
          <w:p w14:paraId="210EB4F0" w14:textId="3B1AD62C" w:rsidR="004F737C"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2" w:space="0" w:color="auto"/>
            </w:tcBorders>
            <w:shd w:val="clear" w:color="000000" w:fill="A9D08E"/>
          </w:tcPr>
          <w:p w14:paraId="51E91CF0" w14:textId="7AADDE02" w:rsidR="004F737C" w:rsidRPr="00761424" w:rsidRDefault="004F737C" w:rsidP="00736B28">
            <w:pPr>
              <w:jc w:val="center"/>
              <w:rPr>
                <w:rFonts w:ascii="Cambria" w:hAnsi="Cambria"/>
                <w:sz w:val="20"/>
                <w:szCs w:val="20"/>
              </w:rPr>
            </w:pPr>
          </w:p>
        </w:tc>
        <w:tc>
          <w:tcPr>
            <w:tcW w:w="1170" w:type="dxa"/>
            <w:tcBorders>
              <w:top w:val="nil"/>
              <w:left w:val="single" w:sz="2" w:space="0" w:color="auto"/>
              <w:bottom w:val="single" w:sz="4" w:space="0" w:color="auto"/>
              <w:right w:val="single" w:sz="4" w:space="0" w:color="auto"/>
            </w:tcBorders>
            <w:shd w:val="clear" w:color="000000" w:fill="A9D08E"/>
          </w:tcPr>
          <w:p w14:paraId="7707FB60" w14:textId="4890C967" w:rsidR="004F737C" w:rsidRPr="00761424" w:rsidRDefault="004F737C" w:rsidP="00736B28">
            <w:pPr>
              <w:jc w:val="center"/>
              <w:rPr>
                <w:rFonts w:ascii="Cambria" w:hAnsi="Cambria"/>
                <w:sz w:val="20"/>
                <w:szCs w:val="20"/>
              </w:rPr>
            </w:pPr>
            <w:r w:rsidRPr="00EA2AAC">
              <w:rPr>
                <w:rFonts w:ascii="Cambria" w:hAnsi="Cambria"/>
                <w:sz w:val="20"/>
                <w:szCs w:val="20"/>
              </w:rPr>
              <w:t>Non-use value: US$2.40/ha/</w:t>
            </w:r>
            <w:proofErr w:type="spellStart"/>
            <w:r w:rsidRPr="00EA2AAC">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Janekarnkij</w:t>
            </w:r>
            <w:proofErr w:type="spellEnd"/>
            <w:r>
              <w:rPr>
                <w:rFonts w:ascii="Cambria" w:hAnsi="Cambria"/>
                <w:sz w:val="20"/>
                <w:szCs w:val="20"/>
              </w:rPr>
              <w:t xml:space="preserve"> 2010)</w:t>
            </w:r>
          </w:p>
        </w:tc>
        <w:tc>
          <w:tcPr>
            <w:tcW w:w="1170" w:type="dxa"/>
            <w:tcBorders>
              <w:top w:val="nil"/>
              <w:left w:val="single" w:sz="2" w:space="0" w:color="auto"/>
              <w:bottom w:val="single" w:sz="4" w:space="0" w:color="auto"/>
              <w:right w:val="single" w:sz="4" w:space="0" w:color="auto"/>
            </w:tcBorders>
            <w:shd w:val="clear" w:color="000000" w:fill="A9D08E"/>
          </w:tcPr>
          <w:p w14:paraId="08438A10" w14:textId="16893ED1" w:rsidR="004F737C" w:rsidRPr="00761424" w:rsidRDefault="004F737C" w:rsidP="00736B28">
            <w:pPr>
              <w:jc w:val="center"/>
              <w:rPr>
                <w:rFonts w:ascii="Cambria" w:hAnsi="Cambria"/>
                <w:sz w:val="20"/>
                <w:szCs w:val="20"/>
              </w:rPr>
            </w:pPr>
          </w:p>
        </w:tc>
        <w:tc>
          <w:tcPr>
            <w:tcW w:w="1080" w:type="dxa"/>
            <w:tcBorders>
              <w:top w:val="nil"/>
              <w:left w:val="single" w:sz="2" w:space="0" w:color="auto"/>
              <w:bottom w:val="single" w:sz="4" w:space="0" w:color="auto"/>
              <w:right w:val="single" w:sz="4" w:space="0" w:color="auto"/>
            </w:tcBorders>
            <w:shd w:val="clear" w:color="000000" w:fill="A9D08E"/>
          </w:tcPr>
          <w:p w14:paraId="7BB864FC" w14:textId="788AB95F" w:rsidR="004F737C" w:rsidRPr="00761424" w:rsidRDefault="004F737C" w:rsidP="00736B28">
            <w:pPr>
              <w:jc w:val="center"/>
              <w:rPr>
                <w:rFonts w:ascii="Cambria" w:hAnsi="Cambria"/>
                <w:sz w:val="20"/>
                <w:szCs w:val="20"/>
              </w:rPr>
            </w:pPr>
          </w:p>
        </w:tc>
        <w:tc>
          <w:tcPr>
            <w:tcW w:w="1260" w:type="dxa"/>
            <w:tcBorders>
              <w:top w:val="nil"/>
              <w:left w:val="nil"/>
              <w:bottom w:val="single" w:sz="4" w:space="0" w:color="auto"/>
              <w:right w:val="single" w:sz="4" w:space="0" w:color="auto"/>
            </w:tcBorders>
            <w:shd w:val="clear" w:color="000000" w:fill="A9D08E"/>
          </w:tcPr>
          <w:p w14:paraId="6C0716FF" w14:textId="6CFBE145" w:rsidR="004F737C" w:rsidRPr="00761424" w:rsidRDefault="00FD4A42" w:rsidP="00736B28">
            <w:pPr>
              <w:jc w:val="center"/>
              <w:rPr>
                <w:rFonts w:ascii="Cambria" w:hAnsi="Cambria"/>
                <w:sz w:val="20"/>
                <w:szCs w:val="20"/>
              </w:rPr>
            </w:pPr>
            <w:r w:rsidRPr="00FD4A42">
              <w:rPr>
                <w:rFonts w:ascii="Cambria" w:hAnsi="Cambria"/>
                <w:sz w:val="20"/>
                <w:szCs w:val="20"/>
              </w:rPr>
              <w:t>Bequest value: US$106.92/household/year</w:t>
            </w:r>
            <w:r>
              <w:rPr>
                <w:rFonts w:ascii="Cambria" w:hAnsi="Cambria"/>
                <w:sz w:val="20"/>
                <w:szCs w:val="20"/>
              </w:rPr>
              <w:t xml:space="preserve"> (</w:t>
            </w:r>
            <w:proofErr w:type="spellStart"/>
            <w:r>
              <w:rPr>
                <w:rFonts w:ascii="Cambria" w:hAnsi="Cambria"/>
                <w:sz w:val="20"/>
                <w:szCs w:val="20"/>
              </w:rPr>
              <w:t>O’Garra</w:t>
            </w:r>
            <w:proofErr w:type="spellEnd"/>
            <w:r>
              <w:rPr>
                <w:rFonts w:ascii="Cambria" w:hAnsi="Cambria"/>
                <w:sz w:val="20"/>
                <w:szCs w:val="20"/>
              </w:rPr>
              <w:t xml:space="preserve"> 2012)</w:t>
            </w:r>
          </w:p>
        </w:tc>
      </w:tr>
    </w:tbl>
    <w:p w14:paraId="1C24B030" w14:textId="77777777" w:rsidR="00CA3614" w:rsidRDefault="00CA3614" w:rsidP="00CA3614">
      <w:pPr>
        <w:ind w:left="360"/>
        <w:rPr>
          <w:rFonts w:ascii="Cambria" w:hAnsi="Cambria"/>
          <w:sz w:val="24"/>
          <w:szCs w:val="16"/>
        </w:rPr>
      </w:pPr>
    </w:p>
    <w:tbl>
      <w:tblPr>
        <w:tblW w:w="14220" w:type="dxa"/>
        <w:tblInd w:w="355" w:type="dxa"/>
        <w:tblLayout w:type="fixed"/>
        <w:tblLook w:val="04A0" w:firstRow="1" w:lastRow="0" w:firstColumn="1" w:lastColumn="0" w:noHBand="0" w:noVBand="1"/>
      </w:tblPr>
      <w:tblGrid>
        <w:gridCol w:w="1440"/>
        <w:gridCol w:w="1710"/>
        <w:gridCol w:w="1350"/>
        <w:gridCol w:w="1350"/>
        <w:gridCol w:w="1440"/>
        <w:gridCol w:w="1440"/>
        <w:gridCol w:w="1350"/>
        <w:gridCol w:w="1440"/>
        <w:gridCol w:w="1350"/>
        <w:gridCol w:w="1350"/>
      </w:tblGrid>
      <w:tr w:rsidR="00A01A99" w:rsidRPr="00761424" w14:paraId="64A55079" w14:textId="5F8F13F0" w:rsidTr="004368D7">
        <w:trPr>
          <w:trHeight w:val="701"/>
          <w:tblHead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DD8588F"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Year values were calculated for</w:t>
            </w:r>
          </w:p>
        </w:tc>
        <w:tc>
          <w:tcPr>
            <w:tcW w:w="1710" w:type="dxa"/>
            <w:tcBorders>
              <w:top w:val="single" w:sz="4" w:space="0" w:color="auto"/>
              <w:left w:val="nil"/>
              <w:bottom w:val="single" w:sz="4" w:space="0" w:color="auto"/>
              <w:right w:val="single" w:sz="4" w:space="0" w:color="auto"/>
            </w:tcBorders>
            <w:shd w:val="clear" w:color="auto" w:fill="auto"/>
            <w:hideMark/>
          </w:tcPr>
          <w:p w14:paraId="3212DBD7" w14:textId="77777777" w:rsidR="00A01A99" w:rsidRPr="00761424" w:rsidRDefault="00A01A99" w:rsidP="00736B28">
            <w:pPr>
              <w:spacing w:after="0" w:line="240" w:lineRule="auto"/>
              <w:jc w:val="center"/>
              <w:rPr>
                <w:rFonts w:ascii="Cambria" w:eastAsia="Times New Roman" w:hAnsi="Cambria" w:cs="Times New Roman"/>
                <w:b/>
                <w:color w:val="000000"/>
                <w:sz w:val="20"/>
                <w:szCs w:val="20"/>
              </w:rPr>
            </w:pPr>
            <w:r w:rsidRPr="00761424">
              <w:rPr>
                <w:rFonts w:ascii="Cambria" w:eastAsia="Times New Roman" w:hAnsi="Cambria" w:cs="Times New Roman"/>
                <w:b/>
                <w:color w:val="000000"/>
                <w:sz w:val="20"/>
                <w:szCs w:val="20"/>
              </w:rPr>
              <w:t>2007</w:t>
            </w:r>
          </w:p>
        </w:tc>
        <w:tc>
          <w:tcPr>
            <w:tcW w:w="1350" w:type="dxa"/>
            <w:tcBorders>
              <w:top w:val="single" w:sz="4" w:space="0" w:color="auto"/>
              <w:left w:val="nil"/>
              <w:bottom w:val="single" w:sz="4" w:space="0" w:color="auto"/>
              <w:right w:val="single" w:sz="4" w:space="0" w:color="auto"/>
            </w:tcBorders>
            <w:shd w:val="clear" w:color="auto" w:fill="auto"/>
            <w:hideMark/>
          </w:tcPr>
          <w:p w14:paraId="18889B41" w14:textId="77777777" w:rsidR="00A01A99" w:rsidRPr="00761424" w:rsidRDefault="00A01A99" w:rsidP="00736B28">
            <w:pPr>
              <w:spacing w:after="0" w:line="240" w:lineRule="auto"/>
              <w:jc w:val="center"/>
              <w:rPr>
                <w:rFonts w:ascii="Cambria" w:eastAsia="Times New Roman" w:hAnsi="Cambria" w:cs="Times New Roman"/>
                <w:b/>
                <w:color w:val="000000"/>
                <w:sz w:val="20"/>
                <w:szCs w:val="20"/>
              </w:rPr>
            </w:pPr>
            <w:r w:rsidRPr="00761424">
              <w:rPr>
                <w:rFonts w:ascii="Cambria" w:eastAsia="Times New Roman" w:hAnsi="Cambria" w:cs="Times New Roman"/>
                <w:b/>
                <w:color w:val="000000"/>
                <w:sz w:val="20"/>
                <w:szCs w:val="20"/>
              </w:rPr>
              <w:t>2008</w:t>
            </w:r>
          </w:p>
        </w:tc>
        <w:tc>
          <w:tcPr>
            <w:tcW w:w="1350" w:type="dxa"/>
            <w:tcBorders>
              <w:top w:val="single" w:sz="4" w:space="0" w:color="auto"/>
              <w:left w:val="nil"/>
              <w:bottom w:val="single" w:sz="4" w:space="0" w:color="auto"/>
              <w:right w:val="single" w:sz="4" w:space="0" w:color="auto"/>
            </w:tcBorders>
            <w:shd w:val="clear" w:color="auto" w:fill="auto"/>
            <w:hideMark/>
          </w:tcPr>
          <w:p w14:paraId="4BB8D66B" w14:textId="77777777" w:rsidR="00A01A99" w:rsidRPr="00761424" w:rsidRDefault="00A01A99" w:rsidP="00736B28">
            <w:pPr>
              <w:spacing w:after="0" w:line="240" w:lineRule="auto"/>
              <w:jc w:val="center"/>
              <w:rPr>
                <w:rFonts w:ascii="Cambria" w:eastAsia="Times New Roman" w:hAnsi="Cambria" w:cs="Times New Roman"/>
                <w:b/>
                <w:color w:val="000000"/>
                <w:sz w:val="20"/>
                <w:szCs w:val="20"/>
              </w:rPr>
            </w:pPr>
            <w:r w:rsidRPr="00761424">
              <w:rPr>
                <w:rFonts w:ascii="Cambria" w:eastAsia="Times New Roman" w:hAnsi="Cambria" w:cs="Times New Roman"/>
                <w:b/>
                <w:color w:val="000000"/>
                <w:sz w:val="20"/>
                <w:szCs w:val="20"/>
              </w:rPr>
              <w:t>2009</w:t>
            </w:r>
          </w:p>
        </w:tc>
        <w:tc>
          <w:tcPr>
            <w:tcW w:w="1440" w:type="dxa"/>
            <w:tcBorders>
              <w:top w:val="single" w:sz="4" w:space="0" w:color="auto"/>
              <w:left w:val="nil"/>
              <w:bottom w:val="single" w:sz="4" w:space="0" w:color="auto"/>
              <w:right w:val="single" w:sz="4" w:space="0" w:color="auto"/>
            </w:tcBorders>
            <w:shd w:val="clear" w:color="auto" w:fill="auto"/>
            <w:hideMark/>
          </w:tcPr>
          <w:p w14:paraId="0D069D7E" w14:textId="77777777" w:rsidR="00A01A99" w:rsidRPr="00761424" w:rsidRDefault="00A01A99" w:rsidP="00736B28">
            <w:pPr>
              <w:spacing w:after="0" w:line="240" w:lineRule="auto"/>
              <w:jc w:val="center"/>
              <w:rPr>
                <w:rFonts w:ascii="Cambria" w:eastAsia="Times New Roman" w:hAnsi="Cambria" w:cs="Times New Roman"/>
                <w:b/>
                <w:color w:val="000000"/>
                <w:sz w:val="20"/>
                <w:szCs w:val="20"/>
              </w:rPr>
            </w:pPr>
            <w:r w:rsidRPr="00761424">
              <w:rPr>
                <w:rFonts w:ascii="Cambria" w:eastAsia="Times New Roman" w:hAnsi="Cambria" w:cs="Times New Roman"/>
                <w:b/>
                <w:color w:val="000000"/>
                <w:sz w:val="20"/>
                <w:szCs w:val="20"/>
              </w:rPr>
              <w:t>2010</w:t>
            </w:r>
          </w:p>
        </w:tc>
        <w:tc>
          <w:tcPr>
            <w:tcW w:w="1440" w:type="dxa"/>
            <w:tcBorders>
              <w:top w:val="single" w:sz="4" w:space="0" w:color="auto"/>
              <w:left w:val="nil"/>
              <w:bottom w:val="single" w:sz="4" w:space="0" w:color="auto"/>
              <w:right w:val="single" w:sz="4" w:space="0" w:color="auto"/>
            </w:tcBorders>
          </w:tcPr>
          <w:p w14:paraId="1B2DFA90" w14:textId="03041692"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2011</w:t>
            </w:r>
          </w:p>
        </w:tc>
        <w:tc>
          <w:tcPr>
            <w:tcW w:w="1350" w:type="dxa"/>
            <w:tcBorders>
              <w:top w:val="single" w:sz="4" w:space="0" w:color="auto"/>
              <w:left w:val="single" w:sz="4" w:space="0" w:color="auto"/>
              <w:bottom w:val="single" w:sz="4" w:space="0" w:color="auto"/>
              <w:right w:val="single" w:sz="4" w:space="0" w:color="auto"/>
            </w:tcBorders>
          </w:tcPr>
          <w:p w14:paraId="4DF2362F" w14:textId="33C0A59B"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2012</w:t>
            </w:r>
          </w:p>
        </w:tc>
        <w:tc>
          <w:tcPr>
            <w:tcW w:w="1440" w:type="dxa"/>
            <w:tcBorders>
              <w:top w:val="single" w:sz="4" w:space="0" w:color="auto"/>
              <w:left w:val="nil"/>
              <w:bottom w:val="single" w:sz="4" w:space="0" w:color="auto"/>
              <w:right w:val="single" w:sz="4" w:space="0" w:color="auto"/>
            </w:tcBorders>
          </w:tcPr>
          <w:p w14:paraId="60159B0A" w14:textId="41E6A469"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2013</w:t>
            </w:r>
          </w:p>
        </w:tc>
        <w:tc>
          <w:tcPr>
            <w:tcW w:w="1350" w:type="dxa"/>
            <w:tcBorders>
              <w:top w:val="single" w:sz="4" w:space="0" w:color="auto"/>
              <w:left w:val="nil"/>
              <w:bottom w:val="single" w:sz="4" w:space="0" w:color="auto"/>
              <w:right w:val="single" w:sz="4" w:space="0" w:color="auto"/>
            </w:tcBorders>
          </w:tcPr>
          <w:p w14:paraId="51D49D59" w14:textId="2A9E6FA6" w:rsidR="00A01A99" w:rsidRPr="00761424" w:rsidRDefault="00A01A99" w:rsidP="00736B28">
            <w:pPr>
              <w:spacing w:after="0" w:line="240" w:lineRule="auto"/>
              <w:jc w:val="center"/>
              <w:rPr>
                <w:rFonts w:ascii="Cambria" w:eastAsia="Times New Roman" w:hAnsi="Cambria" w:cs="Times New Roman"/>
                <w:b/>
                <w:color w:val="000000"/>
                <w:sz w:val="20"/>
                <w:szCs w:val="20"/>
              </w:rPr>
            </w:pPr>
            <w:r w:rsidRPr="00761424">
              <w:rPr>
                <w:rFonts w:ascii="Cambria" w:eastAsia="Times New Roman" w:hAnsi="Cambria" w:cs="Times New Roman"/>
                <w:b/>
                <w:color w:val="000000"/>
                <w:sz w:val="20"/>
                <w:szCs w:val="20"/>
              </w:rPr>
              <w:t>2014</w:t>
            </w:r>
          </w:p>
        </w:tc>
        <w:tc>
          <w:tcPr>
            <w:tcW w:w="1350" w:type="dxa"/>
            <w:tcBorders>
              <w:top w:val="single" w:sz="4" w:space="0" w:color="auto"/>
              <w:left w:val="nil"/>
              <w:bottom w:val="single" w:sz="4" w:space="0" w:color="auto"/>
              <w:right w:val="single" w:sz="4" w:space="0" w:color="auto"/>
            </w:tcBorders>
          </w:tcPr>
          <w:p w14:paraId="0EFCCBF6" w14:textId="6823D58A" w:rsidR="00A01A99" w:rsidRPr="00761424" w:rsidRDefault="00A01A99" w:rsidP="00736B28">
            <w:pPr>
              <w:spacing w:after="0" w:line="240" w:lineRule="auto"/>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2015</w:t>
            </w:r>
          </w:p>
        </w:tc>
      </w:tr>
      <w:tr w:rsidR="00A01A99" w:rsidRPr="008A2A0F" w14:paraId="123A8CAF" w14:textId="132953D1" w:rsidTr="004368D7">
        <w:trPr>
          <w:trHeight w:val="989"/>
        </w:trPr>
        <w:tc>
          <w:tcPr>
            <w:tcW w:w="1440" w:type="dxa"/>
            <w:tcBorders>
              <w:top w:val="nil"/>
              <w:left w:val="single" w:sz="4" w:space="0" w:color="auto"/>
              <w:bottom w:val="single" w:sz="4" w:space="0" w:color="auto"/>
              <w:right w:val="single" w:sz="4" w:space="0" w:color="auto"/>
            </w:tcBorders>
            <w:shd w:val="clear" w:color="000000" w:fill="E2EFDA"/>
            <w:hideMark/>
          </w:tcPr>
          <w:p w14:paraId="350D1670" w14:textId="77777777" w:rsidR="00A01A99" w:rsidRPr="00761424" w:rsidRDefault="00A01A99"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Total ES value</w:t>
            </w:r>
          </w:p>
        </w:tc>
        <w:tc>
          <w:tcPr>
            <w:tcW w:w="1710" w:type="dxa"/>
            <w:tcBorders>
              <w:top w:val="nil"/>
              <w:left w:val="nil"/>
              <w:bottom w:val="single" w:sz="4" w:space="0" w:color="auto"/>
              <w:right w:val="single" w:sz="4" w:space="0" w:color="auto"/>
            </w:tcBorders>
            <w:shd w:val="clear" w:color="000000" w:fill="E2EFDA"/>
          </w:tcPr>
          <w:p w14:paraId="32030DF3" w14:textId="1B681B14" w:rsidR="008D6B14" w:rsidRPr="008D6B14" w:rsidRDefault="00060278" w:rsidP="00736B28">
            <w:pPr>
              <w:spacing w:after="0" w:line="240" w:lineRule="auto"/>
              <w:jc w:val="center"/>
              <w:rPr>
                <w:rFonts w:ascii="Cambria" w:eastAsia="Times New Roman" w:hAnsi="Cambria" w:cs="Times New Roman"/>
                <w:color w:val="000000"/>
                <w:sz w:val="20"/>
                <w:szCs w:val="20"/>
              </w:rPr>
            </w:pPr>
            <w:r w:rsidRPr="008D6B14">
              <w:rPr>
                <w:rFonts w:ascii="Cambria" w:eastAsia="Times New Roman" w:hAnsi="Cambria" w:cs="Times New Roman"/>
                <w:color w:val="000000"/>
                <w:sz w:val="20"/>
                <w:szCs w:val="20"/>
              </w:rPr>
              <w:t>US$2,870</w:t>
            </w:r>
            <w:r w:rsidRPr="008D6B14">
              <w:t xml:space="preserve"> </w:t>
            </w:r>
            <w:r w:rsidRPr="008D6B14">
              <w:rPr>
                <w:rFonts w:ascii="Cambria" w:eastAsia="Times New Roman" w:hAnsi="Cambria" w:cs="Times New Roman"/>
                <w:color w:val="000000"/>
                <w:sz w:val="20"/>
                <w:szCs w:val="20"/>
              </w:rPr>
              <w:t>/ha/</w:t>
            </w:r>
            <w:proofErr w:type="spellStart"/>
            <w:r w:rsidRPr="008D6B14">
              <w:rPr>
                <w:rFonts w:ascii="Cambria" w:eastAsia="Times New Roman" w:hAnsi="Cambria" w:cs="Times New Roman"/>
                <w:color w:val="000000"/>
                <w:sz w:val="20"/>
                <w:szCs w:val="20"/>
              </w:rPr>
              <w:t>yr</w:t>
            </w:r>
            <w:proofErr w:type="spellEnd"/>
            <w:r w:rsidRPr="008D6B14">
              <w:rPr>
                <w:rFonts w:ascii="Cambria" w:eastAsia="Times New Roman" w:hAnsi="Cambria" w:cs="Times New Roman"/>
                <w:color w:val="000000"/>
                <w:sz w:val="20"/>
                <w:szCs w:val="20"/>
              </w:rPr>
              <w:t xml:space="preserve"> (</w:t>
            </w:r>
            <w:proofErr w:type="spellStart"/>
            <w:r w:rsidRPr="008D6B14">
              <w:rPr>
                <w:rFonts w:ascii="Cambria" w:eastAsia="Times New Roman" w:hAnsi="Cambria" w:cs="Times New Roman"/>
                <w:color w:val="000000"/>
                <w:sz w:val="20"/>
                <w:szCs w:val="20"/>
              </w:rPr>
              <w:t>Pernetta</w:t>
            </w:r>
            <w:proofErr w:type="spellEnd"/>
            <w:r w:rsidRPr="008D6B14">
              <w:rPr>
                <w:rFonts w:ascii="Cambria" w:eastAsia="Times New Roman" w:hAnsi="Cambria" w:cs="Times New Roman"/>
                <w:color w:val="000000"/>
                <w:sz w:val="20"/>
                <w:szCs w:val="20"/>
              </w:rPr>
              <w:t xml:space="preserve"> et al. 2013)</w:t>
            </w:r>
            <w:r w:rsidR="008D6B14" w:rsidRPr="008D6B14">
              <w:rPr>
                <w:rFonts w:ascii="Cambria" w:eastAsia="Times New Roman" w:hAnsi="Cambria" w:cs="Times New Roman"/>
                <w:color w:val="000000"/>
                <w:sz w:val="20"/>
                <w:szCs w:val="20"/>
              </w:rPr>
              <w:t> ; $US4,684.20/ha/</w:t>
            </w:r>
            <w:proofErr w:type="spellStart"/>
            <w:r w:rsidR="008D6B14" w:rsidRPr="008D6B14">
              <w:rPr>
                <w:rFonts w:ascii="Cambria" w:eastAsia="Times New Roman" w:hAnsi="Cambria" w:cs="Times New Roman"/>
                <w:color w:val="000000"/>
                <w:sz w:val="20"/>
                <w:szCs w:val="20"/>
              </w:rPr>
              <w:t>yr</w:t>
            </w:r>
            <w:proofErr w:type="spellEnd"/>
            <w:r w:rsidR="008D6B14" w:rsidRPr="008D6B14">
              <w:rPr>
                <w:rFonts w:ascii="Cambria" w:eastAsia="Times New Roman" w:hAnsi="Cambria" w:cs="Times New Roman"/>
                <w:color w:val="000000"/>
                <w:sz w:val="20"/>
                <w:szCs w:val="20"/>
              </w:rPr>
              <w:t xml:space="preserve"> lost value of mangroves (all services) across the region</w:t>
            </w:r>
            <w:r w:rsidR="008D6B14">
              <w:rPr>
                <w:rFonts w:ascii="Cambria" w:eastAsia="Times New Roman" w:hAnsi="Cambria" w:cs="Times New Roman"/>
                <w:color w:val="000000"/>
                <w:sz w:val="20"/>
                <w:szCs w:val="20"/>
              </w:rPr>
              <w:t xml:space="preserve"> (</w:t>
            </w:r>
            <w:proofErr w:type="spellStart"/>
            <w:r w:rsidR="008D6B14">
              <w:rPr>
                <w:rFonts w:ascii="Cambria" w:eastAsia="Times New Roman" w:hAnsi="Cambria" w:cs="Times New Roman"/>
                <w:color w:val="000000"/>
                <w:sz w:val="20"/>
                <w:szCs w:val="20"/>
              </w:rPr>
              <w:t>Eppink</w:t>
            </w:r>
            <w:proofErr w:type="spellEnd"/>
            <w:r w:rsidR="008D6B14">
              <w:rPr>
                <w:rFonts w:ascii="Cambria" w:eastAsia="Times New Roman" w:hAnsi="Cambria" w:cs="Times New Roman"/>
                <w:color w:val="000000"/>
                <w:sz w:val="20"/>
                <w:szCs w:val="20"/>
              </w:rPr>
              <w:t xml:space="preserve"> et al. 2014); </w:t>
            </w:r>
            <w:r w:rsidR="008D6B14" w:rsidRPr="008D6B14">
              <w:rPr>
                <w:rFonts w:ascii="Cambria" w:eastAsia="Times New Roman" w:hAnsi="Cambria" w:cs="Times New Roman"/>
                <w:color w:val="000000"/>
                <w:sz w:val="20"/>
                <w:szCs w:val="20"/>
              </w:rPr>
              <w:t>Total ecosystem service value</w:t>
            </w:r>
            <w:r w:rsidR="00736B28">
              <w:rPr>
                <w:rFonts w:ascii="Cambria" w:eastAsia="Times New Roman" w:hAnsi="Cambria" w:cs="Times New Roman"/>
                <w:color w:val="000000"/>
                <w:sz w:val="20"/>
                <w:szCs w:val="20"/>
              </w:rPr>
              <w:t>:</w:t>
            </w:r>
            <w:r w:rsidR="008D6B14" w:rsidRPr="008D6B14">
              <w:rPr>
                <w:rFonts w:ascii="Cambria" w:eastAsia="Times New Roman" w:hAnsi="Cambria" w:cs="Times New Roman"/>
                <w:color w:val="000000"/>
                <w:sz w:val="20"/>
                <w:szCs w:val="20"/>
              </w:rPr>
              <w:t xml:space="preserve"> </w:t>
            </w:r>
            <w:r w:rsidR="008D6B14" w:rsidRPr="008D6B14">
              <w:rPr>
                <w:rFonts w:ascii="Cambria" w:eastAsia="Times New Roman" w:hAnsi="Cambria" w:cs="Times New Roman"/>
                <w:color w:val="000000"/>
                <w:sz w:val="20"/>
                <w:szCs w:val="20"/>
              </w:rPr>
              <w:lastRenderedPageBreak/>
              <w:t>US$1258/ha/year</w:t>
            </w:r>
            <w:r w:rsidR="008D6B14">
              <w:rPr>
                <w:rFonts w:ascii="Cambria" w:eastAsia="Times New Roman" w:hAnsi="Cambria" w:cs="Times New Roman"/>
                <w:color w:val="000000"/>
                <w:sz w:val="20"/>
                <w:szCs w:val="20"/>
              </w:rPr>
              <w:t xml:space="preserve"> (Camacho Valdez et al. 201</w:t>
            </w:r>
            <w:r w:rsidR="00BF7233">
              <w:rPr>
                <w:rFonts w:ascii="Cambria" w:eastAsia="Times New Roman" w:hAnsi="Cambria" w:cs="Times New Roman"/>
                <w:color w:val="000000"/>
                <w:sz w:val="20"/>
                <w:szCs w:val="20"/>
              </w:rPr>
              <w:t>4</w:t>
            </w:r>
            <w:r w:rsidR="008D6B14">
              <w:rPr>
                <w:rFonts w:ascii="Cambria" w:eastAsia="Times New Roman" w:hAnsi="Cambria" w:cs="Times New Roman"/>
                <w:color w:val="000000"/>
                <w:sz w:val="20"/>
                <w:szCs w:val="20"/>
              </w:rPr>
              <w:t xml:space="preserve">); </w:t>
            </w:r>
            <w:r w:rsidR="008D6B14" w:rsidRPr="008D6B14">
              <w:rPr>
                <w:rFonts w:ascii="Cambria" w:eastAsia="Times New Roman" w:hAnsi="Cambria" w:cs="Times New Roman"/>
                <w:color w:val="000000"/>
                <w:sz w:val="20"/>
                <w:szCs w:val="20"/>
              </w:rPr>
              <w:t>All ecosystem services combined</w:t>
            </w:r>
          </w:p>
          <w:p w14:paraId="7F2DA2DD" w14:textId="09E9812A" w:rsidR="00A01A99" w:rsidRPr="008D6B14" w:rsidRDefault="008D6B14" w:rsidP="00736B28">
            <w:pPr>
              <w:spacing w:after="0" w:line="240" w:lineRule="auto"/>
              <w:jc w:val="center"/>
              <w:rPr>
                <w:rFonts w:ascii="Cambria" w:eastAsia="Times New Roman" w:hAnsi="Cambria" w:cs="Times New Roman"/>
                <w:color w:val="000000"/>
                <w:sz w:val="20"/>
                <w:szCs w:val="20"/>
              </w:rPr>
            </w:pPr>
            <w:r w:rsidRPr="008D6B14">
              <w:rPr>
                <w:rFonts w:ascii="Cambria" w:eastAsia="Times New Roman" w:hAnsi="Cambria" w:cs="Times New Roman"/>
                <w:color w:val="000000"/>
                <w:sz w:val="20"/>
                <w:szCs w:val="20"/>
              </w:rPr>
              <w:t>all of SE Asia</w:t>
            </w:r>
            <w:r w:rsidR="00736B28">
              <w:rPr>
                <w:rFonts w:ascii="Cambria" w:eastAsia="Times New Roman" w:hAnsi="Cambria" w:cs="Times New Roman"/>
                <w:color w:val="000000"/>
                <w:sz w:val="20"/>
                <w:szCs w:val="20"/>
              </w:rPr>
              <w:t>:</w:t>
            </w:r>
            <w:r w:rsidRPr="008D6B14">
              <w:rPr>
                <w:rFonts w:ascii="Cambria" w:eastAsia="Times New Roman" w:hAnsi="Cambria" w:cs="Times New Roman"/>
                <w:color w:val="000000"/>
                <w:sz w:val="20"/>
                <w:szCs w:val="20"/>
              </w:rPr>
              <w:t xml:space="preserve"> US$1,037.46/ha/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t>Brunei: US$4000.00ha/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t>Cambodia: US$500.00ha/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t>Indonesia: US$1043.48ha/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t>Malaysia: US$1268.18ha/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t>Myanmar: US$625.00ha/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t>Philippines: US$1833.33ha/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t>Thailand: US$1440.00ha/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t>Vietnam: US$533.33ha/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(Brander et al. 2012)</w:t>
            </w:r>
          </w:p>
        </w:tc>
        <w:tc>
          <w:tcPr>
            <w:tcW w:w="1350" w:type="dxa"/>
            <w:tcBorders>
              <w:top w:val="nil"/>
              <w:left w:val="nil"/>
              <w:bottom w:val="single" w:sz="4" w:space="0" w:color="auto"/>
              <w:right w:val="single" w:sz="4" w:space="0" w:color="auto"/>
            </w:tcBorders>
            <w:shd w:val="clear" w:color="000000" w:fill="E2EFDA"/>
          </w:tcPr>
          <w:p w14:paraId="14CE0441" w14:textId="77777777" w:rsidR="00A01A99" w:rsidRPr="008D6B14" w:rsidRDefault="00A01A99"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3E85F0C7" w14:textId="2EE2E2F9" w:rsidR="00A01A99" w:rsidRPr="008D6B14" w:rsidRDefault="008D6B14" w:rsidP="00736B28">
            <w:pPr>
              <w:spacing w:after="0" w:line="240" w:lineRule="auto"/>
              <w:jc w:val="center"/>
              <w:rPr>
                <w:rFonts w:ascii="Cambria" w:eastAsia="Times New Roman" w:hAnsi="Cambria" w:cs="Times New Roman"/>
                <w:color w:val="000000"/>
                <w:sz w:val="20"/>
                <w:szCs w:val="20"/>
              </w:rPr>
            </w:pPr>
            <w:r w:rsidRPr="008D6B14">
              <w:rPr>
                <w:rFonts w:ascii="Cambria" w:eastAsia="Times New Roman" w:hAnsi="Cambria" w:cs="Times New Roman"/>
                <w:color w:val="000000"/>
                <w:sz w:val="20"/>
                <w:szCs w:val="20"/>
              </w:rPr>
              <w:t>US$797/ha/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(Pandey 2015)</w:t>
            </w:r>
          </w:p>
        </w:tc>
        <w:tc>
          <w:tcPr>
            <w:tcW w:w="1440" w:type="dxa"/>
            <w:tcBorders>
              <w:top w:val="nil"/>
              <w:left w:val="nil"/>
              <w:bottom w:val="single" w:sz="4" w:space="0" w:color="auto"/>
              <w:right w:val="single" w:sz="4" w:space="0" w:color="auto"/>
            </w:tcBorders>
            <w:shd w:val="clear" w:color="000000" w:fill="E2EFDA"/>
          </w:tcPr>
          <w:p w14:paraId="3372E0DB" w14:textId="7CE6EE97" w:rsidR="00A01A99" w:rsidRPr="00743644" w:rsidRDefault="00743644" w:rsidP="00736B28">
            <w:pPr>
              <w:spacing w:after="0" w:line="240" w:lineRule="auto"/>
              <w:jc w:val="center"/>
              <w:rPr>
                <w:rFonts w:ascii="Cambria" w:eastAsia="Times New Roman" w:hAnsi="Cambria" w:cs="Times New Roman"/>
                <w:color w:val="000000"/>
                <w:sz w:val="20"/>
                <w:szCs w:val="20"/>
                <w:lang w:val="fr-FR"/>
              </w:rPr>
            </w:pPr>
            <w:r w:rsidRPr="00743644">
              <w:rPr>
                <w:rFonts w:ascii="Cambria" w:eastAsia="Times New Roman" w:hAnsi="Cambria" w:cs="Times New Roman"/>
                <w:color w:val="000000"/>
                <w:sz w:val="20"/>
                <w:szCs w:val="20"/>
                <w:lang w:val="fr-FR"/>
              </w:rPr>
              <w:t>US$3000/ha/</w:t>
            </w:r>
            <w:proofErr w:type="spellStart"/>
            <w:r w:rsidRPr="00743644">
              <w:rPr>
                <w:rFonts w:ascii="Cambria" w:eastAsia="Times New Roman" w:hAnsi="Cambria" w:cs="Times New Roman"/>
                <w:color w:val="000000"/>
                <w:sz w:val="20"/>
                <w:szCs w:val="20"/>
                <w:lang w:val="fr-FR"/>
              </w:rPr>
              <w:t>yr</w:t>
            </w:r>
            <w:proofErr w:type="spellEnd"/>
            <w:r w:rsidRPr="00743644">
              <w:rPr>
                <w:rFonts w:ascii="Cambria" w:eastAsia="Times New Roman" w:hAnsi="Cambria" w:cs="Times New Roman"/>
                <w:color w:val="000000"/>
                <w:sz w:val="20"/>
                <w:szCs w:val="20"/>
                <w:lang w:val="fr-FR"/>
              </w:rPr>
              <w:t xml:space="preserve"> (</w:t>
            </w:r>
            <w:proofErr w:type="spellStart"/>
            <w:r w:rsidR="00A057E7">
              <w:rPr>
                <w:rFonts w:ascii="Cambria" w:eastAsia="Times New Roman" w:hAnsi="Cambria" w:cs="Times New Roman"/>
                <w:color w:val="000000"/>
                <w:sz w:val="20"/>
                <w:szCs w:val="20"/>
                <w:lang w:val="fr-FR"/>
              </w:rPr>
              <w:t>Quoc</w:t>
            </w:r>
            <w:proofErr w:type="spellEnd"/>
            <w:r w:rsidR="00A057E7">
              <w:rPr>
                <w:rFonts w:ascii="Cambria" w:eastAsia="Times New Roman" w:hAnsi="Cambria" w:cs="Times New Roman"/>
                <w:color w:val="000000"/>
                <w:sz w:val="20"/>
                <w:szCs w:val="20"/>
                <w:lang w:val="fr-FR"/>
              </w:rPr>
              <w:t xml:space="preserve"> </w:t>
            </w:r>
            <w:r w:rsidRPr="00743644">
              <w:rPr>
                <w:rFonts w:ascii="Cambria" w:eastAsia="Times New Roman" w:hAnsi="Cambria" w:cs="Times New Roman"/>
                <w:color w:val="000000"/>
                <w:sz w:val="20"/>
                <w:szCs w:val="20"/>
                <w:lang w:val="fr-FR"/>
              </w:rPr>
              <w:t>Vo et al. 2015)</w:t>
            </w:r>
          </w:p>
        </w:tc>
        <w:tc>
          <w:tcPr>
            <w:tcW w:w="1440" w:type="dxa"/>
            <w:tcBorders>
              <w:top w:val="single" w:sz="4" w:space="0" w:color="auto"/>
              <w:left w:val="nil"/>
              <w:bottom w:val="single" w:sz="4" w:space="0" w:color="auto"/>
              <w:right w:val="single" w:sz="4" w:space="0" w:color="auto"/>
            </w:tcBorders>
            <w:shd w:val="clear" w:color="000000" w:fill="E2EFDA"/>
          </w:tcPr>
          <w:p w14:paraId="1B864965" w14:textId="77777777" w:rsidR="00A01A99" w:rsidRPr="00743644" w:rsidRDefault="00A01A99" w:rsidP="00736B28">
            <w:pPr>
              <w:spacing w:after="0" w:line="240" w:lineRule="auto"/>
              <w:jc w:val="center"/>
              <w:rPr>
                <w:rFonts w:ascii="Cambria" w:eastAsia="Times New Roman" w:hAnsi="Cambria" w:cs="Times New Roman"/>
                <w:color w:val="000000"/>
                <w:sz w:val="20"/>
                <w:szCs w:val="20"/>
                <w:lang w:val="fr-FR"/>
              </w:rPr>
            </w:pPr>
          </w:p>
        </w:tc>
        <w:tc>
          <w:tcPr>
            <w:tcW w:w="1350" w:type="dxa"/>
            <w:tcBorders>
              <w:top w:val="nil"/>
              <w:left w:val="single" w:sz="4" w:space="0" w:color="auto"/>
              <w:bottom w:val="single" w:sz="4" w:space="0" w:color="auto"/>
              <w:right w:val="single" w:sz="4" w:space="0" w:color="auto"/>
            </w:tcBorders>
            <w:shd w:val="clear" w:color="000000" w:fill="E2EFDA"/>
          </w:tcPr>
          <w:p w14:paraId="09BA7B77" w14:textId="0EFD9613" w:rsidR="00A01A99" w:rsidRPr="00743644" w:rsidRDefault="00535BED" w:rsidP="00736B28">
            <w:pPr>
              <w:spacing w:after="0" w:line="240" w:lineRule="auto"/>
              <w:jc w:val="center"/>
              <w:rPr>
                <w:rFonts w:ascii="Cambria" w:eastAsia="Times New Roman" w:hAnsi="Cambria" w:cs="Times New Roman"/>
                <w:color w:val="000000"/>
                <w:sz w:val="20"/>
                <w:szCs w:val="20"/>
                <w:lang w:val="fr-FR"/>
              </w:rPr>
            </w:pPr>
            <w:r w:rsidRPr="00535BED">
              <w:rPr>
                <w:rFonts w:ascii="Cambria" w:eastAsia="Times New Roman" w:hAnsi="Cambria" w:cs="Times New Roman"/>
                <w:color w:val="000000"/>
                <w:sz w:val="20"/>
                <w:szCs w:val="20"/>
                <w:lang w:val="fr-FR"/>
              </w:rPr>
              <w:t>$2,692/ha/</w:t>
            </w:r>
            <w:proofErr w:type="spellStart"/>
            <w:r w:rsidRPr="00535BED">
              <w:rPr>
                <w:rFonts w:ascii="Cambria" w:eastAsia="Times New Roman" w:hAnsi="Cambria" w:cs="Times New Roman"/>
                <w:color w:val="000000"/>
                <w:sz w:val="20"/>
                <w:szCs w:val="20"/>
                <w:lang w:val="fr-FR"/>
              </w:rPr>
              <w:t>yr</w:t>
            </w:r>
            <w:proofErr w:type="spellEnd"/>
            <w:r w:rsidRPr="00535BED">
              <w:rPr>
                <w:rFonts w:ascii="Cambria" w:eastAsia="Times New Roman" w:hAnsi="Cambria" w:cs="Times New Roman"/>
                <w:color w:val="000000"/>
                <w:sz w:val="20"/>
                <w:szCs w:val="20"/>
                <w:lang w:val="fr-FR"/>
              </w:rPr>
              <w:t xml:space="preserve"> (2012 international $)</w:t>
            </w:r>
            <w:r>
              <w:rPr>
                <w:rFonts w:ascii="Cambria" w:eastAsia="Times New Roman" w:hAnsi="Cambria" w:cs="Times New Roman"/>
                <w:color w:val="000000"/>
                <w:sz w:val="20"/>
                <w:szCs w:val="20"/>
                <w:lang w:val="fr-FR"/>
              </w:rPr>
              <w:t xml:space="preserve"> (</w:t>
            </w:r>
            <w:proofErr w:type="spellStart"/>
            <w:r>
              <w:rPr>
                <w:rFonts w:ascii="Cambria" w:eastAsia="Times New Roman" w:hAnsi="Cambria" w:cs="Times New Roman"/>
                <w:color w:val="000000"/>
                <w:sz w:val="20"/>
                <w:szCs w:val="20"/>
                <w:lang w:val="fr-FR"/>
              </w:rPr>
              <w:t>Clavelle</w:t>
            </w:r>
            <w:proofErr w:type="spellEnd"/>
            <w:r>
              <w:rPr>
                <w:rFonts w:ascii="Cambria" w:eastAsia="Times New Roman" w:hAnsi="Cambria" w:cs="Times New Roman"/>
                <w:color w:val="000000"/>
                <w:sz w:val="20"/>
                <w:szCs w:val="20"/>
                <w:lang w:val="fr-FR"/>
              </w:rPr>
              <w:t xml:space="preserve"> and </w:t>
            </w:r>
            <w:proofErr w:type="spellStart"/>
            <w:r>
              <w:rPr>
                <w:rFonts w:ascii="Cambria" w:eastAsia="Times New Roman" w:hAnsi="Cambria" w:cs="Times New Roman"/>
                <w:color w:val="000000"/>
                <w:sz w:val="20"/>
                <w:szCs w:val="20"/>
                <w:lang w:val="fr-FR"/>
              </w:rPr>
              <w:t>Jylkka</w:t>
            </w:r>
            <w:proofErr w:type="spellEnd"/>
            <w:r>
              <w:rPr>
                <w:rFonts w:ascii="Cambria" w:eastAsia="Times New Roman" w:hAnsi="Cambria" w:cs="Times New Roman"/>
                <w:color w:val="000000"/>
                <w:sz w:val="20"/>
                <w:szCs w:val="20"/>
                <w:lang w:val="fr-FR"/>
              </w:rPr>
              <w:t xml:space="preserve"> 2013)</w:t>
            </w:r>
          </w:p>
        </w:tc>
        <w:tc>
          <w:tcPr>
            <w:tcW w:w="1440" w:type="dxa"/>
            <w:tcBorders>
              <w:top w:val="nil"/>
              <w:left w:val="nil"/>
              <w:bottom w:val="single" w:sz="4" w:space="0" w:color="auto"/>
              <w:right w:val="single" w:sz="4" w:space="0" w:color="auto"/>
            </w:tcBorders>
            <w:shd w:val="clear" w:color="000000" w:fill="E2EFDA"/>
          </w:tcPr>
          <w:p w14:paraId="521F3A8D" w14:textId="3C233F63" w:rsidR="00A01A99" w:rsidRPr="008A2A0F" w:rsidRDefault="008A2A0F" w:rsidP="00736B28">
            <w:pPr>
              <w:spacing w:after="0" w:line="240" w:lineRule="auto"/>
              <w:jc w:val="center"/>
              <w:rPr>
                <w:rFonts w:ascii="Cambria" w:eastAsia="Times New Roman" w:hAnsi="Cambria" w:cs="Times New Roman"/>
                <w:color w:val="000000"/>
                <w:sz w:val="20"/>
                <w:szCs w:val="20"/>
              </w:rPr>
            </w:pPr>
            <w:r w:rsidRPr="008A2A0F">
              <w:rPr>
                <w:rFonts w:ascii="Cambria" w:eastAsia="Times New Roman" w:hAnsi="Cambria" w:cs="Times New Roman"/>
                <w:color w:val="000000"/>
                <w:sz w:val="20"/>
                <w:szCs w:val="20"/>
              </w:rPr>
              <w:t>US$17,426 /ac/year (Brown and Shi 2014)</w:t>
            </w:r>
          </w:p>
        </w:tc>
        <w:tc>
          <w:tcPr>
            <w:tcW w:w="1350" w:type="dxa"/>
            <w:tcBorders>
              <w:top w:val="nil"/>
              <w:left w:val="nil"/>
              <w:bottom w:val="single" w:sz="4" w:space="0" w:color="auto"/>
              <w:right w:val="single" w:sz="4" w:space="0" w:color="auto"/>
            </w:tcBorders>
            <w:shd w:val="clear" w:color="000000" w:fill="E2EFDA"/>
          </w:tcPr>
          <w:p w14:paraId="5928EDE0" w14:textId="37E9B30A" w:rsidR="00A01A99" w:rsidRPr="008A2A0F" w:rsidRDefault="00A01A99"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33813C4A" w14:textId="77777777" w:rsidR="00A01A99" w:rsidRPr="008A2A0F" w:rsidRDefault="00A01A99" w:rsidP="00736B28">
            <w:pPr>
              <w:spacing w:after="0" w:line="240" w:lineRule="auto"/>
              <w:jc w:val="center"/>
              <w:rPr>
                <w:rFonts w:ascii="Cambria" w:eastAsia="Times New Roman" w:hAnsi="Cambria" w:cs="Times New Roman"/>
                <w:color w:val="000000"/>
                <w:sz w:val="20"/>
                <w:szCs w:val="20"/>
              </w:rPr>
            </w:pPr>
          </w:p>
        </w:tc>
      </w:tr>
      <w:tr w:rsidR="00535BED" w:rsidRPr="00761424" w14:paraId="69EAEF4D" w14:textId="7FF2A1AB" w:rsidTr="004368D7">
        <w:trPr>
          <w:trHeight w:val="584"/>
        </w:trPr>
        <w:tc>
          <w:tcPr>
            <w:tcW w:w="1440" w:type="dxa"/>
            <w:tcBorders>
              <w:top w:val="nil"/>
              <w:left w:val="single" w:sz="4" w:space="0" w:color="auto"/>
              <w:bottom w:val="single" w:sz="4" w:space="0" w:color="auto"/>
              <w:right w:val="single" w:sz="4" w:space="0" w:color="auto"/>
            </w:tcBorders>
            <w:shd w:val="clear" w:color="000000" w:fill="A9D08E"/>
            <w:hideMark/>
          </w:tcPr>
          <w:p w14:paraId="6B33D509" w14:textId="00AF21DF"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Provisioning services</w:t>
            </w:r>
          </w:p>
        </w:tc>
        <w:tc>
          <w:tcPr>
            <w:tcW w:w="1710" w:type="dxa"/>
            <w:tcBorders>
              <w:top w:val="nil"/>
              <w:left w:val="nil"/>
              <w:bottom w:val="single" w:sz="4" w:space="0" w:color="auto"/>
              <w:right w:val="single" w:sz="4" w:space="0" w:color="auto"/>
            </w:tcBorders>
            <w:shd w:val="clear" w:color="000000" w:fill="A9D08E"/>
          </w:tcPr>
          <w:p w14:paraId="17956967"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9D08E"/>
          </w:tcPr>
          <w:p w14:paraId="59F950F5"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9D08E"/>
          </w:tcPr>
          <w:p w14:paraId="4CA3BE37"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A9D08E"/>
          </w:tcPr>
          <w:p w14:paraId="40C51D72"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A9D08E"/>
          </w:tcPr>
          <w:p w14:paraId="53F6A2D5"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A9D08E"/>
          </w:tcPr>
          <w:p w14:paraId="37D1A1D7" w14:textId="328F355C"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535BED">
              <w:rPr>
                <w:rFonts w:ascii="Cambria" w:eastAsia="Times New Roman" w:hAnsi="Cambria" w:cs="Times New Roman"/>
                <w:color w:val="000000"/>
                <w:sz w:val="20"/>
                <w:szCs w:val="20"/>
              </w:rPr>
              <w:t xml:space="preserve">Extractive value: </w:t>
            </w:r>
            <w:proofErr w:type="spellStart"/>
            <w:r w:rsidRPr="00535BED">
              <w:rPr>
                <w:rFonts w:ascii="Cambria" w:eastAsia="Times New Roman" w:hAnsi="Cambria" w:cs="Times New Roman"/>
                <w:color w:val="000000"/>
                <w:sz w:val="20"/>
                <w:szCs w:val="20"/>
              </w:rPr>
              <w:t>Tk</w:t>
            </w:r>
            <w:proofErr w:type="spellEnd"/>
            <w:r w:rsidRPr="00535BED">
              <w:rPr>
                <w:rFonts w:ascii="Cambria" w:eastAsia="Times New Roman" w:hAnsi="Cambria" w:cs="Times New Roman"/>
                <w:color w:val="000000"/>
                <w:sz w:val="20"/>
                <w:szCs w:val="20"/>
              </w:rPr>
              <w:t xml:space="preserve"> 2,300/ha/</w:t>
            </w:r>
            <w:proofErr w:type="spellStart"/>
            <w:r w:rsidRPr="00535BED">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(Chow 2015)</w:t>
            </w:r>
          </w:p>
        </w:tc>
        <w:tc>
          <w:tcPr>
            <w:tcW w:w="1440" w:type="dxa"/>
            <w:tcBorders>
              <w:top w:val="nil"/>
              <w:left w:val="nil"/>
              <w:bottom w:val="single" w:sz="4" w:space="0" w:color="auto"/>
              <w:right w:val="single" w:sz="4" w:space="0" w:color="auto"/>
            </w:tcBorders>
            <w:shd w:val="clear" w:color="000000" w:fill="A9D08E"/>
          </w:tcPr>
          <w:p w14:paraId="003A947E" w14:textId="4D8919D0"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9D08E"/>
          </w:tcPr>
          <w:p w14:paraId="6507739B" w14:textId="13162784"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9D08E"/>
          </w:tcPr>
          <w:p w14:paraId="1A312591" w14:textId="6F8C9EA5"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586C1D" w14:paraId="25F2D70A" w14:textId="6A7AFCAC" w:rsidTr="004368D7">
        <w:trPr>
          <w:trHeight w:val="458"/>
        </w:trPr>
        <w:tc>
          <w:tcPr>
            <w:tcW w:w="1440" w:type="dxa"/>
            <w:tcBorders>
              <w:top w:val="nil"/>
              <w:left w:val="single" w:sz="4" w:space="0" w:color="auto"/>
              <w:bottom w:val="single" w:sz="4" w:space="0" w:color="auto"/>
              <w:right w:val="single" w:sz="4" w:space="0" w:color="auto"/>
            </w:tcBorders>
            <w:shd w:val="clear" w:color="000000" w:fill="E2EFDA"/>
            <w:hideMark/>
          </w:tcPr>
          <w:p w14:paraId="74EB4FAF" w14:textId="63BD4854"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Food</w:t>
            </w:r>
          </w:p>
        </w:tc>
        <w:tc>
          <w:tcPr>
            <w:tcW w:w="1710" w:type="dxa"/>
            <w:tcBorders>
              <w:top w:val="nil"/>
              <w:left w:val="nil"/>
              <w:bottom w:val="single" w:sz="4" w:space="0" w:color="auto"/>
              <w:right w:val="single" w:sz="4" w:space="0" w:color="auto"/>
            </w:tcBorders>
            <w:shd w:val="clear" w:color="000000" w:fill="E2EFDA"/>
          </w:tcPr>
          <w:p w14:paraId="218EAC67" w14:textId="6608670A" w:rsidR="00535BED" w:rsidRPr="00586C1D" w:rsidRDefault="00535BED" w:rsidP="00736B28">
            <w:pPr>
              <w:spacing w:after="0" w:line="240" w:lineRule="auto"/>
              <w:jc w:val="center"/>
              <w:rPr>
                <w:rFonts w:ascii="Cambria" w:eastAsia="Times New Roman" w:hAnsi="Cambria" w:cs="Times New Roman"/>
                <w:color w:val="000000"/>
                <w:sz w:val="20"/>
                <w:szCs w:val="20"/>
              </w:rPr>
            </w:pPr>
            <w:r w:rsidRPr="00E21688">
              <w:rPr>
                <w:rFonts w:ascii="Cambria" w:eastAsia="Times New Roman" w:hAnsi="Cambria" w:cs="Times New Roman"/>
                <w:color w:val="000000"/>
                <w:sz w:val="20"/>
                <w:szCs w:val="20"/>
              </w:rPr>
              <w:t>Fruit: US$1/ha/</w:t>
            </w:r>
            <w:proofErr w:type="spellStart"/>
            <w:r w:rsidRPr="00E21688">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Fisheries: US$514/ha/</w:t>
            </w:r>
            <w:proofErr w:type="spellStart"/>
            <w:r w:rsidRPr="00E21688">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Worms: US$41/ha/</w:t>
            </w:r>
            <w:proofErr w:type="spellStart"/>
            <w:r w:rsidRPr="00E21688">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Wildlife: US$18/ha/</w:t>
            </w:r>
            <w:proofErr w:type="spellStart"/>
            <w:r w:rsidRPr="00E21688">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t>
            </w:r>
            <w:proofErr w:type="spellStart"/>
            <w:r w:rsidRPr="00E21688">
              <w:rPr>
                <w:rFonts w:ascii="Cambria" w:eastAsia="Times New Roman" w:hAnsi="Cambria" w:cs="Times New Roman"/>
                <w:color w:val="000000"/>
                <w:sz w:val="20"/>
                <w:szCs w:val="20"/>
              </w:rPr>
              <w:t>Pernetta</w:t>
            </w:r>
            <w:proofErr w:type="spellEnd"/>
            <w:r w:rsidRPr="00E21688">
              <w:rPr>
                <w:rFonts w:ascii="Cambria" w:eastAsia="Times New Roman" w:hAnsi="Cambria" w:cs="Times New Roman"/>
                <w:color w:val="000000"/>
                <w:sz w:val="20"/>
                <w:szCs w:val="20"/>
              </w:rPr>
              <w:t xml:space="preserve"> et al. 2013)</w:t>
            </w:r>
            <w:r>
              <w:rPr>
                <w:rFonts w:ascii="Cambria" w:eastAsia="Times New Roman" w:hAnsi="Cambria" w:cs="Times New Roman"/>
                <w:color w:val="000000"/>
                <w:sz w:val="20"/>
                <w:szCs w:val="20"/>
              </w:rPr>
              <w:t xml:space="preserve">; </w:t>
            </w:r>
            <w:r w:rsidRPr="008D6B14">
              <w:rPr>
                <w:rFonts w:ascii="Cambria" w:eastAsia="Times New Roman" w:hAnsi="Cambria" w:cs="Times New Roman"/>
                <w:color w:val="000000"/>
                <w:sz w:val="20"/>
                <w:szCs w:val="20"/>
              </w:rPr>
              <w:lastRenderedPageBreak/>
              <w:t>Commercial fisheries</w:t>
            </w:r>
            <w:r w:rsidR="00736B28">
              <w:rPr>
                <w:rFonts w:ascii="Cambria" w:eastAsia="Times New Roman" w:hAnsi="Cambria" w:cs="Times New Roman"/>
                <w:color w:val="000000"/>
                <w:sz w:val="20"/>
                <w:szCs w:val="20"/>
              </w:rPr>
              <w:t>:</w:t>
            </w:r>
            <w:r w:rsidRPr="008D6B14">
              <w:rPr>
                <w:rFonts w:ascii="Cambria" w:eastAsia="Times New Roman" w:hAnsi="Cambria" w:cs="Times New Roman"/>
                <w:color w:val="000000"/>
                <w:sz w:val="20"/>
                <w:szCs w:val="20"/>
              </w:rPr>
              <w:t xml:space="preserve"> US$18,849/ha/year</w:t>
            </w:r>
            <w:r w:rsidR="006B6E63">
              <w:rPr>
                <w:rFonts w:ascii="Cambria" w:eastAsia="Times New Roman" w:hAnsi="Cambria" w:cs="Times New Roman"/>
                <w:color w:val="000000"/>
                <w:sz w:val="20"/>
                <w:szCs w:val="20"/>
              </w:rPr>
              <w:t xml:space="preserve"> (Vaz</w:t>
            </w:r>
            <w:r>
              <w:rPr>
                <w:rFonts w:ascii="Cambria" w:eastAsia="Times New Roman" w:hAnsi="Cambria" w:cs="Times New Roman"/>
                <w:color w:val="000000"/>
                <w:sz w:val="20"/>
                <w:szCs w:val="20"/>
              </w:rPr>
              <w:t xml:space="preserve">quez-Gonzalez et al. 2015); </w:t>
            </w:r>
            <w:r w:rsidRPr="008D6B14">
              <w:rPr>
                <w:rFonts w:ascii="Cambria" w:eastAsia="Times New Roman" w:hAnsi="Cambria" w:cs="Times New Roman"/>
                <w:color w:val="000000"/>
                <w:sz w:val="20"/>
                <w:szCs w:val="20"/>
              </w:rPr>
              <w:t>Fisheries: US$1,287/ha/</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Adhikari</w:t>
            </w:r>
            <w:proofErr w:type="spellEnd"/>
            <w:r>
              <w:rPr>
                <w:rFonts w:ascii="Cambria" w:eastAsia="Times New Roman" w:hAnsi="Cambria" w:cs="Times New Roman"/>
                <w:color w:val="000000"/>
                <w:sz w:val="20"/>
                <w:szCs w:val="20"/>
              </w:rPr>
              <w:t xml:space="preserve"> 2010)</w:t>
            </w:r>
          </w:p>
        </w:tc>
        <w:tc>
          <w:tcPr>
            <w:tcW w:w="1350" w:type="dxa"/>
            <w:tcBorders>
              <w:top w:val="nil"/>
              <w:left w:val="nil"/>
              <w:bottom w:val="single" w:sz="4" w:space="0" w:color="auto"/>
              <w:right w:val="single" w:sz="4" w:space="0" w:color="auto"/>
            </w:tcBorders>
            <w:shd w:val="clear" w:color="000000" w:fill="E2EFDA"/>
          </w:tcPr>
          <w:p w14:paraId="7978B691" w14:textId="1563853A" w:rsidR="00535BED" w:rsidRPr="00586C1D" w:rsidRDefault="00535BED" w:rsidP="00736B28">
            <w:pPr>
              <w:spacing w:after="0" w:line="240" w:lineRule="auto"/>
              <w:jc w:val="center"/>
              <w:rPr>
                <w:rFonts w:ascii="Cambria" w:eastAsia="Times New Roman" w:hAnsi="Cambria" w:cs="Times New Roman"/>
                <w:color w:val="000000"/>
                <w:sz w:val="20"/>
                <w:szCs w:val="20"/>
              </w:rPr>
            </w:pPr>
            <w:r w:rsidRPr="008D6B14">
              <w:rPr>
                <w:rFonts w:ascii="Cambria" w:eastAsia="Times New Roman" w:hAnsi="Cambria" w:cs="Times New Roman"/>
                <w:color w:val="000000"/>
                <w:sz w:val="20"/>
                <w:szCs w:val="20"/>
              </w:rPr>
              <w:lastRenderedPageBreak/>
              <w:t>Mangrove and coral reef fisheries: SBD$ 5500-12 100/household/</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(Warren-</w:t>
            </w:r>
            <w:r>
              <w:rPr>
                <w:rFonts w:ascii="Cambria" w:eastAsia="Times New Roman" w:hAnsi="Cambria" w:cs="Times New Roman"/>
                <w:color w:val="000000"/>
                <w:sz w:val="20"/>
                <w:szCs w:val="20"/>
              </w:rPr>
              <w:lastRenderedPageBreak/>
              <w:t>Rhodes et al. 2011)</w:t>
            </w:r>
          </w:p>
        </w:tc>
        <w:tc>
          <w:tcPr>
            <w:tcW w:w="1350" w:type="dxa"/>
            <w:tcBorders>
              <w:top w:val="nil"/>
              <w:left w:val="nil"/>
              <w:bottom w:val="single" w:sz="4" w:space="0" w:color="auto"/>
              <w:right w:val="single" w:sz="4" w:space="0" w:color="auto"/>
            </w:tcBorders>
            <w:shd w:val="clear" w:color="000000" w:fill="E2EFDA"/>
          </w:tcPr>
          <w:p w14:paraId="2700E000" w14:textId="77777777" w:rsidR="00535BED" w:rsidRPr="00586C1D"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679E1546" w14:textId="0901EDFE" w:rsidR="00535BED" w:rsidRPr="00586C1D" w:rsidRDefault="00535BED" w:rsidP="00736B28">
            <w:pPr>
              <w:spacing w:after="0" w:line="240" w:lineRule="auto"/>
              <w:jc w:val="center"/>
              <w:rPr>
                <w:rFonts w:ascii="Cambria" w:eastAsia="Times New Roman" w:hAnsi="Cambria" w:cs="Times New Roman"/>
                <w:color w:val="000000"/>
                <w:sz w:val="20"/>
                <w:szCs w:val="20"/>
              </w:rPr>
            </w:pPr>
            <w:r w:rsidRPr="00743644">
              <w:rPr>
                <w:rFonts w:ascii="Cambria" w:eastAsia="Times New Roman" w:hAnsi="Cambria" w:cs="Times New Roman"/>
                <w:color w:val="000000"/>
                <w:sz w:val="20"/>
                <w:szCs w:val="20"/>
              </w:rPr>
              <w:t>Fisheries: US$44/ha/</w:t>
            </w:r>
            <w:proofErr w:type="spellStart"/>
            <w:r w:rsidRPr="0074364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743644">
              <w:rPr>
                <w:rFonts w:ascii="Cambria" w:eastAsia="Times New Roman" w:hAnsi="Cambria" w:cs="Times New Roman"/>
                <w:color w:val="000000"/>
                <w:sz w:val="20"/>
                <w:szCs w:val="20"/>
              </w:rPr>
              <w:t>Aquaculture: US$ 4.8/ha/</w:t>
            </w:r>
            <w:proofErr w:type="spellStart"/>
            <w:r w:rsidRPr="0074364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 </w:t>
            </w:r>
            <w:proofErr w:type="spellStart"/>
            <w:r>
              <w:rPr>
                <w:rFonts w:ascii="Cambria" w:eastAsia="Times New Roman" w:hAnsi="Cambria" w:cs="Times New Roman"/>
                <w:color w:val="000000"/>
                <w:sz w:val="20"/>
                <w:szCs w:val="20"/>
              </w:rPr>
              <w:t>Hoberg</w:t>
            </w:r>
            <w:proofErr w:type="spellEnd"/>
            <w:r>
              <w:rPr>
                <w:rFonts w:ascii="Cambria" w:eastAsia="Times New Roman" w:hAnsi="Cambria" w:cs="Times New Roman"/>
                <w:color w:val="000000"/>
                <w:sz w:val="20"/>
                <w:szCs w:val="20"/>
              </w:rPr>
              <w:t xml:space="preserve"> 2011); </w:t>
            </w:r>
            <w:r w:rsidRPr="00743644">
              <w:rPr>
                <w:rFonts w:ascii="Cambria" w:eastAsia="Times New Roman" w:hAnsi="Cambria" w:cs="Times New Roman"/>
                <w:color w:val="000000"/>
                <w:sz w:val="20"/>
                <w:szCs w:val="20"/>
              </w:rPr>
              <w:t>Commercial fisheries: 70kMGA</w:t>
            </w:r>
            <w:r w:rsidR="00736B28">
              <w:rPr>
                <w:rFonts w:ascii="Cambria" w:eastAsia="Times New Roman" w:hAnsi="Cambria" w:cs="Times New Roman"/>
                <w:color w:val="000000"/>
                <w:sz w:val="20"/>
                <w:szCs w:val="20"/>
              </w:rPr>
              <w:t>:</w:t>
            </w:r>
            <w:r w:rsidRPr="00743644">
              <w:rPr>
                <w:rFonts w:ascii="Cambria" w:eastAsia="Times New Roman" w:hAnsi="Cambria" w:cs="Times New Roman"/>
                <w:color w:val="000000"/>
                <w:sz w:val="20"/>
                <w:szCs w:val="20"/>
              </w:rPr>
              <w:t xml:space="preserve"> </w:t>
            </w:r>
            <w:r w:rsidRPr="00743644">
              <w:rPr>
                <w:rFonts w:ascii="Cambria" w:eastAsia="Times New Roman" w:hAnsi="Cambria" w:cs="Times New Roman"/>
                <w:color w:val="000000"/>
                <w:sz w:val="20"/>
                <w:szCs w:val="20"/>
              </w:rPr>
              <w:lastRenderedPageBreak/>
              <w:t>6180 MGA/individual; 80k MGA</w:t>
            </w:r>
            <w:r w:rsidR="00736B28">
              <w:rPr>
                <w:rFonts w:ascii="Cambria" w:eastAsia="Times New Roman" w:hAnsi="Cambria" w:cs="Times New Roman"/>
                <w:color w:val="000000"/>
                <w:sz w:val="20"/>
                <w:szCs w:val="20"/>
              </w:rPr>
              <w:t>:</w:t>
            </w:r>
            <w:r w:rsidRPr="00743644">
              <w:rPr>
                <w:rFonts w:ascii="Cambria" w:eastAsia="Times New Roman" w:hAnsi="Cambria" w:cs="Times New Roman"/>
                <w:color w:val="000000"/>
                <w:sz w:val="20"/>
                <w:szCs w:val="20"/>
              </w:rPr>
              <w:t xml:space="preserve"> 14050 MGA/individual</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Oleson</w:t>
            </w:r>
            <w:proofErr w:type="spellEnd"/>
            <w:r>
              <w:rPr>
                <w:rFonts w:ascii="Cambria" w:eastAsia="Times New Roman" w:hAnsi="Cambria" w:cs="Times New Roman"/>
                <w:color w:val="000000"/>
                <w:sz w:val="20"/>
                <w:szCs w:val="20"/>
              </w:rPr>
              <w:t xml:space="preserve"> et al. 2015); </w:t>
            </w:r>
            <w:r w:rsidRPr="00743644">
              <w:rPr>
                <w:rFonts w:ascii="Cambria" w:eastAsia="Times New Roman" w:hAnsi="Cambria" w:cs="Times New Roman"/>
                <w:color w:val="000000"/>
                <w:sz w:val="20"/>
                <w:szCs w:val="20"/>
              </w:rPr>
              <w:t>Fisheries: Range US$990.96 (less than 30% mangrove cover)-US$3248.14 (over 70% mangrove cover)</w:t>
            </w:r>
            <w:r>
              <w:rPr>
                <w:rFonts w:ascii="Cambria" w:eastAsia="Times New Roman" w:hAnsi="Cambria" w:cs="Times New Roman"/>
                <w:color w:val="000000"/>
                <w:sz w:val="20"/>
                <w:szCs w:val="20"/>
              </w:rPr>
              <w:t xml:space="preserve"> (Quoc Vo et al. 2015); </w:t>
            </w:r>
            <w:r w:rsidRPr="00A057E7">
              <w:rPr>
                <w:rFonts w:ascii="Cambria" w:eastAsia="Times New Roman" w:hAnsi="Cambria" w:cs="Times New Roman"/>
                <w:color w:val="000000"/>
                <w:sz w:val="20"/>
                <w:szCs w:val="20"/>
              </w:rPr>
              <w:t>Fisheries</w:t>
            </w:r>
            <w:r w:rsidR="00736B28">
              <w:rPr>
                <w:rFonts w:ascii="Cambria" w:eastAsia="Times New Roman" w:hAnsi="Cambria" w:cs="Times New Roman"/>
                <w:color w:val="000000"/>
                <w:sz w:val="20"/>
                <w:szCs w:val="20"/>
              </w:rPr>
              <w:t>:</w:t>
            </w:r>
            <w:r w:rsidRPr="00A057E7">
              <w:rPr>
                <w:rFonts w:ascii="Cambria" w:eastAsia="Times New Roman" w:hAnsi="Cambria" w:cs="Times New Roman"/>
                <w:color w:val="000000"/>
                <w:sz w:val="20"/>
                <w:szCs w:val="20"/>
              </w:rPr>
              <w:t xml:space="preserve"> US$577</w:t>
            </w:r>
            <w:r>
              <w:rPr>
                <w:rFonts w:ascii="Cambria" w:eastAsia="Times New Roman" w:hAnsi="Cambria" w:cs="Times New Roman"/>
                <w:color w:val="000000"/>
                <w:sz w:val="20"/>
                <w:szCs w:val="20"/>
              </w:rPr>
              <w:t>-</w:t>
            </w:r>
            <w:r w:rsidRPr="00A057E7">
              <w:rPr>
                <w:rFonts w:ascii="Cambria" w:eastAsia="Times New Roman" w:hAnsi="Cambria" w:cs="Times New Roman"/>
                <w:color w:val="000000"/>
                <w:sz w:val="20"/>
                <w:szCs w:val="20"/>
              </w:rPr>
              <w:t>960.18ha/</w:t>
            </w:r>
            <w:proofErr w:type="spellStart"/>
            <w:r w:rsidRPr="00A057E7">
              <w:rPr>
                <w:rFonts w:ascii="Cambria" w:eastAsia="Times New Roman" w:hAnsi="Cambria" w:cs="Times New Roman"/>
                <w:color w:val="000000"/>
                <w:sz w:val="20"/>
                <w:szCs w:val="20"/>
              </w:rPr>
              <w:t>yr</w:t>
            </w:r>
            <w:proofErr w:type="spellEnd"/>
            <w:r w:rsidRPr="00A057E7">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Burgess et al. 2015</w:t>
            </w:r>
            <w:r w:rsidRPr="00A057E7">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w:t>
            </w:r>
            <w:r w:rsidRPr="00A057E7">
              <w:rPr>
                <w:rFonts w:ascii="Cambria" w:eastAsia="Times New Roman" w:hAnsi="Cambria" w:cs="Times New Roman"/>
                <w:color w:val="000000"/>
                <w:sz w:val="20"/>
                <w:szCs w:val="20"/>
              </w:rPr>
              <w:t>Fisheries: US$3404/household/year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Adekola</w:t>
            </w:r>
            <w:proofErr w:type="spellEnd"/>
            <w:r>
              <w:rPr>
                <w:rFonts w:ascii="Cambria" w:eastAsia="Times New Roman" w:hAnsi="Cambria" w:cs="Times New Roman"/>
                <w:color w:val="000000"/>
                <w:sz w:val="20"/>
                <w:szCs w:val="20"/>
              </w:rPr>
              <w:t xml:space="preserve"> et al. 2015)</w:t>
            </w:r>
          </w:p>
        </w:tc>
        <w:tc>
          <w:tcPr>
            <w:tcW w:w="1440" w:type="dxa"/>
            <w:tcBorders>
              <w:top w:val="single" w:sz="4" w:space="0" w:color="auto"/>
              <w:left w:val="nil"/>
              <w:bottom w:val="single" w:sz="4" w:space="0" w:color="auto"/>
              <w:right w:val="single" w:sz="4" w:space="0" w:color="auto"/>
            </w:tcBorders>
            <w:shd w:val="clear" w:color="000000" w:fill="E2EFDA"/>
          </w:tcPr>
          <w:p w14:paraId="00400ECC" w14:textId="694366E1" w:rsidR="00535BED" w:rsidRPr="00586C1D" w:rsidRDefault="00535BED" w:rsidP="00736B28">
            <w:pPr>
              <w:spacing w:after="0" w:line="240" w:lineRule="auto"/>
              <w:jc w:val="center"/>
              <w:rPr>
                <w:rFonts w:ascii="Cambria" w:eastAsia="Times New Roman" w:hAnsi="Cambria" w:cs="Times New Roman"/>
                <w:color w:val="000000"/>
                <w:sz w:val="20"/>
                <w:szCs w:val="20"/>
              </w:rPr>
            </w:pPr>
            <w:r w:rsidRPr="00A057E7">
              <w:rPr>
                <w:rFonts w:ascii="Cambria" w:eastAsia="Times New Roman" w:hAnsi="Cambria" w:cs="Times New Roman"/>
                <w:color w:val="000000"/>
                <w:sz w:val="20"/>
                <w:szCs w:val="20"/>
              </w:rPr>
              <w:lastRenderedPageBreak/>
              <w:t>Fisheries catch inside mangrove area: US$385.97-419.11/ha/</w:t>
            </w:r>
            <w:proofErr w:type="spellStart"/>
            <w:r w:rsidRPr="00A057E7">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Kuenzer</w:t>
            </w:r>
            <w:proofErr w:type="spellEnd"/>
            <w:r>
              <w:rPr>
                <w:rFonts w:ascii="Cambria" w:eastAsia="Times New Roman" w:hAnsi="Cambria" w:cs="Times New Roman"/>
                <w:color w:val="000000"/>
                <w:sz w:val="20"/>
                <w:szCs w:val="20"/>
              </w:rPr>
              <w:t xml:space="preserve"> and Tuan 2013)</w:t>
            </w:r>
          </w:p>
        </w:tc>
        <w:tc>
          <w:tcPr>
            <w:tcW w:w="1350" w:type="dxa"/>
            <w:tcBorders>
              <w:top w:val="nil"/>
              <w:left w:val="single" w:sz="4" w:space="0" w:color="auto"/>
              <w:bottom w:val="single" w:sz="4" w:space="0" w:color="auto"/>
              <w:right w:val="single" w:sz="4" w:space="0" w:color="auto"/>
            </w:tcBorders>
            <w:shd w:val="clear" w:color="000000" w:fill="E2EFDA"/>
          </w:tcPr>
          <w:p w14:paraId="348453B8" w14:textId="176D7B22" w:rsidR="00535BED" w:rsidRPr="00586C1D" w:rsidRDefault="00535BED" w:rsidP="00736B28">
            <w:pPr>
              <w:spacing w:after="0" w:line="240" w:lineRule="auto"/>
              <w:jc w:val="center"/>
              <w:rPr>
                <w:rFonts w:ascii="Cambria" w:eastAsia="Times New Roman" w:hAnsi="Cambria" w:cs="Times New Roman"/>
                <w:color w:val="000000"/>
                <w:sz w:val="20"/>
                <w:szCs w:val="20"/>
              </w:rPr>
            </w:pPr>
            <w:r w:rsidRPr="00535BED">
              <w:rPr>
                <w:rFonts w:ascii="Cambria" w:eastAsia="Times New Roman" w:hAnsi="Cambria" w:cs="Times New Roman"/>
                <w:color w:val="000000"/>
                <w:sz w:val="20"/>
                <w:szCs w:val="20"/>
              </w:rPr>
              <w:t>Subsistence fishery</w:t>
            </w:r>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US$ 79161/ha/</w:t>
            </w:r>
            <w:proofErr w:type="spellStart"/>
            <w:r w:rsidRPr="00535BED">
              <w:rPr>
                <w:rFonts w:ascii="Cambria" w:eastAsia="Times New Roman" w:hAnsi="Cambria" w:cs="Times New Roman"/>
                <w:color w:val="000000"/>
                <w:sz w:val="20"/>
                <w:szCs w:val="20"/>
              </w:rPr>
              <w:t>yr</w:t>
            </w:r>
            <w:proofErr w:type="spellEnd"/>
            <w:r w:rsidRPr="00535BED">
              <w:rPr>
                <w:rFonts w:ascii="Cambria" w:eastAsia="Times New Roman" w:hAnsi="Cambria" w:cs="Times New Roman"/>
                <w:color w:val="000000"/>
                <w:sz w:val="20"/>
                <w:szCs w:val="20"/>
              </w:rPr>
              <w:t>; Int$US1311</w:t>
            </w:r>
            <w:r>
              <w:rPr>
                <w:rFonts w:ascii="Cambria" w:eastAsia="Times New Roman" w:hAnsi="Cambria" w:cs="Times New Roman"/>
                <w:color w:val="000000"/>
                <w:sz w:val="20"/>
                <w:szCs w:val="20"/>
              </w:rPr>
              <w:t xml:space="preserve">, </w:t>
            </w:r>
            <w:r w:rsidRPr="00535BED">
              <w:rPr>
                <w:rFonts w:ascii="Cambria" w:eastAsia="Times New Roman" w:hAnsi="Cambria" w:cs="Times New Roman"/>
                <w:color w:val="000000"/>
                <w:sz w:val="20"/>
                <w:szCs w:val="20"/>
              </w:rPr>
              <w:t>Commercial fishery</w:t>
            </w:r>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US$ 47283/ha/</w:t>
            </w:r>
            <w:proofErr w:type="spellStart"/>
            <w:r w:rsidRPr="00535BED">
              <w:rPr>
                <w:rFonts w:ascii="Cambria" w:eastAsia="Times New Roman" w:hAnsi="Cambria" w:cs="Times New Roman"/>
                <w:color w:val="000000"/>
                <w:sz w:val="20"/>
                <w:szCs w:val="20"/>
              </w:rPr>
              <w:t>yr</w:t>
            </w:r>
            <w:proofErr w:type="spellEnd"/>
            <w:r w:rsidRPr="00535BED">
              <w:rPr>
                <w:rFonts w:ascii="Cambria" w:eastAsia="Times New Roman" w:hAnsi="Cambria" w:cs="Times New Roman"/>
                <w:color w:val="000000"/>
                <w:sz w:val="20"/>
                <w:szCs w:val="20"/>
              </w:rPr>
              <w:t>; Int$US783</w:t>
            </w:r>
            <w:r>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lastRenderedPageBreak/>
              <w:t xml:space="preserve">(Pascal and </w:t>
            </w:r>
            <w:proofErr w:type="spellStart"/>
            <w:r>
              <w:rPr>
                <w:rFonts w:ascii="Cambria" w:eastAsia="Times New Roman" w:hAnsi="Cambria" w:cs="Times New Roman"/>
                <w:color w:val="000000"/>
                <w:sz w:val="20"/>
                <w:szCs w:val="20"/>
              </w:rPr>
              <w:t>Bulu</w:t>
            </w:r>
            <w:proofErr w:type="spellEnd"/>
            <w:r>
              <w:rPr>
                <w:rFonts w:ascii="Cambria" w:eastAsia="Times New Roman" w:hAnsi="Cambria" w:cs="Times New Roman"/>
                <w:color w:val="000000"/>
                <w:sz w:val="20"/>
                <w:szCs w:val="20"/>
              </w:rPr>
              <w:t xml:space="preserve"> 2013)</w:t>
            </w:r>
          </w:p>
        </w:tc>
        <w:tc>
          <w:tcPr>
            <w:tcW w:w="1440" w:type="dxa"/>
            <w:tcBorders>
              <w:top w:val="nil"/>
              <w:left w:val="nil"/>
              <w:bottom w:val="single" w:sz="4" w:space="0" w:color="auto"/>
              <w:right w:val="single" w:sz="4" w:space="0" w:color="auto"/>
            </w:tcBorders>
            <w:shd w:val="clear" w:color="000000" w:fill="E2EFDA"/>
          </w:tcPr>
          <w:p w14:paraId="538C88BE" w14:textId="19CA7F4F" w:rsidR="00535BED" w:rsidRPr="00586C1D" w:rsidRDefault="00535BED" w:rsidP="00736B28">
            <w:pPr>
              <w:spacing w:after="0" w:line="240" w:lineRule="auto"/>
              <w:jc w:val="center"/>
              <w:rPr>
                <w:rFonts w:ascii="Cambria" w:eastAsia="Times New Roman" w:hAnsi="Cambria" w:cs="Times New Roman"/>
                <w:color w:val="000000"/>
                <w:sz w:val="20"/>
                <w:szCs w:val="20"/>
              </w:rPr>
            </w:pPr>
            <w:r w:rsidRPr="00535BED">
              <w:rPr>
                <w:rFonts w:ascii="Cambria" w:eastAsia="Times New Roman" w:hAnsi="Cambria" w:cs="Times New Roman"/>
                <w:color w:val="000000"/>
                <w:sz w:val="20"/>
                <w:szCs w:val="20"/>
              </w:rPr>
              <w:lastRenderedPageBreak/>
              <w:t>Fish: US$ 559 /Ha/year</w:t>
            </w:r>
            <w:r>
              <w:rPr>
                <w:rFonts w:ascii="Cambria" w:eastAsia="Times New Roman" w:hAnsi="Cambria" w:cs="Times New Roman"/>
                <w:color w:val="000000"/>
                <w:sz w:val="20"/>
                <w:szCs w:val="20"/>
              </w:rPr>
              <w:t xml:space="preserve">, </w:t>
            </w:r>
            <w:r w:rsidRPr="00535BED">
              <w:rPr>
                <w:rFonts w:ascii="Cambria" w:eastAsia="Times New Roman" w:hAnsi="Cambria" w:cs="Times New Roman"/>
                <w:color w:val="000000"/>
                <w:sz w:val="20"/>
                <w:szCs w:val="20"/>
              </w:rPr>
              <w:t>Honey: US$ 1.55 /ha/year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Otieno</w:t>
            </w:r>
            <w:proofErr w:type="spellEnd"/>
            <w:r>
              <w:rPr>
                <w:rFonts w:ascii="Cambria" w:eastAsia="Times New Roman" w:hAnsi="Cambria" w:cs="Times New Roman"/>
                <w:color w:val="000000"/>
                <w:sz w:val="20"/>
                <w:szCs w:val="20"/>
              </w:rPr>
              <w:t xml:space="preserve"> 2015)</w:t>
            </w:r>
            <w:r w:rsidR="007A56B5">
              <w:rPr>
                <w:rFonts w:ascii="Cambria" w:eastAsia="Times New Roman" w:hAnsi="Cambria" w:cs="Times New Roman"/>
                <w:color w:val="000000"/>
                <w:sz w:val="20"/>
                <w:szCs w:val="20"/>
              </w:rPr>
              <w:t xml:space="preserve">, </w:t>
            </w:r>
            <w:r w:rsidR="007A56B5" w:rsidRPr="007A56B5">
              <w:rPr>
                <w:rFonts w:ascii="Cambria" w:eastAsia="Times New Roman" w:hAnsi="Cambria" w:cs="Times New Roman"/>
                <w:color w:val="000000"/>
                <w:sz w:val="20"/>
                <w:szCs w:val="20"/>
              </w:rPr>
              <w:t>Food</w:t>
            </w:r>
            <w:r w:rsidR="00736B28">
              <w:rPr>
                <w:rFonts w:ascii="Cambria" w:eastAsia="Times New Roman" w:hAnsi="Cambria" w:cs="Times New Roman"/>
                <w:color w:val="000000"/>
                <w:sz w:val="20"/>
                <w:szCs w:val="20"/>
              </w:rPr>
              <w:t>:</w:t>
            </w:r>
            <w:r w:rsidR="007A56B5" w:rsidRPr="007A56B5">
              <w:rPr>
                <w:rFonts w:ascii="Cambria" w:eastAsia="Times New Roman" w:hAnsi="Cambria" w:cs="Times New Roman"/>
                <w:color w:val="000000"/>
                <w:sz w:val="20"/>
                <w:szCs w:val="20"/>
              </w:rPr>
              <w:t xml:space="preserve"> 40.58 million Indian rupees/</w:t>
            </w:r>
            <w:proofErr w:type="spellStart"/>
            <w:r w:rsidR="007A56B5" w:rsidRPr="007A56B5">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007A56B5" w:rsidRPr="007A56B5">
              <w:rPr>
                <w:rFonts w:ascii="Cambria" w:eastAsia="Times New Roman" w:hAnsi="Cambria" w:cs="Times New Roman"/>
                <w:color w:val="000000"/>
                <w:sz w:val="20"/>
                <w:szCs w:val="20"/>
              </w:rPr>
              <w:t xml:space="preserve"> 719.5 Indian </w:t>
            </w:r>
            <w:r w:rsidR="007A56B5" w:rsidRPr="007A56B5">
              <w:rPr>
                <w:rFonts w:ascii="Cambria" w:eastAsia="Times New Roman" w:hAnsi="Cambria" w:cs="Times New Roman"/>
                <w:color w:val="000000"/>
                <w:sz w:val="20"/>
                <w:szCs w:val="20"/>
              </w:rPr>
              <w:lastRenderedPageBreak/>
              <w:t>rupees/ha/</w:t>
            </w:r>
            <w:proofErr w:type="spellStart"/>
            <w:r w:rsidR="007A56B5" w:rsidRPr="007A56B5">
              <w:rPr>
                <w:rFonts w:ascii="Cambria" w:eastAsia="Times New Roman" w:hAnsi="Cambria" w:cs="Times New Roman"/>
                <w:color w:val="000000"/>
                <w:sz w:val="20"/>
                <w:szCs w:val="20"/>
              </w:rPr>
              <w:t>yr</w:t>
            </w:r>
            <w:proofErr w:type="spellEnd"/>
            <w:r w:rsidR="007A56B5">
              <w:rPr>
                <w:rFonts w:ascii="Cambria" w:eastAsia="Times New Roman" w:hAnsi="Cambria" w:cs="Times New Roman"/>
                <w:color w:val="000000"/>
                <w:sz w:val="20"/>
                <w:szCs w:val="20"/>
              </w:rPr>
              <w:t xml:space="preserve"> (</w:t>
            </w:r>
            <w:proofErr w:type="spellStart"/>
            <w:r w:rsidR="007A56B5">
              <w:rPr>
                <w:rFonts w:ascii="Cambria" w:eastAsia="Times New Roman" w:hAnsi="Cambria" w:cs="Times New Roman"/>
                <w:color w:val="000000"/>
                <w:sz w:val="20"/>
                <w:szCs w:val="20"/>
              </w:rPr>
              <w:t>Everard</w:t>
            </w:r>
            <w:proofErr w:type="spellEnd"/>
            <w:r w:rsidR="007A56B5">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61F1AE72" w14:textId="3AD148EE" w:rsidR="00AF54B9" w:rsidRPr="00AF54B9"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lastRenderedPageBreak/>
              <w:t>Capture fisheries - finfish: US$109/ha/</w:t>
            </w:r>
            <w:proofErr w:type="spellStart"/>
            <w:r w:rsidRPr="007A56B5">
              <w:rPr>
                <w:rFonts w:ascii="Cambria" w:eastAsia="Times New Roman" w:hAnsi="Cambria" w:cs="Times New Roman"/>
                <w:color w:val="000000"/>
                <w:sz w:val="20"/>
                <w:szCs w:val="20"/>
              </w:rPr>
              <w:t>yr</w:t>
            </w:r>
            <w:proofErr w:type="spellEnd"/>
            <w:r w:rsidR="00AF54B9">
              <w:rPr>
                <w:rFonts w:ascii="Cambria" w:eastAsia="Times New Roman" w:hAnsi="Cambria" w:cs="Times New Roman"/>
                <w:color w:val="000000"/>
                <w:sz w:val="20"/>
                <w:szCs w:val="20"/>
              </w:rPr>
              <w:t xml:space="preserve">, </w:t>
            </w:r>
            <w:r w:rsidRPr="007A56B5">
              <w:rPr>
                <w:rFonts w:ascii="Cambria" w:eastAsia="Times New Roman" w:hAnsi="Cambria" w:cs="Times New Roman"/>
                <w:color w:val="000000"/>
                <w:sz w:val="20"/>
                <w:szCs w:val="20"/>
              </w:rPr>
              <w:t>crustaceans: US$129/ha/</w:t>
            </w:r>
            <w:proofErr w:type="spellStart"/>
            <w:r w:rsidRPr="007A56B5">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Huxham</w:t>
            </w:r>
            <w:proofErr w:type="spellEnd"/>
            <w:r>
              <w:rPr>
                <w:rFonts w:ascii="Cambria" w:eastAsia="Times New Roman" w:hAnsi="Cambria" w:cs="Times New Roman"/>
                <w:color w:val="000000"/>
                <w:sz w:val="20"/>
                <w:szCs w:val="20"/>
              </w:rPr>
              <w:t xml:space="preserve"> et al. 2015)</w:t>
            </w:r>
            <w:r w:rsidR="00AF54B9">
              <w:rPr>
                <w:rFonts w:ascii="Cambria" w:eastAsia="Times New Roman" w:hAnsi="Cambria" w:cs="Times New Roman"/>
                <w:color w:val="000000"/>
                <w:sz w:val="20"/>
                <w:szCs w:val="20"/>
              </w:rPr>
              <w:t>;</w:t>
            </w:r>
          </w:p>
          <w:p w14:paraId="0C9911D4" w14:textId="77777777" w:rsidR="00AF54B9" w:rsidRPr="00AF54B9"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lastRenderedPageBreak/>
              <w:t>Willingness to accept mangrove conservation with a decrease in fishing from 15 kg/day to 5-15 kg/day or less than 5 kg/day: 123260-184400IRR/household/day or US$4.47-6.68/household/day</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Mashayekhi</w:t>
            </w:r>
            <w:proofErr w:type="spellEnd"/>
            <w:r>
              <w:rPr>
                <w:rFonts w:ascii="Cambria" w:eastAsia="Times New Roman" w:hAnsi="Cambria" w:cs="Times New Roman"/>
                <w:color w:val="000000"/>
                <w:sz w:val="20"/>
                <w:szCs w:val="20"/>
              </w:rPr>
              <w:t xml:space="preserve"> et al. 2016); </w:t>
            </w:r>
            <w:r w:rsidRPr="00AF54B9">
              <w:rPr>
                <w:rFonts w:ascii="Cambria" w:eastAsia="Times New Roman" w:hAnsi="Cambria" w:cs="Times New Roman"/>
                <w:color w:val="000000"/>
                <w:sz w:val="20"/>
                <w:szCs w:val="20"/>
              </w:rPr>
              <w:t>Fishing: US$2,793.13-5,504.22/household/</w:t>
            </w:r>
            <w:proofErr w:type="spellStart"/>
            <w:r w:rsidRPr="00AF54B9">
              <w:rPr>
                <w:rFonts w:ascii="Cambria" w:eastAsia="Times New Roman" w:hAnsi="Cambria" w:cs="Times New Roman"/>
                <w:color w:val="000000"/>
                <w:sz w:val="20"/>
                <w:szCs w:val="20"/>
              </w:rPr>
              <w:t>yr</w:t>
            </w:r>
            <w:proofErr w:type="spellEnd"/>
          </w:p>
          <w:p w14:paraId="36A2FDE4" w14:textId="280C4D5F" w:rsidR="00535BED" w:rsidRPr="00586C1D"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t>Snails: US$72.28/household/</w:t>
            </w:r>
            <w:proofErr w:type="spellStart"/>
            <w:r w:rsidRPr="00AF54B9">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Sopheak</w:t>
            </w:r>
            <w:proofErr w:type="spellEnd"/>
            <w:r>
              <w:rPr>
                <w:rFonts w:ascii="Cambria" w:eastAsia="Times New Roman" w:hAnsi="Cambria" w:cs="Times New Roman"/>
                <w:color w:val="000000"/>
                <w:sz w:val="20"/>
                <w:szCs w:val="20"/>
              </w:rPr>
              <w:t xml:space="preserve"> and </w:t>
            </w:r>
            <w:proofErr w:type="spellStart"/>
            <w:r>
              <w:rPr>
                <w:rFonts w:ascii="Cambria" w:eastAsia="Times New Roman" w:hAnsi="Cambria" w:cs="Times New Roman"/>
                <w:color w:val="000000"/>
                <w:sz w:val="20"/>
                <w:szCs w:val="20"/>
              </w:rPr>
              <w:t>Hoeurn</w:t>
            </w:r>
            <w:proofErr w:type="spellEnd"/>
            <w:r>
              <w:rPr>
                <w:rFonts w:ascii="Cambria" w:eastAsia="Times New Roman" w:hAnsi="Cambria" w:cs="Times New Roman"/>
                <w:color w:val="000000"/>
                <w:sz w:val="20"/>
                <w:szCs w:val="20"/>
              </w:rPr>
              <w:t xml:space="preserve"> 2016)</w:t>
            </w:r>
          </w:p>
        </w:tc>
        <w:tc>
          <w:tcPr>
            <w:tcW w:w="1350" w:type="dxa"/>
            <w:tcBorders>
              <w:top w:val="nil"/>
              <w:left w:val="nil"/>
              <w:bottom w:val="single" w:sz="4" w:space="0" w:color="auto"/>
              <w:right w:val="single" w:sz="4" w:space="0" w:color="auto"/>
            </w:tcBorders>
            <w:shd w:val="clear" w:color="000000" w:fill="E2EFDA"/>
          </w:tcPr>
          <w:p w14:paraId="0B3C39E4" w14:textId="1C733865" w:rsidR="00535BED" w:rsidRPr="00586C1D"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lastRenderedPageBreak/>
              <w:t>Fisheries</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10-year NPV per hectare ranging from $0-$3,839 /ha</w:t>
            </w:r>
            <w:r>
              <w:rPr>
                <w:rFonts w:ascii="Cambria" w:eastAsia="Times New Roman" w:hAnsi="Cambria" w:cs="Times New Roman"/>
                <w:color w:val="000000"/>
                <w:sz w:val="20"/>
                <w:szCs w:val="20"/>
              </w:rPr>
              <w:t xml:space="preserve"> (Atkinson et al. 2016)</w:t>
            </w:r>
          </w:p>
        </w:tc>
      </w:tr>
      <w:tr w:rsidR="00535BED" w:rsidRPr="00761424" w14:paraId="5CCA7E88" w14:textId="2085866B" w:rsidTr="004368D7">
        <w:trPr>
          <w:trHeight w:val="368"/>
        </w:trPr>
        <w:tc>
          <w:tcPr>
            <w:tcW w:w="1440" w:type="dxa"/>
            <w:tcBorders>
              <w:top w:val="nil"/>
              <w:left w:val="single" w:sz="4" w:space="0" w:color="auto"/>
              <w:bottom w:val="single" w:sz="4" w:space="0" w:color="auto"/>
              <w:right w:val="single" w:sz="4" w:space="0" w:color="auto"/>
            </w:tcBorders>
            <w:shd w:val="clear" w:color="000000" w:fill="E2EFDA"/>
          </w:tcPr>
          <w:p w14:paraId="703071D9" w14:textId="1A889B37"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Water</w:t>
            </w:r>
          </w:p>
        </w:tc>
        <w:tc>
          <w:tcPr>
            <w:tcW w:w="1710" w:type="dxa"/>
            <w:tcBorders>
              <w:top w:val="nil"/>
              <w:left w:val="nil"/>
              <w:bottom w:val="single" w:sz="4" w:space="0" w:color="auto"/>
              <w:right w:val="single" w:sz="4" w:space="0" w:color="auto"/>
            </w:tcBorders>
            <w:shd w:val="clear" w:color="000000" w:fill="E2EFDA"/>
          </w:tcPr>
          <w:p w14:paraId="6BE4C40A"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4241A60C"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6B8C0248"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754081E2"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70CD3768"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0BD3836D"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4C659CC7" w14:textId="2D4B987D" w:rsidR="00535BED" w:rsidRPr="00761424"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Fresh drinking water</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2.72 million Indian rupees/</w:t>
            </w:r>
            <w:proofErr w:type="spellStart"/>
            <w:r w:rsidRPr="007A56B5">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482 Indian rupees/ha/</w:t>
            </w:r>
            <w:proofErr w:type="spellStart"/>
            <w:r w:rsidRPr="007A56B5">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Everard</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46C3B383" w14:textId="5166D383"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3D827F41" w14:textId="06558980"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35854C22" w14:textId="5258A5EC" w:rsidTr="004368D7">
        <w:trPr>
          <w:trHeight w:val="440"/>
        </w:trPr>
        <w:tc>
          <w:tcPr>
            <w:tcW w:w="1440" w:type="dxa"/>
            <w:tcBorders>
              <w:top w:val="nil"/>
              <w:left w:val="single" w:sz="4" w:space="0" w:color="auto"/>
              <w:bottom w:val="single" w:sz="4" w:space="0" w:color="auto"/>
              <w:right w:val="single" w:sz="4" w:space="0" w:color="auto"/>
            </w:tcBorders>
            <w:shd w:val="clear" w:color="000000" w:fill="E2EFDA"/>
          </w:tcPr>
          <w:p w14:paraId="5F650E5B" w14:textId="2EFEF6F9"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lastRenderedPageBreak/>
              <w:t>Ornamental resources</w:t>
            </w:r>
          </w:p>
        </w:tc>
        <w:tc>
          <w:tcPr>
            <w:tcW w:w="1710" w:type="dxa"/>
            <w:tcBorders>
              <w:top w:val="nil"/>
              <w:left w:val="nil"/>
              <w:bottom w:val="single" w:sz="4" w:space="0" w:color="auto"/>
              <w:right w:val="single" w:sz="4" w:space="0" w:color="auto"/>
            </w:tcBorders>
            <w:shd w:val="clear" w:color="000000" w:fill="E2EFDA"/>
          </w:tcPr>
          <w:p w14:paraId="42631FA2"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6FC172C0"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6B5C14FA"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469DA3F2"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31E00F9B"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7BC36B1F"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12F17ED9"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28A74EC3" w14:textId="713C5043"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2DE22940" w14:textId="6638E03A"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7BFC96D4" w14:textId="58553FE9" w:rsidTr="004368D7">
        <w:trPr>
          <w:trHeight w:val="449"/>
        </w:trPr>
        <w:tc>
          <w:tcPr>
            <w:tcW w:w="1440" w:type="dxa"/>
            <w:tcBorders>
              <w:top w:val="nil"/>
              <w:left w:val="single" w:sz="4" w:space="0" w:color="auto"/>
              <w:bottom w:val="single" w:sz="4" w:space="0" w:color="auto"/>
              <w:right w:val="single" w:sz="4" w:space="0" w:color="auto"/>
            </w:tcBorders>
            <w:shd w:val="clear" w:color="000000" w:fill="E2EFDA"/>
          </w:tcPr>
          <w:p w14:paraId="55C67E28" w14:textId="3EE4AFCB"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Genetic resources</w:t>
            </w:r>
          </w:p>
        </w:tc>
        <w:tc>
          <w:tcPr>
            <w:tcW w:w="1710" w:type="dxa"/>
            <w:tcBorders>
              <w:top w:val="nil"/>
              <w:left w:val="nil"/>
              <w:bottom w:val="single" w:sz="4" w:space="0" w:color="auto"/>
              <w:right w:val="single" w:sz="4" w:space="0" w:color="auto"/>
            </w:tcBorders>
            <w:shd w:val="clear" w:color="000000" w:fill="E2EFDA"/>
          </w:tcPr>
          <w:p w14:paraId="249CECDE"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3337B89F"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7BB27989"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08ED6B71"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5D696382"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2F1B4AB8"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450E3C2D"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173F8C78" w14:textId="559C049A"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5981A84E" w14:textId="4448FB7C"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0114496C" w14:textId="5E22B04B" w:rsidTr="004368D7">
        <w:trPr>
          <w:trHeight w:val="440"/>
        </w:trPr>
        <w:tc>
          <w:tcPr>
            <w:tcW w:w="1440" w:type="dxa"/>
            <w:tcBorders>
              <w:top w:val="nil"/>
              <w:left w:val="single" w:sz="4" w:space="0" w:color="auto"/>
              <w:bottom w:val="single" w:sz="4" w:space="0" w:color="auto"/>
              <w:right w:val="single" w:sz="4" w:space="0" w:color="auto"/>
            </w:tcBorders>
            <w:shd w:val="clear" w:color="000000" w:fill="E2EFDA"/>
          </w:tcPr>
          <w:p w14:paraId="24334EE9" w14:textId="3DA028C6"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Medicinal resources</w:t>
            </w:r>
          </w:p>
        </w:tc>
        <w:tc>
          <w:tcPr>
            <w:tcW w:w="1710" w:type="dxa"/>
            <w:tcBorders>
              <w:top w:val="nil"/>
              <w:left w:val="nil"/>
              <w:bottom w:val="single" w:sz="4" w:space="0" w:color="auto"/>
              <w:right w:val="single" w:sz="4" w:space="0" w:color="auto"/>
            </w:tcBorders>
            <w:shd w:val="clear" w:color="000000" w:fill="E2EFDA"/>
          </w:tcPr>
          <w:p w14:paraId="02C4E6FC" w14:textId="27F2B9F7" w:rsidR="00535BED" w:rsidRPr="00761424" w:rsidRDefault="00535BED" w:rsidP="00736B28">
            <w:pPr>
              <w:spacing w:after="0" w:line="240" w:lineRule="auto"/>
              <w:jc w:val="center"/>
              <w:rPr>
                <w:rFonts w:ascii="Cambria" w:hAnsi="Cambria"/>
                <w:sz w:val="20"/>
                <w:szCs w:val="20"/>
              </w:rPr>
            </w:pPr>
            <w:r w:rsidRPr="00E21688">
              <w:rPr>
                <w:rFonts w:ascii="Cambria" w:hAnsi="Cambria"/>
                <w:sz w:val="20"/>
                <w:szCs w:val="20"/>
              </w:rPr>
              <w:t>Medicine: US$173/ha/</w:t>
            </w:r>
            <w:proofErr w:type="spellStart"/>
            <w:r w:rsidRPr="00E21688">
              <w:rPr>
                <w:rFonts w:ascii="Cambria" w:hAnsi="Cambria"/>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t>
            </w:r>
            <w:proofErr w:type="spellStart"/>
            <w:r w:rsidRPr="00E21688">
              <w:rPr>
                <w:rFonts w:ascii="Cambria" w:eastAsia="Times New Roman" w:hAnsi="Cambria" w:cs="Times New Roman"/>
                <w:color w:val="000000"/>
                <w:sz w:val="20"/>
                <w:szCs w:val="20"/>
              </w:rPr>
              <w:t>Pernetta</w:t>
            </w:r>
            <w:proofErr w:type="spellEnd"/>
            <w:r w:rsidRPr="00E21688">
              <w:rPr>
                <w:rFonts w:ascii="Cambria" w:eastAsia="Times New Roman" w:hAnsi="Cambria" w:cs="Times New Roman"/>
                <w:color w:val="000000"/>
                <w:sz w:val="20"/>
                <w:szCs w:val="20"/>
              </w:rPr>
              <w:t xml:space="preserve"> et al. 2013)</w:t>
            </w:r>
          </w:p>
        </w:tc>
        <w:tc>
          <w:tcPr>
            <w:tcW w:w="1350" w:type="dxa"/>
            <w:tcBorders>
              <w:top w:val="nil"/>
              <w:left w:val="nil"/>
              <w:bottom w:val="single" w:sz="4" w:space="0" w:color="auto"/>
              <w:right w:val="single" w:sz="4" w:space="0" w:color="auto"/>
            </w:tcBorders>
            <w:shd w:val="clear" w:color="000000" w:fill="E2EFDA"/>
          </w:tcPr>
          <w:p w14:paraId="56DE0E3D"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1FD518F3"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4D2AE424"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57C85C48"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3C891AEF"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72DB286D"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017F05F5" w14:textId="4E276130"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3D22607" w14:textId="140FCFB6"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6EB1796B" w14:textId="6009D340" w:rsidTr="004368D7">
        <w:trPr>
          <w:trHeight w:val="422"/>
        </w:trPr>
        <w:tc>
          <w:tcPr>
            <w:tcW w:w="1440" w:type="dxa"/>
            <w:tcBorders>
              <w:top w:val="nil"/>
              <w:left w:val="single" w:sz="4" w:space="0" w:color="auto"/>
              <w:bottom w:val="single" w:sz="4" w:space="0" w:color="auto"/>
              <w:right w:val="single" w:sz="4" w:space="0" w:color="auto"/>
            </w:tcBorders>
            <w:shd w:val="clear" w:color="000000" w:fill="E2EFDA"/>
            <w:hideMark/>
          </w:tcPr>
          <w:p w14:paraId="0251574E" w14:textId="041EC552"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Raw material</w:t>
            </w:r>
          </w:p>
        </w:tc>
        <w:tc>
          <w:tcPr>
            <w:tcW w:w="1710" w:type="dxa"/>
            <w:tcBorders>
              <w:top w:val="nil"/>
              <w:left w:val="nil"/>
              <w:bottom w:val="single" w:sz="4" w:space="0" w:color="auto"/>
              <w:right w:val="single" w:sz="4" w:space="0" w:color="auto"/>
            </w:tcBorders>
            <w:shd w:val="clear" w:color="000000" w:fill="E2EFDA"/>
          </w:tcPr>
          <w:p w14:paraId="54B25E0A" w14:textId="30397EFC" w:rsidR="00535BED" w:rsidRPr="00761424" w:rsidRDefault="00535BED" w:rsidP="00736B28">
            <w:pPr>
              <w:spacing w:after="0" w:line="240" w:lineRule="auto"/>
              <w:jc w:val="center"/>
              <w:rPr>
                <w:rFonts w:ascii="Cambria" w:hAnsi="Cambria"/>
                <w:sz w:val="20"/>
                <w:szCs w:val="20"/>
              </w:rPr>
            </w:pPr>
            <w:r w:rsidRPr="00E21688">
              <w:rPr>
                <w:rFonts w:ascii="Cambria" w:hAnsi="Cambria"/>
                <w:sz w:val="20"/>
                <w:szCs w:val="20"/>
              </w:rPr>
              <w:t>Timber: US$73/ha/</w:t>
            </w:r>
            <w:proofErr w:type="spellStart"/>
            <w:r w:rsidRPr="00E21688">
              <w:rPr>
                <w:rFonts w:ascii="Cambria" w:hAnsi="Cambria"/>
                <w:sz w:val="20"/>
                <w:szCs w:val="20"/>
              </w:rPr>
              <w:t>yr</w:t>
            </w:r>
            <w:proofErr w:type="spellEnd"/>
            <w:r>
              <w:rPr>
                <w:rFonts w:ascii="Cambria" w:hAnsi="Cambria"/>
                <w:sz w:val="20"/>
                <w:szCs w:val="20"/>
              </w:rPr>
              <w:t xml:space="preserve">, </w:t>
            </w:r>
            <w:r w:rsidRPr="00E21688">
              <w:rPr>
                <w:rFonts w:ascii="Cambria" w:hAnsi="Cambria"/>
                <w:sz w:val="20"/>
                <w:szCs w:val="20"/>
              </w:rPr>
              <w:t>Firewood: US$2/ha/</w:t>
            </w:r>
            <w:proofErr w:type="spellStart"/>
            <w:r w:rsidRPr="00E21688">
              <w:rPr>
                <w:rFonts w:ascii="Cambria" w:hAnsi="Cambria"/>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t>
            </w:r>
            <w:proofErr w:type="spellStart"/>
            <w:r w:rsidRPr="00E21688">
              <w:rPr>
                <w:rFonts w:ascii="Cambria" w:eastAsia="Times New Roman" w:hAnsi="Cambria" w:cs="Times New Roman"/>
                <w:color w:val="000000"/>
                <w:sz w:val="20"/>
                <w:szCs w:val="20"/>
              </w:rPr>
              <w:t>Pernetta</w:t>
            </w:r>
            <w:proofErr w:type="spellEnd"/>
            <w:r w:rsidRPr="00E21688">
              <w:rPr>
                <w:rFonts w:ascii="Cambria" w:eastAsia="Times New Roman" w:hAnsi="Cambria" w:cs="Times New Roman"/>
                <w:color w:val="000000"/>
                <w:sz w:val="20"/>
                <w:szCs w:val="20"/>
              </w:rPr>
              <w:t xml:space="preserve"> et al. 2013)</w:t>
            </w:r>
          </w:p>
        </w:tc>
        <w:tc>
          <w:tcPr>
            <w:tcW w:w="1350" w:type="dxa"/>
            <w:tcBorders>
              <w:top w:val="nil"/>
              <w:left w:val="nil"/>
              <w:bottom w:val="single" w:sz="4" w:space="0" w:color="auto"/>
              <w:right w:val="single" w:sz="4" w:space="0" w:color="auto"/>
            </w:tcBorders>
            <w:shd w:val="clear" w:color="000000" w:fill="E2EFDA"/>
          </w:tcPr>
          <w:p w14:paraId="59CE84F1" w14:textId="745EB9DA" w:rsidR="00535BED" w:rsidRPr="00761424" w:rsidRDefault="00535BED" w:rsidP="00736B28">
            <w:pPr>
              <w:spacing w:after="0" w:line="240" w:lineRule="auto"/>
              <w:jc w:val="center"/>
              <w:rPr>
                <w:rFonts w:ascii="Cambria" w:hAnsi="Cambria"/>
                <w:sz w:val="20"/>
                <w:szCs w:val="20"/>
              </w:rPr>
            </w:pPr>
            <w:r w:rsidRPr="008D6B14">
              <w:rPr>
                <w:rFonts w:ascii="Cambria" w:eastAsia="Times New Roman" w:hAnsi="Cambria" w:cs="Times New Roman"/>
                <w:color w:val="000000"/>
                <w:sz w:val="20"/>
                <w:szCs w:val="20"/>
              </w:rPr>
              <w:t>SBD$ 2500-10 /household/</w:t>
            </w:r>
            <w:proofErr w:type="spellStart"/>
            <w:r w:rsidRPr="008D6B1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(Warren-Rhodes et al. 2011)</w:t>
            </w:r>
          </w:p>
        </w:tc>
        <w:tc>
          <w:tcPr>
            <w:tcW w:w="1350" w:type="dxa"/>
            <w:tcBorders>
              <w:top w:val="nil"/>
              <w:left w:val="nil"/>
              <w:bottom w:val="single" w:sz="4" w:space="0" w:color="auto"/>
              <w:right w:val="single" w:sz="4" w:space="0" w:color="auto"/>
            </w:tcBorders>
            <w:shd w:val="clear" w:color="000000" w:fill="E2EFDA"/>
          </w:tcPr>
          <w:p w14:paraId="62CEED30"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376E29E6" w14:textId="76D0F90A" w:rsidR="00535BED" w:rsidRPr="00761424" w:rsidRDefault="00535BED" w:rsidP="00736B28">
            <w:pPr>
              <w:spacing w:after="0" w:line="240" w:lineRule="auto"/>
              <w:jc w:val="center"/>
              <w:rPr>
                <w:rFonts w:ascii="Cambria" w:hAnsi="Cambria"/>
                <w:sz w:val="20"/>
                <w:szCs w:val="20"/>
              </w:rPr>
            </w:pPr>
            <w:r w:rsidRPr="00A057E7">
              <w:rPr>
                <w:rFonts w:ascii="Cambria" w:hAnsi="Cambria"/>
                <w:sz w:val="20"/>
                <w:szCs w:val="20"/>
              </w:rPr>
              <w:t>US$3714/household/year</w:t>
            </w:r>
            <w:r>
              <w:rPr>
                <w:rFonts w:ascii="Cambria" w:hAnsi="Cambria"/>
                <w:sz w:val="20"/>
                <w:szCs w:val="20"/>
              </w:rPr>
              <w:t xml:space="preserve"> (</w:t>
            </w:r>
            <w:proofErr w:type="spellStart"/>
            <w:r>
              <w:rPr>
                <w:rFonts w:ascii="Cambria" w:hAnsi="Cambria"/>
                <w:sz w:val="20"/>
                <w:szCs w:val="20"/>
              </w:rPr>
              <w:t>Adekola</w:t>
            </w:r>
            <w:proofErr w:type="spellEnd"/>
            <w:r>
              <w:rPr>
                <w:rFonts w:ascii="Cambria" w:hAnsi="Cambria"/>
                <w:sz w:val="20"/>
                <w:szCs w:val="20"/>
              </w:rPr>
              <w:t xml:space="preserve"> et al. 2015); </w:t>
            </w:r>
            <w:r w:rsidRPr="00743644">
              <w:rPr>
                <w:rFonts w:ascii="Cambria" w:hAnsi="Cambria"/>
                <w:sz w:val="20"/>
                <w:szCs w:val="20"/>
              </w:rPr>
              <w:t>US$ 4.2/ha/</w:t>
            </w:r>
            <w:proofErr w:type="spellStart"/>
            <w:r w:rsidRPr="00743644">
              <w:rPr>
                <w:rFonts w:ascii="Cambria" w:hAnsi="Cambria"/>
                <w:sz w:val="20"/>
                <w:szCs w:val="20"/>
              </w:rPr>
              <w:t>yr</w:t>
            </w:r>
            <w:proofErr w:type="spellEnd"/>
            <w:r w:rsidRPr="00743644">
              <w:rPr>
                <w:rFonts w:ascii="Cambria" w:hAnsi="Cambria"/>
                <w:sz w:val="20"/>
                <w:szCs w:val="20"/>
              </w:rPr>
              <w:t xml:space="preserve"> for timber, US$16.8/ha/</w:t>
            </w:r>
            <w:proofErr w:type="spellStart"/>
            <w:r w:rsidRPr="00743644">
              <w:rPr>
                <w:rFonts w:ascii="Cambria" w:hAnsi="Cambria"/>
                <w:sz w:val="20"/>
                <w:szCs w:val="20"/>
              </w:rPr>
              <w:t>yr</w:t>
            </w:r>
            <w:proofErr w:type="spellEnd"/>
            <w:r w:rsidRPr="00743644">
              <w:rPr>
                <w:rFonts w:ascii="Cambria" w:hAnsi="Cambria"/>
                <w:sz w:val="20"/>
                <w:szCs w:val="20"/>
              </w:rPr>
              <w:t xml:space="preserve"> for fuelwood</w:t>
            </w:r>
            <w:r>
              <w:rPr>
                <w:rFonts w:ascii="Cambria" w:hAnsi="Cambria"/>
                <w:sz w:val="20"/>
                <w:szCs w:val="20"/>
              </w:rPr>
              <w:t xml:space="preserve">, </w:t>
            </w:r>
            <w:r w:rsidRPr="00743644">
              <w:rPr>
                <w:rFonts w:ascii="Cambria" w:hAnsi="Cambria"/>
                <w:sz w:val="20"/>
                <w:szCs w:val="20"/>
              </w:rPr>
              <w:t>Apiculture: US$14.7/ha/</w:t>
            </w:r>
            <w:proofErr w:type="spellStart"/>
            <w:r w:rsidRPr="00743644">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Hoberg</w:t>
            </w:r>
            <w:proofErr w:type="spellEnd"/>
            <w:r>
              <w:rPr>
                <w:rFonts w:ascii="Cambria" w:hAnsi="Cambria"/>
                <w:sz w:val="20"/>
                <w:szCs w:val="20"/>
              </w:rPr>
              <w:t xml:space="preserve"> 2011); </w:t>
            </w:r>
            <w:r w:rsidRPr="00A057E7">
              <w:rPr>
                <w:rFonts w:ascii="Cambria" w:hAnsi="Cambria"/>
                <w:sz w:val="20"/>
                <w:szCs w:val="20"/>
              </w:rPr>
              <w:t>Timber products: US$2040/ha/</w:t>
            </w:r>
            <w:proofErr w:type="spellStart"/>
            <w:r w:rsidRPr="00A057E7">
              <w:rPr>
                <w:rFonts w:ascii="Cambria" w:hAnsi="Cambria"/>
                <w:sz w:val="20"/>
                <w:szCs w:val="20"/>
              </w:rPr>
              <w:t>yr</w:t>
            </w:r>
            <w:proofErr w:type="spellEnd"/>
            <w:r>
              <w:rPr>
                <w:rFonts w:ascii="Cambria" w:hAnsi="Cambria"/>
                <w:sz w:val="20"/>
                <w:szCs w:val="20"/>
              </w:rPr>
              <w:t xml:space="preserve"> (Quoc Vo et al. 2015)</w:t>
            </w:r>
          </w:p>
        </w:tc>
        <w:tc>
          <w:tcPr>
            <w:tcW w:w="1440" w:type="dxa"/>
            <w:tcBorders>
              <w:top w:val="single" w:sz="4" w:space="0" w:color="auto"/>
              <w:left w:val="nil"/>
              <w:bottom w:val="single" w:sz="4" w:space="0" w:color="auto"/>
              <w:right w:val="single" w:sz="4" w:space="0" w:color="auto"/>
            </w:tcBorders>
            <w:shd w:val="clear" w:color="000000" w:fill="E2EFDA"/>
          </w:tcPr>
          <w:p w14:paraId="1E0C8143" w14:textId="75B6FD95"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4D1D13">
              <w:rPr>
                <w:rFonts w:ascii="Cambria" w:eastAsia="Times New Roman" w:hAnsi="Cambria" w:cs="Times New Roman"/>
                <w:color w:val="000000"/>
                <w:sz w:val="20"/>
                <w:szCs w:val="20"/>
              </w:rPr>
              <w:t>Wood raw material</w:t>
            </w:r>
            <w:r w:rsidR="00736B28">
              <w:rPr>
                <w:rFonts w:ascii="Cambria" w:eastAsia="Times New Roman" w:hAnsi="Cambria" w:cs="Times New Roman"/>
                <w:color w:val="000000"/>
                <w:sz w:val="20"/>
                <w:szCs w:val="20"/>
              </w:rPr>
              <w:t>:</w:t>
            </w:r>
            <w:r w:rsidRPr="004D1D13">
              <w:rPr>
                <w:rFonts w:ascii="Cambria" w:eastAsia="Times New Roman" w:hAnsi="Cambria" w:cs="Times New Roman"/>
                <w:color w:val="000000"/>
                <w:sz w:val="20"/>
                <w:szCs w:val="20"/>
              </w:rPr>
              <w:t xml:space="preserve"> US$2,765/ha/</w:t>
            </w:r>
            <w:proofErr w:type="spellStart"/>
            <w:r w:rsidRPr="004D1D13">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Ajonina</w:t>
            </w:r>
            <w:proofErr w:type="spellEnd"/>
            <w:r>
              <w:rPr>
                <w:rFonts w:ascii="Cambria" w:eastAsia="Times New Roman" w:hAnsi="Cambria" w:cs="Times New Roman"/>
                <w:color w:val="000000"/>
                <w:sz w:val="20"/>
                <w:szCs w:val="20"/>
              </w:rPr>
              <w:t xml:space="preserve"> et al. 2014)</w:t>
            </w:r>
          </w:p>
        </w:tc>
        <w:tc>
          <w:tcPr>
            <w:tcW w:w="1350" w:type="dxa"/>
            <w:tcBorders>
              <w:top w:val="nil"/>
              <w:left w:val="single" w:sz="4" w:space="0" w:color="auto"/>
              <w:bottom w:val="single" w:sz="4" w:space="0" w:color="auto"/>
              <w:right w:val="single" w:sz="4" w:space="0" w:color="auto"/>
            </w:tcBorders>
            <w:shd w:val="clear" w:color="000000" w:fill="E2EFDA"/>
          </w:tcPr>
          <w:p w14:paraId="60C7AAA0" w14:textId="1E4B9CD4"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535BED">
              <w:rPr>
                <w:rFonts w:ascii="Cambria" w:eastAsia="Times New Roman" w:hAnsi="Cambria" w:cs="Times New Roman"/>
                <w:color w:val="000000"/>
                <w:sz w:val="20"/>
                <w:szCs w:val="20"/>
              </w:rPr>
              <w:t>Raw materials: Non-timber, non-fish (NTNF) mangrove products: MMK44,000/ha/</w:t>
            </w:r>
            <w:proofErr w:type="spellStart"/>
            <w:r w:rsidRPr="00535BED">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US$45.30 /ha/</w:t>
            </w:r>
            <w:proofErr w:type="spellStart"/>
            <w:r w:rsidRPr="00535BED">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(Emerton and Aung 2013); </w:t>
            </w:r>
            <w:r w:rsidRPr="00535BED">
              <w:rPr>
                <w:rFonts w:ascii="Cambria" w:eastAsia="Times New Roman" w:hAnsi="Cambria" w:cs="Times New Roman"/>
                <w:color w:val="000000"/>
                <w:sz w:val="20"/>
                <w:szCs w:val="20"/>
              </w:rPr>
              <w:t>timber forestry product</w:t>
            </w:r>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U$12/ha/year; non-timber forestry product</w:t>
            </w:r>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w:t>
            </w:r>
            <w:r>
              <w:rPr>
                <w:rFonts w:ascii="Cambria" w:eastAsia="Times New Roman" w:hAnsi="Cambria" w:cs="Times New Roman"/>
                <w:color w:val="000000"/>
                <w:sz w:val="20"/>
                <w:szCs w:val="20"/>
              </w:rPr>
              <w:t>S</w:t>
            </w:r>
            <w:r w:rsidRPr="00535BED">
              <w:rPr>
                <w:rFonts w:ascii="Cambria" w:eastAsia="Times New Roman" w:hAnsi="Cambria" w:cs="Times New Roman"/>
                <w:color w:val="000000"/>
                <w:sz w:val="20"/>
                <w:szCs w:val="20"/>
              </w:rPr>
              <w:t>$67.5/ha/year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Interweis</w:t>
            </w:r>
            <w:proofErr w:type="spellEnd"/>
            <w:r>
              <w:rPr>
                <w:rFonts w:ascii="Cambria" w:eastAsia="Times New Roman" w:hAnsi="Cambria" w:cs="Times New Roman"/>
                <w:color w:val="000000"/>
                <w:sz w:val="20"/>
                <w:szCs w:val="20"/>
              </w:rPr>
              <w:t xml:space="preserve"> and Gorlitz 2013); </w:t>
            </w:r>
            <w:r w:rsidRPr="00535BED">
              <w:rPr>
                <w:rFonts w:ascii="Cambria" w:eastAsia="Times New Roman" w:hAnsi="Cambria" w:cs="Times New Roman"/>
                <w:color w:val="000000"/>
                <w:sz w:val="20"/>
                <w:szCs w:val="20"/>
              </w:rPr>
              <w:t>Wood extraction</w:t>
            </w:r>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US$ 39233/ha/</w:t>
            </w:r>
            <w:proofErr w:type="spellStart"/>
            <w:r w:rsidRPr="00535BED">
              <w:rPr>
                <w:rFonts w:ascii="Cambria" w:eastAsia="Times New Roman" w:hAnsi="Cambria" w:cs="Times New Roman"/>
                <w:color w:val="000000"/>
                <w:sz w:val="20"/>
                <w:szCs w:val="20"/>
              </w:rPr>
              <w:t>yr</w:t>
            </w:r>
            <w:proofErr w:type="spellEnd"/>
            <w:r w:rsidRPr="00535BED">
              <w:rPr>
                <w:rFonts w:ascii="Cambria" w:eastAsia="Times New Roman" w:hAnsi="Cambria" w:cs="Times New Roman"/>
                <w:color w:val="000000"/>
                <w:sz w:val="20"/>
                <w:szCs w:val="20"/>
              </w:rPr>
              <w:t>; Int$US650</w:t>
            </w:r>
            <w:r>
              <w:rPr>
                <w:rFonts w:ascii="Cambria" w:eastAsia="Times New Roman" w:hAnsi="Cambria" w:cs="Times New Roman"/>
                <w:color w:val="000000"/>
                <w:sz w:val="20"/>
                <w:szCs w:val="20"/>
              </w:rPr>
              <w:t xml:space="preserve"> (Pascal and </w:t>
            </w:r>
            <w:proofErr w:type="spellStart"/>
            <w:r>
              <w:rPr>
                <w:rFonts w:ascii="Cambria" w:eastAsia="Times New Roman" w:hAnsi="Cambria" w:cs="Times New Roman"/>
                <w:color w:val="000000"/>
                <w:sz w:val="20"/>
                <w:szCs w:val="20"/>
              </w:rPr>
              <w:t>Bulu</w:t>
            </w:r>
            <w:proofErr w:type="spellEnd"/>
            <w:r>
              <w:rPr>
                <w:rFonts w:ascii="Cambria" w:eastAsia="Times New Roman" w:hAnsi="Cambria" w:cs="Times New Roman"/>
                <w:color w:val="000000"/>
                <w:sz w:val="20"/>
                <w:szCs w:val="20"/>
              </w:rPr>
              <w:t xml:space="preserve"> 2013)</w:t>
            </w:r>
          </w:p>
        </w:tc>
        <w:tc>
          <w:tcPr>
            <w:tcW w:w="1440" w:type="dxa"/>
            <w:tcBorders>
              <w:top w:val="nil"/>
              <w:left w:val="nil"/>
              <w:bottom w:val="single" w:sz="4" w:space="0" w:color="auto"/>
              <w:right w:val="single" w:sz="4" w:space="0" w:color="auto"/>
            </w:tcBorders>
            <w:shd w:val="clear" w:color="000000" w:fill="E2EFDA"/>
          </w:tcPr>
          <w:p w14:paraId="31CB2FBB" w14:textId="15D9EDD7" w:rsidR="007A56B5" w:rsidRPr="007A56B5" w:rsidRDefault="008A2A0F" w:rsidP="00736B28">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Firewood: US$26.60 /ha/year, Building materials: US$</w:t>
            </w:r>
            <w:r w:rsidR="00535BED" w:rsidRPr="00535BED">
              <w:rPr>
                <w:rFonts w:ascii="Cambria" w:eastAsia="Times New Roman" w:hAnsi="Cambria" w:cs="Times New Roman"/>
                <w:color w:val="000000"/>
                <w:sz w:val="20"/>
                <w:szCs w:val="20"/>
              </w:rPr>
              <w:t>14.94 /ha/year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Otieno</w:t>
            </w:r>
            <w:proofErr w:type="spellEnd"/>
            <w:r>
              <w:rPr>
                <w:rFonts w:ascii="Cambria" w:eastAsia="Times New Roman" w:hAnsi="Cambria" w:cs="Times New Roman"/>
                <w:color w:val="000000"/>
                <w:sz w:val="20"/>
                <w:szCs w:val="20"/>
              </w:rPr>
              <w:t xml:space="preserve"> 2015)</w:t>
            </w:r>
            <w:r w:rsidR="007A56B5">
              <w:rPr>
                <w:rFonts w:ascii="Cambria" w:eastAsia="Times New Roman" w:hAnsi="Cambria" w:cs="Times New Roman"/>
                <w:color w:val="000000"/>
                <w:sz w:val="20"/>
                <w:szCs w:val="20"/>
              </w:rPr>
              <w:t xml:space="preserve">, </w:t>
            </w:r>
            <w:r w:rsidR="007A56B5" w:rsidRPr="007A56B5">
              <w:rPr>
                <w:rFonts w:ascii="Cambria" w:eastAsia="Times New Roman" w:hAnsi="Cambria" w:cs="Times New Roman"/>
                <w:color w:val="000000"/>
                <w:sz w:val="20"/>
                <w:szCs w:val="20"/>
              </w:rPr>
              <w:t>Timber and fuel wood collection</w:t>
            </w:r>
            <w:r w:rsidR="00736B28">
              <w:rPr>
                <w:rFonts w:ascii="Cambria" w:eastAsia="Times New Roman" w:hAnsi="Cambria" w:cs="Times New Roman"/>
                <w:color w:val="000000"/>
                <w:sz w:val="20"/>
                <w:szCs w:val="20"/>
              </w:rPr>
              <w:t>:</w:t>
            </w:r>
            <w:r w:rsidR="007A56B5" w:rsidRPr="007A56B5">
              <w:rPr>
                <w:rFonts w:ascii="Cambria" w:eastAsia="Times New Roman" w:hAnsi="Cambria" w:cs="Times New Roman"/>
                <w:color w:val="000000"/>
                <w:sz w:val="20"/>
                <w:szCs w:val="20"/>
              </w:rPr>
              <w:t xml:space="preserve"> 3,544.74 Baht/Household/Year</w:t>
            </w:r>
          </w:p>
          <w:p w14:paraId="66E99A4F" w14:textId="088C6A36" w:rsidR="00535BED" w:rsidRPr="00761424"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Plan and herb collection</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4,704.62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21AE179C" w14:textId="00E20522" w:rsidR="00AF54B9" w:rsidRPr="00AF54B9"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Natural regeneration after clear felling - profitability</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$US369.91/ha</w:t>
            </w:r>
            <w:r>
              <w:rPr>
                <w:rFonts w:ascii="Cambria" w:eastAsia="Times New Roman" w:hAnsi="Cambria" w:cs="Times New Roman"/>
                <w:color w:val="000000"/>
                <w:sz w:val="20"/>
                <w:szCs w:val="20"/>
              </w:rPr>
              <w:t xml:space="preserve"> (Aziz et al. 2015)</w:t>
            </w:r>
            <w:r w:rsidR="00AF54B9">
              <w:rPr>
                <w:rFonts w:ascii="Cambria" w:eastAsia="Times New Roman" w:hAnsi="Cambria" w:cs="Times New Roman"/>
                <w:color w:val="000000"/>
                <w:sz w:val="20"/>
                <w:szCs w:val="20"/>
              </w:rPr>
              <w:t>; Timber, fuelwood, honey</w:t>
            </w:r>
            <w:r w:rsidR="00AF54B9" w:rsidRPr="007A56B5">
              <w:rPr>
                <w:rFonts w:ascii="Cambria" w:eastAsia="Times New Roman" w:hAnsi="Cambria" w:cs="Times New Roman"/>
                <w:color w:val="000000"/>
                <w:sz w:val="20"/>
                <w:szCs w:val="20"/>
              </w:rPr>
              <w:t>: US$206/ha/</w:t>
            </w:r>
            <w:proofErr w:type="spellStart"/>
            <w:r w:rsidR="00AF54B9" w:rsidRPr="007A56B5">
              <w:rPr>
                <w:rFonts w:ascii="Cambria" w:eastAsia="Times New Roman" w:hAnsi="Cambria" w:cs="Times New Roman"/>
                <w:color w:val="000000"/>
                <w:sz w:val="20"/>
                <w:szCs w:val="20"/>
              </w:rPr>
              <w:t>yr</w:t>
            </w:r>
            <w:proofErr w:type="spellEnd"/>
            <w:r w:rsidR="00AF54B9">
              <w:rPr>
                <w:rFonts w:ascii="Cambria" w:eastAsia="Times New Roman" w:hAnsi="Cambria" w:cs="Times New Roman"/>
                <w:color w:val="000000"/>
                <w:sz w:val="20"/>
                <w:szCs w:val="20"/>
              </w:rPr>
              <w:t xml:space="preserve"> (</w:t>
            </w:r>
            <w:proofErr w:type="spellStart"/>
            <w:r w:rsidR="00AF54B9">
              <w:rPr>
                <w:rFonts w:ascii="Cambria" w:eastAsia="Times New Roman" w:hAnsi="Cambria" w:cs="Times New Roman"/>
                <w:color w:val="000000"/>
                <w:sz w:val="20"/>
                <w:szCs w:val="20"/>
              </w:rPr>
              <w:t>Huxham</w:t>
            </w:r>
            <w:proofErr w:type="spellEnd"/>
            <w:r w:rsidR="00AF54B9">
              <w:rPr>
                <w:rFonts w:ascii="Cambria" w:eastAsia="Times New Roman" w:hAnsi="Cambria" w:cs="Times New Roman"/>
                <w:color w:val="000000"/>
                <w:sz w:val="20"/>
                <w:szCs w:val="20"/>
              </w:rPr>
              <w:t xml:space="preserve"> et al. 2015); </w:t>
            </w:r>
            <w:r w:rsidR="00AF54B9" w:rsidRPr="00AF54B9">
              <w:rPr>
                <w:rFonts w:ascii="Cambria" w:eastAsia="Times New Roman" w:hAnsi="Cambria" w:cs="Times New Roman"/>
                <w:color w:val="000000"/>
                <w:sz w:val="20"/>
                <w:szCs w:val="20"/>
              </w:rPr>
              <w:t>Willingness to accept mangrove conservation with a decrease in mangrove wood collection from 10 bundles/trip to 5 bundles or 3 bundles/trip: 103924-116602 IRR/household/day or US$3.77-</w:t>
            </w:r>
            <w:r w:rsidR="00AF54B9" w:rsidRPr="00AF54B9">
              <w:rPr>
                <w:rFonts w:ascii="Cambria" w:eastAsia="Times New Roman" w:hAnsi="Cambria" w:cs="Times New Roman"/>
                <w:color w:val="000000"/>
                <w:sz w:val="20"/>
                <w:szCs w:val="20"/>
              </w:rPr>
              <w:lastRenderedPageBreak/>
              <w:t>4.23/household/day</w:t>
            </w:r>
            <w:r w:rsidR="00AF54B9">
              <w:rPr>
                <w:rFonts w:ascii="Cambria" w:eastAsia="Times New Roman" w:hAnsi="Cambria" w:cs="Times New Roman"/>
                <w:color w:val="000000"/>
                <w:sz w:val="20"/>
                <w:szCs w:val="20"/>
              </w:rPr>
              <w:t xml:space="preserve"> (</w:t>
            </w:r>
            <w:proofErr w:type="spellStart"/>
            <w:r w:rsidR="00AF54B9">
              <w:rPr>
                <w:rFonts w:ascii="Cambria" w:eastAsia="Times New Roman" w:hAnsi="Cambria" w:cs="Times New Roman"/>
                <w:color w:val="000000"/>
                <w:sz w:val="20"/>
                <w:szCs w:val="20"/>
              </w:rPr>
              <w:t>Mashayekhi</w:t>
            </w:r>
            <w:proofErr w:type="spellEnd"/>
            <w:r w:rsidR="00AF54B9">
              <w:rPr>
                <w:rFonts w:ascii="Cambria" w:eastAsia="Times New Roman" w:hAnsi="Cambria" w:cs="Times New Roman"/>
                <w:color w:val="000000"/>
                <w:sz w:val="20"/>
                <w:szCs w:val="20"/>
              </w:rPr>
              <w:t xml:space="preserve"> et al. 2016); </w:t>
            </w:r>
            <w:r w:rsidR="00AF54B9" w:rsidRPr="00AF54B9">
              <w:rPr>
                <w:rFonts w:ascii="Cambria" w:eastAsia="Times New Roman" w:hAnsi="Cambria" w:cs="Times New Roman"/>
                <w:color w:val="000000"/>
                <w:sz w:val="20"/>
                <w:szCs w:val="20"/>
              </w:rPr>
              <w:t>Fuelwood: US$54.81-98.02/household/</w:t>
            </w:r>
            <w:proofErr w:type="spellStart"/>
            <w:r w:rsidR="00AF54B9" w:rsidRPr="00AF54B9">
              <w:rPr>
                <w:rFonts w:ascii="Cambria" w:eastAsia="Times New Roman" w:hAnsi="Cambria" w:cs="Times New Roman"/>
                <w:color w:val="000000"/>
                <w:sz w:val="20"/>
                <w:szCs w:val="20"/>
              </w:rPr>
              <w:t>yr</w:t>
            </w:r>
            <w:proofErr w:type="spellEnd"/>
            <w:r w:rsidR="00AF54B9">
              <w:rPr>
                <w:rFonts w:ascii="Cambria" w:eastAsia="Times New Roman" w:hAnsi="Cambria" w:cs="Times New Roman"/>
                <w:color w:val="000000"/>
                <w:sz w:val="20"/>
                <w:szCs w:val="20"/>
              </w:rPr>
              <w:t>,</w:t>
            </w:r>
          </w:p>
          <w:p w14:paraId="184A1FC5" w14:textId="7779EC50" w:rsidR="00535BED" w:rsidRPr="00761424"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t>Poles for construction materials: US$615.37/household/</w:t>
            </w:r>
            <w:proofErr w:type="spellStart"/>
            <w:r w:rsidRPr="00AF54B9">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Sopheak</w:t>
            </w:r>
            <w:proofErr w:type="spellEnd"/>
            <w:r>
              <w:rPr>
                <w:rFonts w:ascii="Cambria" w:eastAsia="Times New Roman" w:hAnsi="Cambria" w:cs="Times New Roman"/>
                <w:color w:val="000000"/>
                <w:sz w:val="20"/>
                <w:szCs w:val="20"/>
              </w:rPr>
              <w:t xml:space="preserve"> and </w:t>
            </w:r>
            <w:proofErr w:type="spellStart"/>
            <w:r>
              <w:rPr>
                <w:rFonts w:ascii="Cambria" w:eastAsia="Times New Roman" w:hAnsi="Cambria" w:cs="Times New Roman"/>
                <w:color w:val="000000"/>
                <w:sz w:val="20"/>
                <w:szCs w:val="20"/>
              </w:rPr>
              <w:t>Hoeurn</w:t>
            </w:r>
            <w:proofErr w:type="spellEnd"/>
            <w:r>
              <w:rPr>
                <w:rFonts w:ascii="Cambria" w:eastAsia="Times New Roman" w:hAnsi="Cambria" w:cs="Times New Roman"/>
                <w:color w:val="000000"/>
                <w:sz w:val="20"/>
                <w:szCs w:val="20"/>
              </w:rPr>
              <w:t xml:space="preserve"> 2016)</w:t>
            </w:r>
          </w:p>
        </w:tc>
        <w:tc>
          <w:tcPr>
            <w:tcW w:w="1350" w:type="dxa"/>
            <w:tcBorders>
              <w:top w:val="nil"/>
              <w:left w:val="nil"/>
              <w:bottom w:val="single" w:sz="4" w:space="0" w:color="auto"/>
              <w:right w:val="single" w:sz="4" w:space="0" w:color="auto"/>
            </w:tcBorders>
            <w:shd w:val="clear" w:color="000000" w:fill="E2EFDA"/>
          </w:tcPr>
          <w:p w14:paraId="73FA3010" w14:textId="282987D1"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2F162133" w14:textId="6012D2A4" w:rsidTr="004368D7">
        <w:trPr>
          <w:trHeight w:val="719"/>
        </w:trPr>
        <w:tc>
          <w:tcPr>
            <w:tcW w:w="1440" w:type="dxa"/>
            <w:tcBorders>
              <w:top w:val="nil"/>
              <w:left w:val="single" w:sz="4" w:space="0" w:color="auto"/>
              <w:bottom w:val="single" w:sz="4" w:space="0" w:color="auto"/>
              <w:right w:val="single" w:sz="4" w:space="0" w:color="auto"/>
            </w:tcBorders>
            <w:shd w:val="clear" w:color="000000" w:fill="A8D08D"/>
            <w:hideMark/>
          </w:tcPr>
          <w:p w14:paraId="298BE832" w14:textId="402C7203"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Regulating services</w:t>
            </w:r>
          </w:p>
        </w:tc>
        <w:tc>
          <w:tcPr>
            <w:tcW w:w="1710" w:type="dxa"/>
            <w:tcBorders>
              <w:top w:val="nil"/>
              <w:left w:val="nil"/>
              <w:bottom w:val="single" w:sz="4" w:space="0" w:color="auto"/>
              <w:right w:val="single" w:sz="4" w:space="0" w:color="auto"/>
            </w:tcBorders>
            <w:shd w:val="clear" w:color="000000" w:fill="A8D08D"/>
          </w:tcPr>
          <w:p w14:paraId="1DCDA52B"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754637A9"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21D254D1"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A8D08D"/>
          </w:tcPr>
          <w:p w14:paraId="1D0CAAAC"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A8D08D"/>
          </w:tcPr>
          <w:p w14:paraId="492FA477"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A8D08D"/>
          </w:tcPr>
          <w:p w14:paraId="43C54D2F"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A8D08D"/>
          </w:tcPr>
          <w:p w14:paraId="032EE9C2"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09FC4CAC" w14:textId="2AD1AEE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4D27CF18" w14:textId="2896E719"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43C0D4CC" w14:textId="0B40ACAE" w:rsidTr="004368D7">
        <w:trPr>
          <w:trHeight w:val="701"/>
        </w:trPr>
        <w:tc>
          <w:tcPr>
            <w:tcW w:w="1440" w:type="dxa"/>
            <w:tcBorders>
              <w:top w:val="nil"/>
              <w:left w:val="single" w:sz="4" w:space="0" w:color="auto"/>
              <w:bottom w:val="single" w:sz="4" w:space="0" w:color="auto"/>
              <w:right w:val="single" w:sz="4" w:space="0" w:color="auto"/>
            </w:tcBorders>
            <w:shd w:val="clear" w:color="000000" w:fill="E2EFDA"/>
            <w:hideMark/>
          </w:tcPr>
          <w:p w14:paraId="7F047CA3" w14:textId="3CA91825"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Waste treatment</w:t>
            </w:r>
          </w:p>
        </w:tc>
        <w:tc>
          <w:tcPr>
            <w:tcW w:w="1710" w:type="dxa"/>
            <w:tcBorders>
              <w:top w:val="nil"/>
              <w:left w:val="nil"/>
              <w:bottom w:val="single" w:sz="4" w:space="0" w:color="auto"/>
              <w:right w:val="single" w:sz="4" w:space="0" w:color="auto"/>
            </w:tcBorders>
            <w:shd w:val="clear" w:color="000000" w:fill="E2EFDA"/>
          </w:tcPr>
          <w:p w14:paraId="5B29ED4B" w14:textId="77777777" w:rsidR="00535BED" w:rsidRPr="000E2ED3"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28134CE"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61D3A584"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0F819B56"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2281E654"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6C6DF835" w14:textId="50BA1F4E"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535BED">
              <w:rPr>
                <w:rFonts w:ascii="Cambria" w:eastAsia="Times New Roman" w:hAnsi="Cambria" w:cs="Times New Roman"/>
                <w:color w:val="000000"/>
                <w:sz w:val="20"/>
                <w:szCs w:val="20"/>
              </w:rPr>
              <w:t>US$30.80/ha/year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Interweis</w:t>
            </w:r>
            <w:proofErr w:type="spellEnd"/>
            <w:r>
              <w:rPr>
                <w:rFonts w:ascii="Cambria" w:eastAsia="Times New Roman" w:hAnsi="Cambria" w:cs="Times New Roman"/>
                <w:color w:val="000000"/>
                <w:sz w:val="20"/>
                <w:szCs w:val="20"/>
              </w:rPr>
              <w:t xml:space="preserve"> and Gorlitz 2013)</w:t>
            </w:r>
          </w:p>
        </w:tc>
        <w:tc>
          <w:tcPr>
            <w:tcW w:w="1440" w:type="dxa"/>
            <w:tcBorders>
              <w:top w:val="nil"/>
              <w:left w:val="nil"/>
              <w:bottom w:val="single" w:sz="4" w:space="0" w:color="auto"/>
              <w:right w:val="single" w:sz="4" w:space="0" w:color="auto"/>
            </w:tcBorders>
            <w:shd w:val="clear" w:color="000000" w:fill="E2EFDA"/>
          </w:tcPr>
          <w:p w14:paraId="51D80556" w14:textId="041BC86B" w:rsidR="00535BED" w:rsidRPr="00761424"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8,819.89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 </w:t>
            </w:r>
            <w:r w:rsidRPr="007A56B5">
              <w:rPr>
                <w:rFonts w:ascii="Cambria" w:eastAsia="Times New Roman" w:hAnsi="Cambria" w:cs="Times New Roman"/>
                <w:color w:val="000000"/>
                <w:sz w:val="20"/>
                <w:szCs w:val="20"/>
              </w:rPr>
              <w:t>Industrial and domestic wastewater treatment value</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119.57 million Indian rupees/</w:t>
            </w:r>
            <w:proofErr w:type="spellStart"/>
            <w:r w:rsidRPr="007A56B5">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21,200.35 Indian rupees/ha/</w:t>
            </w:r>
            <w:proofErr w:type="spellStart"/>
            <w:r w:rsidRPr="007A56B5">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Everard</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7A30F8AC" w14:textId="39CA573F"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4B2D4456" w14:textId="72B8F558"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2795588A" w14:textId="22A368C4" w:rsidTr="004368D7">
        <w:trPr>
          <w:trHeight w:val="1061"/>
        </w:trPr>
        <w:tc>
          <w:tcPr>
            <w:tcW w:w="1440" w:type="dxa"/>
            <w:tcBorders>
              <w:top w:val="nil"/>
              <w:left w:val="single" w:sz="4" w:space="0" w:color="auto"/>
              <w:bottom w:val="single" w:sz="4" w:space="0" w:color="auto"/>
              <w:right w:val="single" w:sz="4" w:space="0" w:color="auto"/>
            </w:tcBorders>
            <w:shd w:val="clear" w:color="000000" w:fill="E2EFDA"/>
            <w:hideMark/>
          </w:tcPr>
          <w:p w14:paraId="57B068C1" w14:textId="51D9055E"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lastRenderedPageBreak/>
              <w:t>Moderation of extreme events</w:t>
            </w:r>
          </w:p>
        </w:tc>
        <w:tc>
          <w:tcPr>
            <w:tcW w:w="1710" w:type="dxa"/>
            <w:tcBorders>
              <w:top w:val="nil"/>
              <w:left w:val="nil"/>
              <w:bottom w:val="single" w:sz="4" w:space="0" w:color="auto"/>
              <w:right w:val="single" w:sz="4" w:space="0" w:color="auto"/>
            </w:tcBorders>
            <w:shd w:val="clear" w:color="000000" w:fill="E2EFDA"/>
          </w:tcPr>
          <w:p w14:paraId="369A3918" w14:textId="795EA668"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E21688">
              <w:rPr>
                <w:rFonts w:ascii="Cambria" w:eastAsia="Times New Roman" w:hAnsi="Cambria" w:cs="Times New Roman"/>
                <w:color w:val="000000"/>
                <w:sz w:val="20"/>
                <w:szCs w:val="20"/>
              </w:rPr>
              <w:t>Coastal protection: US$444/ha/</w:t>
            </w:r>
            <w:proofErr w:type="spellStart"/>
            <w:r w:rsidRPr="00E21688">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Windbreak: US$7/ha/</w:t>
            </w:r>
            <w:proofErr w:type="spellStart"/>
            <w:r w:rsidRPr="00E21688">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t>
            </w:r>
            <w:proofErr w:type="spellStart"/>
            <w:r w:rsidRPr="00E21688">
              <w:rPr>
                <w:rFonts w:ascii="Cambria" w:eastAsia="Times New Roman" w:hAnsi="Cambria" w:cs="Times New Roman"/>
                <w:color w:val="000000"/>
                <w:sz w:val="20"/>
                <w:szCs w:val="20"/>
              </w:rPr>
              <w:t>Pernetta</w:t>
            </w:r>
            <w:proofErr w:type="spellEnd"/>
            <w:r w:rsidRPr="00E21688">
              <w:rPr>
                <w:rFonts w:ascii="Cambria" w:eastAsia="Times New Roman" w:hAnsi="Cambria" w:cs="Times New Roman"/>
                <w:color w:val="000000"/>
                <w:sz w:val="20"/>
                <w:szCs w:val="20"/>
              </w:rPr>
              <w:t xml:space="preserve"> et al. 2013)</w:t>
            </w:r>
          </w:p>
        </w:tc>
        <w:tc>
          <w:tcPr>
            <w:tcW w:w="1350" w:type="dxa"/>
            <w:tcBorders>
              <w:top w:val="nil"/>
              <w:left w:val="nil"/>
              <w:bottom w:val="single" w:sz="4" w:space="0" w:color="auto"/>
              <w:right w:val="single" w:sz="4" w:space="0" w:color="auto"/>
            </w:tcBorders>
            <w:shd w:val="clear" w:color="000000" w:fill="E2EFDA"/>
          </w:tcPr>
          <w:p w14:paraId="558D2CA7"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23F6E1D4"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51424FB7" w14:textId="3E5DA008"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743644">
              <w:rPr>
                <w:rFonts w:ascii="Cambria" w:eastAsia="Times New Roman" w:hAnsi="Cambria" w:cs="Times New Roman"/>
                <w:color w:val="000000"/>
                <w:sz w:val="20"/>
                <w:szCs w:val="20"/>
              </w:rPr>
              <w:t>Shoreline protection: US$91.7/ha/</w:t>
            </w:r>
            <w:proofErr w:type="spellStart"/>
            <w:r w:rsidRPr="0074364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Hoberg</w:t>
            </w:r>
            <w:proofErr w:type="spellEnd"/>
            <w:r>
              <w:rPr>
                <w:rFonts w:ascii="Cambria" w:eastAsia="Times New Roman" w:hAnsi="Cambria" w:cs="Times New Roman"/>
                <w:color w:val="000000"/>
                <w:sz w:val="20"/>
                <w:szCs w:val="20"/>
              </w:rPr>
              <w:t xml:space="preserve"> 2011); </w:t>
            </w:r>
            <w:r w:rsidRPr="00743644">
              <w:rPr>
                <w:rFonts w:ascii="Cambria" w:eastAsia="Times New Roman" w:hAnsi="Cambria" w:cs="Times New Roman"/>
                <w:color w:val="000000"/>
                <w:sz w:val="20"/>
                <w:szCs w:val="20"/>
              </w:rPr>
              <w:t xml:space="preserve">1x4 </w:t>
            </w:r>
            <w:proofErr w:type="spellStart"/>
            <w:r w:rsidRPr="00743644">
              <w:rPr>
                <w:rFonts w:ascii="Cambria" w:eastAsia="Times New Roman" w:hAnsi="Cambria" w:cs="Times New Roman"/>
                <w:color w:val="000000"/>
                <w:sz w:val="20"/>
                <w:szCs w:val="20"/>
              </w:rPr>
              <w:t>yrs</w:t>
            </w:r>
            <w:proofErr w:type="spellEnd"/>
            <w:r w:rsidR="00736B28">
              <w:rPr>
                <w:rFonts w:ascii="Cambria" w:eastAsia="Times New Roman" w:hAnsi="Cambria" w:cs="Times New Roman"/>
                <w:color w:val="000000"/>
                <w:sz w:val="20"/>
                <w:szCs w:val="20"/>
              </w:rPr>
              <w:t>:</w:t>
            </w:r>
            <w:r w:rsidRPr="00743644">
              <w:rPr>
                <w:rFonts w:ascii="Cambria" w:eastAsia="Times New Roman" w:hAnsi="Cambria" w:cs="Times New Roman"/>
                <w:color w:val="000000"/>
                <w:sz w:val="20"/>
                <w:szCs w:val="20"/>
              </w:rPr>
              <w:t xml:space="preserve"> 4130 MGA/individual; 1x/5 </w:t>
            </w:r>
            <w:proofErr w:type="spellStart"/>
            <w:r w:rsidRPr="00743644">
              <w:rPr>
                <w:rFonts w:ascii="Cambria" w:eastAsia="Times New Roman" w:hAnsi="Cambria" w:cs="Times New Roman"/>
                <w:color w:val="000000"/>
                <w:sz w:val="20"/>
                <w:szCs w:val="20"/>
              </w:rPr>
              <w:t>yrs</w:t>
            </w:r>
            <w:proofErr w:type="spellEnd"/>
            <w:r w:rsidR="00736B28">
              <w:rPr>
                <w:rFonts w:ascii="Cambria" w:eastAsia="Times New Roman" w:hAnsi="Cambria" w:cs="Times New Roman"/>
                <w:color w:val="000000"/>
                <w:sz w:val="20"/>
                <w:szCs w:val="20"/>
              </w:rPr>
              <w:t>:</w:t>
            </w:r>
            <w:r w:rsidRPr="00743644">
              <w:rPr>
                <w:rFonts w:ascii="Cambria" w:eastAsia="Times New Roman" w:hAnsi="Cambria" w:cs="Times New Roman"/>
                <w:color w:val="000000"/>
                <w:sz w:val="20"/>
                <w:szCs w:val="20"/>
              </w:rPr>
              <w:t xml:space="preserve"> 14990 MGA/individual</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Oleson</w:t>
            </w:r>
            <w:proofErr w:type="spellEnd"/>
            <w:r>
              <w:rPr>
                <w:rFonts w:ascii="Cambria" w:eastAsia="Times New Roman" w:hAnsi="Cambria" w:cs="Times New Roman"/>
                <w:color w:val="000000"/>
                <w:sz w:val="20"/>
                <w:szCs w:val="20"/>
              </w:rPr>
              <w:t xml:space="preserve"> et al. 2015); </w:t>
            </w:r>
            <w:r w:rsidRPr="00A057E7">
              <w:rPr>
                <w:rFonts w:ascii="Cambria" w:eastAsia="Times New Roman" w:hAnsi="Cambria" w:cs="Times New Roman"/>
                <w:color w:val="000000"/>
                <w:sz w:val="20"/>
                <w:szCs w:val="20"/>
              </w:rPr>
              <w:t>Storm protection/erosion: US$660/ha/</w:t>
            </w:r>
            <w:proofErr w:type="spellStart"/>
            <w:r w:rsidRPr="00A057E7">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(Quoc Vo et al. 2015); </w:t>
            </w:r>
            <w:r w:rsidRPr="00A057E7">
              <w:rPr>
                <w:rFonts w:ascii="Cambria" w:eastAsia="Times New Roman" w:hAnsi="Cambria" w:cs="Times New Roman"/>
                <w:color w:val="000000"/>
                <w:sz w:val="20"/>
                <w:szCs w:val="20"/>
              </w:rPr>
              <w:t>Coastal protection</w:t>
            </w:r>
            <w:r w:rsidR="00736B28">
              <w:rPr>
                <w:rFonts w:ascii="Cambria" w:eastAsia="Times New Roman" w:hAnsi="Cambria" w:cs="Times New Roman"/>
                <w:color w:val="000000"/>
                <w:sz w:val="20"/>
                <w:szCs w:val="20"/>
              </w:rPr>
              <w:t>:</w:t>
            </w:r>
            <w:r w:rsidRPr="00A057E7">
              <w:rPr>
                <w:rFonts w:ascii="Cambria" w:eastAsia="Times New Roman" w:hAnsi="Cambria" w:cs="Times New Roman"/>
                <w:color w:val="000000"/>
                <w:sz w:val="20"/>
                <w:szCs w:val="20"/>
              </w:rPr>
              <w:t xml:space="preserve"> US$1,356.66</w:t>
            </w:r>
            <w:r>
              <w:rPr>
                <w:rFonts w:ascii="Cambria" w:eastAsia="Times New Roman" w:hAnsi="Cambria" w:cs="Times New Roman"/>
                <w:color w:val="000000"/>
                <w:sz w:val="20"/>
                <w:szCs w:val="20"/>
              </w:rPr>
              <w:t>-</w:t>
            </w:r>
            <w:r w:rsidRPr="00A057E7">
              <w:rPr>
                <w:rFonts w:ascii="Cambria" w:eastAsia="Times New Roman" w:hAnsi="Cambria" w:cs="Times New Roman"/>
                <w:color w:val="000000"/>
                <w:sz w:val="20"/>
                <w:szCs w:val="20"/>
              </w:rPr>
              <w:t>1,631ha/</w:t>
            </w:r>
            <w:proofErr w:type="spellStart"/>
            <w:r w:rsidRPr="00A057E7">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(Burgess et al. 2015)</w:t>
            </w:r>
          </w:p>
        </w:tc>
        <w:tc>
          <w:tcPr>
            <w:tcW w:w="1440" w:type="dxa"/>
            <w:tcBorders>
              <w:top w:val="single" w:sz="4" w:space="0" w:color="auto"/>
              <w:left w:val="nil"/>
              <w:bottom w:val="single" w:sz="4" w:space="0" w:color="auto"/>
              <w:right w:val="single" w:sz="4" w:space="0" w:color="auto"/>
            </w:tcBorders>
            <w:shd w:val="clear" w:color="000000" w:fill="E2EFDA"/>
          </w:tcPr>
          <w:p w14:paraId="3D999AC0"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48D297BC" w14:textId="064C8DBB"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4D1D13">
              <w:rPr>
                <w:rFonts w:ascii="Cambria" w:eastAsia="Times New Roman" w:hAnsi="Cambria" w:cs="Times New Roman"/>
                <w:color w:val="000000"/>
                <w:sz w:val="20"/>
                <w:szCs w:val="20"/>
              </w:rPr>
              <w:t>Disturbance regulation: NZ$4,909.81/ha/</w:t>
            </w:r>
            <w:proofErr w:type="spellStart"/>
            <w:r w:rsidRPr="004D1D13">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(Patterson and Cole 2013); </w:t>
            </w:r>
            <w:r w:rsidRPr="00535BED">
              <w:rPr>
                <w:rFonts w:ascii="Cambria" w:eastAsia="Times New Roman" w:hAnsi="Cambria" w:cs="Times New Roman"/>
                <w:color w:val="000000"/>
                <w:sz w:val="20"/>
                <w:szCs w:val="20"/>
              </w:rPr>
              <w:t>Coastal protection: MMK 621,000/ha/</w:t>
            </w:r>
            <w:proofErr w:type="spellStart"/>
            <w:r w:rsidRPr="00535BED">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US$639.35 /ha/</w:t>
            </w:r>
            <w:proofErr w:type="spellStart"/>
            <w:r w:rsidRPr="00535BED">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(Emerton and Aung 2013); </w:t>
            </w:r>
            <w:r w:rsidRPr="00535BED">
              <w:rPr>
                <w:rFonts w:ascii="Cambria" w:eastAsia="Times New Roman" w:hAnsi="Cambria" w:cs="Times New Roman"/>
                <w:color w:val="000000"/>
                <w:sz w:val="20"/>
                <w:szCs w:val="20"/>
              </w:rPr>
              <w:t>Moderation of extreme events and Erosion prevention: US$1340.60/ha/year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Interweis</w:t>
            </w:r>
            <w:proofErr w:type="spellEnd"/>
            <w:r>
              <w:rPr>
                <w:rFonts w:ascii="Cambria" w:eastAsia="Times New Roman" w:hAnsi="Cambria" w:cs="Times New Roman"/>
                <w:color w:val="000000"/>
                <w:sz w:val="20"/>
                <w:szCs w:val="20"/>
              </w:rPr>
              <w:t xml:space="preserve"> and Gorlitz 2013); </w:t>
            </w:r>
            <w:r w:rsidRPr="00535BED">
              <w:rPr>
                <w:rFonts w:ascii="Cambria" w:eastAsia="Times New Roman" w:hAnsi="Cambria" w:cs="Times New Roman"/>
                <w:color w:val="000000"/>
                <w:sz w:val="20"/>
                <w:szCs w:val="20"/>
              </w:rPr>
              <w:t>Coastal protection against floods</w:t>
            </w:r>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US$ 5644/ha/</w:t>
            </w:r>
            <w:proofErr w:type="spellStart"/>
            <w:r w:rsidRPr="00535BED">
              <w:rPr>
                <w:rFonts w:ascii="Cambria" w:eastAsia="Times New Roman" w:hAnsi="Cambria" w:cs="Times New Roman"/>
                <w:color w:val="000000"/>
                <w:sz w:val="20"/>
                <w:szCs w:val="20"/>
              </w:rPr>
              <w:t>yr</w:t>
            </w:r>
            <w:proofErr w:type="spellEnd"/>
            <w:r w:rsidRPr="00535BED">
              <w:rPr>
                <w:rFonts w:ascii="Cambria" w:eastAsia="Times New Roman" w:hAnsi="Cambria" w:cs="Times New Roman"/>
                <w:color w:val="000000"/>
                <w:sz w:val="20"/>
                <w:szCs w:val="20"/>
              </w:rPr>
              <w:t>; Int$US93</w:t>
            </w:r>
            <w:r>
              <w:rPr>
                <w:rFonts w:ascii="Cambria" w:eastAsia="Times New Roman" w:hAnsi="Cambria" w:cs="Times New Roman"/>
                <w:color w:val="000000"/>
                <w:sz w:val="20"/>
                <w:szCs w:val="20"/>
              </w:rPr>
              <w:t xml:space="preserve"> (Pascal and </w:t>
            </w:r>
            <w:proofErr w:type="spellStart"/>
            <w:r>
              <w:rPr>
                <w:rFonts w:ascii="Cambria" w:eastAsia="Times New Roman" w:hAnsi="Cambria" w:cs="Times New Roman"/>
                <w:color w:val="000000"/>
                <w:sz w:val="20"/>
                <w:szCs w:val="20"/>
              </w:rPr>
              <w:t>Bulu</w:t>
            </w:r>
            <w:proofErr w:type="spellEnd"/>
            <w:r>
              <w:rPr>
                <w:rFonts w:ascii="Cambria" w:eastAsia="Times New Roman" w:hAnsi="Cambria" w:cs="Times New Roman"/>
                <w:color w:val="000000"/>
                <w:sz w:val="20"/>
                <w:szCs w:val="20"/>
              </w:rPr>
              <w:t xml:space="preserve"> 2013)</w:t>
            </w:r>
          </w:p>
        </w:tc>
        <w:tc>
          <w:tcPr>
            <w:tcW w:w="1440" w:type="dxa"/>
            <w:tcBorders>
              <w:top w:val="nil"/>
              <w:left w:val="nil"/>
              <w:bottom w:val="single" w:sz="4" w:space="0" w:color="auto"/>
              <w:right w:val="single" w:sz="4" w:space="0" w:color="auto"/>
            </w:tcBorders>
            <w:shd w:val="clear" w:color="000000" w:fill="E2EFDA"/>
          </w:tcPr>
          <w:p w14:paraId="5213D4EC" w14:textId="2FC7BE57" w:rsidR="00535BED" w:rsidRPr="00761424" w:rsidRDefault="007A56B5" w:rsidP="00736B28">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Coastal protection:</w:t>
            </w:r>
            <w:r w:rsidRPr="007A56B5">
              <w:rPr>
                <w:rFonts w:ascii="Cambria" w:eastAsia="Times New Roman" w:hAnsi="Cambria" w:cs="Times New Roman"/>
                <w:color w:val="000000"/>
                <w:sz w:val="20"/>
                <w:szCs w:val="20"/>
              </w:rPr>
              <w:t xml:space="preserve"> 11,490.39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 </w:t>
            </w:r>
            <w:r w:rsidRPr="007A56B5">
              <w:rPr>
                <w:rFonts w:ascii="Cambria" w:eastAsia="Times New Roman" w:hAnsi="Cambria" w:cs="Times New Roman"/>
                <w:color w:val="000000"/>
                <w:sz w:val="20"/>
                <w:szCs w:val="20"/>
              </w:rPr>
              <w:t>flood control</w:t>
            </w:r>
            <w:r>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348.40 million Indian rupees/</w:t>
            </w:r>
            <w:proofErr w:type="spellStart"/>
            <w:r w:rsidRPr="007A56B5">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61,773.05 Indian rupees/ha/</w:t>
            </w:r>
            <w:proofErr w:type="spellStart"/>
            <w:r w:rsidRPr="007A56B5">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Everard</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77F9072E" w14:textId="5224C8E3" w:rsidR="00535BED" w:rsidRPr="00761424"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t>Protection from storm surges: US$35/ha/</w:t>
            </w:r>
            <w:proofErr w:type="spellStart"/>
            <w:r w:rsidRPr="00AF54B9">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Huxham</w:t>
            </w:r>
            <w:proofErr w:type="spellEnd"/>
            <w:r>
              <w:rPr>
                <w:rFonts w:ascii="Cambria" w:eastAsia="Times New Roman" w:hAnsi="Cambria" w:cs="Times New Roman"/>
                <w:color w:val="000000"/>
                <w:sz w:val="20"/>
                <w:szCs w:val="20"/>
              </w:rPr>
              <w:t xml:space="preserve"> et al. 2015)</w:t>
            </w:r>
          </w:p>
        </w:tc>
        <w:tc>
          <w:tcPr>
            <w:tcW w:w="1350" w:type="dxa"/>
            <w:tcBorders>
              <w:top w:val="nil"/>
              <w:left w:val="nil"/>
              <w:bottom w:val="single" w:sz="4" w:space="0" w:color="auto"/>
              <w:right w:val="single" w:sz="4" w:space="0" w:color="auto"/>
            </w:tcBorders>
            <w:shd w:val="clear" w:color="000000" w:fill="E2EFDA"/>
          </w:tcPr>
          <w:p w14:paraId="71F6F2A7" w14:textId="0751B79A" w:rsidR="00535BED" w:rsidRPr="00761424"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Coastal protection</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$88-$6.1M/ha over 10 years</w:t>
            </w:r>
            <w:r>
              <w:rPr>
                <w:rFonts w:ascii="Cambria" w:eastAsia="Times New Roman" w:hAnsi="Cambria" w:cs="Times New Roman"/>
                <w:color w:val="000000"/>
                <w:sz w:val="20"/>
                <w:szCs w:val="20"/>
              </w:rPr>
              <w:t xml:space="preserve"> (Atkinson et al. 2016)</w:t>
            </w:r>
          </w:p>
        </w:tc>
      </w:tr>
      <w:tr w:rsidR="00535BED" w:rsidRPr="00761424" w14:paraId="65312CFE" w14:textId="29C7ED80" w:rsidTr="004368D7">
        <w:trPr>
          <w:trHeight w:val="458"/>
        </w:trPr>
        <w:tc>
          <w:tcPr>
            <w:tcW w:w="1440" w:type="dxa"/>
            <w:tcBorders>
              <w:top w:val="nil"/>
              <w:left w:val="single" w:sz="4" w:space="0" w:color="auto"/>
              <w:bottom w:val="single" w:sz="4" w:space="0" w:color="auto"/>
              <w:right w:val="single" w:sz="4" w:space="0" w:color="auto"/>
            </w:tcBorders>
            <w:shd w:val="clear" w:color="000000" w:fill="E2EFDA"/>
          </w:tcPr>
          <w:p w14:paraId="27725E1B" w14:textId="37FC09D3"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Regulation of water flows</w:t>
            </w:r>
          </w:p>
        </w:tc>
        <w:tc>
          <w:tcPr>
            <w:tcW w:w="1710" w:type="dxa"/>
            <w:tcBorders>
              <w:top w:val="nil"/>
              <w:left w:val="nil"/>
              <w:bottom w:val="single" w:sz="4" w:space="0" w:color="auto"/>
              <w:right w:val="single" w:sz="4" w:space="0" w:color="auto"/>
            </w:tcBorders>
            <w:shd w:val="clear" w:color="000000" w:fill="E2EFDA"/>
          </w:tcPr>
          <w:p w14:paraId="0860A260"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7E41FC56"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447A69AD" w14:textId="77777777" w:rsidR="00535BED" w:rsidRPr="00761424" w:rsidRDefault="00535BED" w:rsidP="00736B28">
            <w:pPr>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2734E432" w14:textId="77777777" w:rsidR="00535BED" w:rsidRPr="00761424" w:rsidRDefault="00535BED" w:rsidP="00736B28">
            <w:pPr>
              <w:jc w:val="center"/>
              <w:rPr>
                <w:rFonts w:ascii="Cambria" w:hAnsi="Cambria"/>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65EEBC2D"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12B5E83C" w14:textId="77777777" w:rsidR="00535BED" w:rsidRPr="00761424" w:rsidRDefault="00535BED" w:rsidP="00736B28">
            <w:pPr>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679B1020"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33231D8B" w14:textId="5DDC42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5EF12A6" w14:textId="0C5F1D84" w:rsidR="00535BED" w:rsidRPr="00761424" w:rsidRDefault="00535BED" w:rsidP="00736B28">
            <w:pPr>
              <w:jc w:val="center"/>
              <w:rPr>
                <w:rFonts w:ascii="Cambria" w:eastAsia="Times New Roman" w:hAnsi="Cambria" w:cs="Times New Roman"/>
                <w:color w:val="000000"/>
                <w:sz w:val="20"/>
                <w:szCs w:val="20"/>
              </w:rPr>
            </w:pPr>
          </w:p>
        </w:tc>
      </w:tr>
      <w:tr w:rsidR="00535BED" w:rsidRPr="00A057E7" w14:paraId="608A04ED" w14:textId="6FAB719F" w:rsidTr="004368D7">
        <w:trPr>
          <w:trHeight w:val="630"/>
        </w:trPr>
        <w:tc>
          <w:tcPr>
            <w:tcW w:w="1440" w:type="dxa"/>
            <w:tcBorders>
              <w:top w:val="nil"/>
              <w:left w:val="single" w:sz="4" w:space="0" w:color="auto"/>
              <w:bottom w:val="single" w:sz="4" w:space="0" w:color="auto"/>
              <w:right w:val="single" w:sz="4" w:space="0" w:color="auto"/>
            </w:tcBorders>
            <w:shd w:val="clear" w:color="000000" w:fill="E2EFDA"/>
            <w:hideMark/>
          </w:tcPr>
          <w:p w14:paraId="2A9801C3" w14:textId="111125C4"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Erosion prevention</w:t>
            </w:r>
          </w:p>
        </w:tc>
        <w:tc>
          <w:tcPr>
            <w:tcW w:w="1710" w:type="dxa"/>
            <w:tcBorders>
              <w:top w:val="nil"/>
              <w:left w:val="nil"/>
              <w:bottom w:val="single" w:sz="4" w:space="0" w:color="auto"/>
              <w:right w:val="single" w:sz="4" w:space="0" w:color="auto"/>
            </w:tcBorders>
            <w:shd w:val="clear" w:color="000000" w:fill="E2EFDA"/>
          </w:tcPr>
          <w:p w14:paraId="2548780C" w14:textId="3F22E5B5"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proofErr w:type="spellStart"/>
            <w:r w:rsidRPr="00E21688">
              <w:rPr>
                <w:rFonts w:ascii="Cambria" w:eastAsia="Times New Roman" w:hAnsi="Cambria" w:cs="Times New Roman"/>
                <w:color w:val="000000"/>
                <w:sz w:val="20"/>
                <w:szCs w:val="20"/>
                <w:lang w:val="fr-FR"/>
              </w:rPr>
              <w:t>Sediment</w:t>
            </w:r>
            <w:proofErr w:type="spellEnd"/>
            <w:r w:rsidRPr="00E21688">
              <w:rPr>
                <w:rFonts w:ascii="Cambria" w:eastAsia="Times New Roman" w:hAnsi="Cambria" w:cs="Times New Roman"/>
                <w:color w:val="000000"/>
                <w:sz w:val="20"/>
                <w:szCs w:val="20"/>
                <w:lang w:val="fr-FR"/>
              </w:rPr>
              <w:t xml:space="preserve"> </w:t>
            </w:r>
            <w:proofErr w:type="spellStart"/>
            <w:r w:rsidRPr="00E21688">
              <w:rPr>
                <w:rFonts w:ascii="Cambria" w:eastAsia="Times New Roman" w:hAnsi="Cambria" w:cs="Times New Roman"/>
                <w:color w:val="000000"/>
                <w:sz w:val="20"/>
                <w:szCs w:val="20"/>
                <w:lang w:val="fr-FR"/>
              </w:rPr>
              <w:t>retention</w:t>
            </w:r>
            <w:proofErr w:type="spellEnd"/>
            <w:r w:rsidRPr="00E21688">
              <w:rPr>
                <w:rFonts w:ascii="Cambria" w:eastAsia="Times New Roman" w:hAnsi="Cambria" w:cs="Times New Roman"/>
                <w:color w:val="000000"/>
                <w:sz w:val="20"/>
                <w:szCs w:val="20"/>
                <w:lang w:val="fr-FR"/>
              </w:rPr>
              <w:t>: US$66/ha/</w:t>
            </w:r>
            <w:proofErr w:type="spellStart"/>
            <w:r w:rsidRPr="00E21688">
              <w:rPr>
                <w:rFonts w:ascii="Cambria" w:eastAsia="Times New Roman" w:hAnsi="Cambria" w:cs="Times New Roman"/>
                <w:color w:val="000000"/>
                <w:sz w:val="20"/>
                <w:szCs w:val="20"/>
                <w:lang w:val="fr-FR"/>
              </w:rPr>
              <w:t>yr</w:t>
            </w:r>
            <w:proofErr w:type="spellEnd"/>
            <w:r w:rsidRPr="00E21688">
              <w:rPr>
                <w:rFonts w:ascii="Cambria" w:eastAsia="Times New Roman" w:hAnsi="Cambria" w:cs="Times New Roman"/>
                <w:color w:val="000000"/>
                <w:sz w:val="20"/>
                <w:szCs w:val="20"/>
                <w:lang w:val="fr-FR"/>
              </w:rPr>
              <w:t xml:space="preserve"> </w:t>
            </w:r>
            <w:r w:rsidRPr="00E21688">
              <w:rPr>
                <w:rFonts w:ascii="Cambria" w:eastAsia="Times New Roman" w:hAnsi="Cambria" w:cs="Times New Roman"/>
                <w:color w:val="000000"/>
                <w:sz w:val="20"/>
                <w:szCs w:val="20"/>
                <w:lang w:val="fr-FR"/>
              </w:rPr>
              <w:lastRenderedPageBreak/>
              <w:t>(</w:t>
            </w:r>
            <w:proofErr w:type="spellStart"/>
            <w:r w:rsidRPr="00E21688">
              <w:rPr>
                <w:rFonts w:ascii="Cambria" w:eastAsia="Times New Roman" w:hAnsi="Cambria" w:cs="Times New Roman"/>
                <w:color w:val="000000"/>
                <w:sz w:val="20"/>
                <w:szCs w:val="20"/>
                <w:lang w:val="fr-FR"/>
              </w:rPr>
              <w:t>Pernetta</w:t>
            </w:r>
            <w:proofErr w:type="spellEnd"/>
            <w:r w:rsidRPr="00E21688">
              <w:rPr>
                <w:rFonts w:ascii="Cambria" w:eastAsia="Times New Roman" w:hAnsi="Cambria" w:cs="Times New Roman"/>
                <w:color w:val="000000"/>
                <w:sz w:val="20"/>
                <w:szCs w:val="20"/>
                <w:lang w:val="fr-FR"/>
              </w:rPr>
              <w:t xml:space="preserve"> et al. 2013)</w:t>
            </w:r>
          </w:p>
        </w:tc>
        <w:tc>
          <w:tcPr>
            <w:tcW w:w="1350" w:type="dxa"/>
            <w:tcBorders>
              <w:top w:val="nil"/>
              <w:left w:val="nil"/>
              <w:bottom w:val="single" w:sz="4" w:space="0" w:color="auto"/>
              <w:right w:val="single" w:sz="4" w:space="0" w:color="auto"/>
            </w:tcBorders>
            <w:shd w:val="clear" w:color="000000" w:fill="E2EFDA"/>
          </w:tcPr>
          <w:p w14:paraId="68321F67" w14:textId="77777777"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p>
        </w:tc>
        <w:tc>
          <w:tcPr>
            <w:tcW w:w="1350" w:type="dxa"/>
            <w:tcBorders>
              <w:top w:val="nil"/>
              <w:left w:val="nil"/>
              <w:bottom w:val="single" w:sz="4" w:space="0" w:color="auto"/>
              <w:right w:val="single" w:sz="4" w:space="0" w:color="auto"/>
            </w:tcBorders>
            <w:shd w:val="clear" w:color="000000" w:fill="E2EFDA"/>
          </w:tcPr>
          <w:p w14:paraId="65EBA85A" w14:textId="77777777"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p>
        </w:tc>
        <w:tc>
          <w:tcPr>
            <w:tcW w:w="1440" w:type="dxa"/>
            <w:tcBorders>
              <w:top w:val="nil"/>
              <w:left w:val="nil"/>
              <w:bottom w:val="single" w:sz="4" w:space="0" w:color="auto"/>
              <w:right w:val="single" w:sz="4" w:space="0" w:color="auto"/>
            </w:tcBorders>
            <w:shd w:val="clear" w:color="000000" w:fill="E2EFDA"/>
          </w:tcPr>
          <w:p w14:paraId="1CA68127" w14:textId="22A77556"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r w:rsidRPr="00A057E7">
              <w:rPr>
                <w:rFonts w:ascii="Cambria" w:eastAsia="Times New Roman" w:hAnsi="Cambria" w:cs="Times New Roman"/>
                <w:color w:val="000000"/>
                <w:sz w:val="20"/>
                <w:szCs w:val="20"/>
              </w:rPr>
              <w:t xml:space="preserve">Storm protection/erosion: </w:t>
            </w:r>
            <w:r w:rsidRPr="00A057E7">
              <w:rPr>
                <w:rFonts w:ascii="Cambria" w:eastAsia="Times New Roman" w:hAnsi="Cambria" w:cs="Times New Roman"/>
                <w:color w:val="000000"/>
                <w:sz w:val="20"/>
                <w:szCs w:val="20"/>
              </w:rPr>
              <w:lastRenderedPageBreak/>
              <w:t>US$660/ha/</w:t>
            </w:r>
            <w:proofErr w:type="spellStart"/>
            <w:r w:rsidRPr="00A057E7">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(Quoc Vo et al. 2015)</w:t>
            </w:r>
          </w:p>
        </w:tc>
        <w:tc>
          <w:tcPr>
            <w:tcW w:w="1440" w:type="dxa"/>
            <w:tcBorders>
              <w:top w:val="single" w:sz="4" w:space="0" w:color="auto"/>
              <w:left w:val="nil"/>
              <w:bottom w:val="single" w:sz="4" w:space="0" w:color="auto"/>
              <w:right w:val="single" w:sz="4" w:space="0" w:color="auto"/>
            </w:tcBorders>
            <w:shd w:val="clear" w:color="000000" w:fill="E2EFDA"/>
          </w:tcPr>
          <w:p w14:paraId="53A91B7C" w14:textId="6E798F74" w:rsidR="00535BED" w:rsidRPr="00A057E7" w:rsidRDefault="00535BED" w:rsidP="00736B28">
            <w:pPr>
              <w:spacing w:after="0" w:line="240" w:lineRule="auto"/>
              <w:jc w:val="center"/>
              <w:rPr>
                <w:rFonts w:ascii="Cambria" w:eastAsia="Times New Roman" w:hAnsi="Cambria" w:cs="Times New Roman"/>
                <w:color w:val="000000"/>
                <w:sz w:val="20"/>
                <w:szCs w:val="20"/>
              </w:rPr>
            </w:pPr>
            <w:r w:rsidRPr="00A057E7">
              <w:rPr>
                <w:rFonts w:ascii="Cambria" w:eastAsia="Times New Roman" w:hAnsi="Cambria" w:cs="Times New Roman"/>
                <w:color w:val="000000"/>
                <w:sz w:val="20"/>
                <w:szCs w:val="20"/>
              </w:rPr>
              <w:lastRenderedPageBreak/>
              <w:t>US$3896/ha/</w:t>
            </w:r>
            <w:proofErr w:type="spellStart"/>
            <w:r w:rsidRPr="00A057E7">
              <w:rPr>
                <w:rFonts w:ascii="Cambria" w:eastAsia="Times New Roman" w:hAnsi="Cambria" w:cs="Times New Roman"/>
                <w:color w:val="000000"/>
                <w:sz w:val="20"/>
                <w:szCs w:val="20"/>
              </w:rPr>
              <w:t>yr</w:t>
            </w:r>
            <w:proofErr w:type="spellEnd"/>
            <w:r w:rsidRPr="00A057E7">
              <w:rPr>
                <w:rFonts w:ascii="Cambria" w:eastAsia="Times New Roman" w:hAnsi="Cambria" w:cs="Times New Roman"/>
                <w:color w:val="000000"/>
                <w:sz w:val="20"/>
                <w:szCs w:val="20"/>
              </w:rPr>
              <w:t xml:space="preserve"> (</w:t>
            </w:r>
            <w:proofErr w:type="spellStart"/>
            <w:r w:rsidRPr="00A057E7">
              <w:rPr>
                <w:rFonts w:ascii="Cambria" w:eastAsia="Times New Roman" w:hAnsi="Cambria" w:cs="Times New Roman"/>
                <w:color w:val="000000"/>
                <w:sz w:val="20"/>
                <w:szCs w:val="20"/>
              </w:rPr>
              <w:t>Kuenzer</w:t>
            </w:r>
            <w:proofErr w:type="spellEnd"/>
            <w:r w:rsidRPr="00A057E7">
              <w:rPr>
                <w:rFonts w:ascii="Cambria" w:eastAsia="Times New Roman" w:hAnsi="Cambria" w:cs="Times New Roman"/>
                <w:color w:val="000000"/>
                <w:sz w:val="20"/>
                <w:szCs w:val="20"/>
              </w:rPr>
              <w:t xml:space="preserve"> </w:t>
            </w:r>
            <w:r w:rsidRPr="00A057E7">
              <w:rPr>
                <w:rFonts w:ascii="Cambria" w:eastAsia="Times New Roman" w:hAnsi="Cambria" w:cs="Times New Roman"/>
                <w:color w:val="000000"/>
                <w:sz w:val="20"/>
                <w:szCs w:val="20"/>
              </w:rPr>
              <w:lastRenderedPageBreak/>
              <w:t>and Tuan 2013)</w:t>
            </w:r>
          </w:p>
        </w:tc>
        <w:tc>
          <w:tcPr>
            <w:tcW w:w="1350" w:type="dxa"/>
            <w:tcBorders>
              <w:top w:val="nil"/>
              <w:left w:val="single" w:sz="4" w:space="0" w:color="auto"/>
              <w:bottom w:val="single" w:sz="4" w:space="0" w:color="auto"/>
              <w:right w:val="single" w:sz="4" w:space="0" w:color="auto"/>
            </w:tcBorders>
            <w:shd w:val="clear" w:color="000000" w:fill="E2EFDA"/>
          </w:tcPr>
          <w:p w14:paraId="199057D0" w14:textId="6051F8C7" w:rsidR="00535BED" w:rsidRPr="00A057E7" w:rsidRDefault="00535BED" w:rsidP="00736B28">
            <w:pPr>
              <w:spacing w:after="0" w:line="240" w:lineRule="auto"/>
              <w:jc w:val="center"/>
              <w:rPr>
                <w:rFonts w:ascii="Cambria" w:eastAsia="Times New Roman" w:hAnsi="Cambria" w:cs="Times New Roman"/>
                <w:color w:val="000000"/>
                <w:sz w:val="20"/>
                <w:szCs w:val="20"/>
              </w:rPr>
            </w:pPr>
            <w:r w:rsidRPr="00535BED">
              <w:rPr>
                <w:rFonts w:ascii="Cambria" w:eastAsia="Times New Roman" w:hAnsi="Cambria" w:cs="Times New Roman"/>
                <w:color w:val="000000"/>
                <w:sz w:val="20"/>
                <w:szCs w:val="20"/>
              </w:rPr>
              <w:lastRenderedPageBreak/>
              <w:t>MMK 946,000/ha/</w:t>
            </w:r>
            <w:proofErr w:type="spellStart"/>
            <w:r w:rsidRPr="00535BED">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w:t>
            </w:r>
            <w:r w:rsidRPr="00535BED">
              <w:rPr>
                <w:rFonts w:ascii="Cambria" w:eastAsia="Times New Roman" w:hAnsi="Cambria" w:cs="Times New Roman"/>
                <w:color w:val="000000"/>
                <w:sz w:val="20"/>
                <w:szCs w:val="20"/>
              </w:rPr>
              <w:lastRenderedPageBreak/>
              <w:t>US$973.95 /ha/</w:t>
            </w:r>
            <w:proofErr w:type="spellStart"/>
            <w:r w:rsidRPr="00535BED">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(Emerton and Aung 2013); </w:t>
            </w:r>
            <w:r w:rsidRPr="00535BED">
              <w:rPr>
                <w:rFonts w:ascii="Cambria" w:eastAsia="Times New Roman" w:hAnsi="Cambria" w:cs="Times New Roman"/>
                <w:color w:val="000000"/>
                <w:sz w:val="20"/>
                <w:szCs w:val="20"/>
              </w:rPr>
              <w:t>Moderation of extreme events and Erosion prevention: US$1340.60/ha/year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Interweis</w:t>
            </w:r>
            <w:proofErr w:type="spellEnd"/>
            <w:r>
              <w:rPr>
                <w:rFonts w:ascii="Cambria" w:eastAsia="Times New Roman" w:hAnsi="Cambria" w:cs="Times New Roman"/>
                <w:color w:val="000000"/>
                <w:sz w:val="20"/>
                <w:szCs w:val="20"/>
              </w:rPr>
              <w:t xml:space="preserve"> and Gorlitz 2013)</w:t>
            </w:r>
          </w:p>
        </w:tc>
        <w:tc>
          <w:tcPr>
            <w:tcW w:w="1440" w:type="dxa"/>
            <w:tcBorders>
              <w:top w:val="nil"/>
              <w:left w:val="nil"/>
              <w:bottom w:val="single" w:sz="4" w:space="0" w:color="auto"/>
              <w:right w:val="single" w:sz="4" w:space="0" w:color="auto"/>
            </w:tcBorders>
            <w:shd w:val="clear" w:color="000000" w:fill="E2EFDA"/>
          </w:tcPr>
          <w:p w14:paraId="51859264" w14:textId="28E02F43" w:rsidR="00535BED" w:rsidRPr="00A057E7"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3AB583B2" w14:textId="1E7EA028" w:rsidR="00535BED" w:rsidRPr="00A057E7"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t xml:space="preserve">Protection from coastal erosion: </w:t>
            </w:r>
            <w:r w:rsidRPr="00AF54B9">
              <w:rPr>
                <w:rFonts w:ascii="Cambria" w:eastAsia="Times New Roman" w:hAnsi="Cambria" w:cs="Times New Roman"/>
                <w:color w:val="000000"/>
                <w:sz w:val="20"/>
                <w:szCs w:val="20"/>
              </w:rPr>
              <w:lastRenderedPageBreak/>
              <w:t>US$395/ha/</w:t>
            </w:r>
            <w:proofErr w:type="spellStart"/>
            <w:r w:rsidRPr="00AF54B9">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Huxham</w:t>
            </w:r>
            <w:proofErr w:type="spellEnd"/>
            <w:r>
              <w:rPr>
                <w:rFonts w:ascii="Cambria" w:eastAsia="Times New Roman" w:hAnsi="Cambria" w:cs="Times New Roman"/>
                <w:color w:val="000000"/>
                <w:sz w:val="20"/>
                <w:szCs w:val="20"/>
              </w:rPr>
              <w:t xml:space="preserve"> et al. 2015)</w:t>
            </w:r>
          </w:p>
        </w:tc>
        <w:tc>
          <w:tcPr>
            <w:tcW w:w="1350" w:type="dxa"/>
            <w:tcBorders>
              <w:top w:val="nil"/>
              <w:left w:val="nil"/>
              <w:bottom w:val="single" w:sz="4" w:space="0" w:color="auto"/>
              <w:right w:val="single" w:sz="4" w:space="0" w:color="auto"/>
            </w:tcBorders>
            <w:shd w:val="clear" w:color="000000" w:fill="E2EFDA"/>
          </w:tcPr>
          <w:p w14:paraId="1F32E2C4" w14:textId="293C8042" w:rsidR="00535BED" w:rsidRPr="00A057E7" w:rsidRDefault="00535BED" w:rsidP="00736B28">
            <w:pPr>
              <w:spacing w:after="0" w:line="240" w:lineRule="auto"/>
              <w:jc w:val="center"/>
              <w:rPr>
                <w:rFonts w:ascii="Cambria" w:eastAsia="Times New Roman" w:hAnsi="Cambria" w:cs="Times New Roman"/>
                <w:color w:val="000000"/>
                <w:sz w:val="20"/>
                <w:szCs w:val="20"/>
              </w:rPr>
            </w:pPr>
          </w:p>
        </w:tc>
      </w:tr>
      <w:tr w:rsidR="00535BED" w:rsidRPr="008D6B14" w14:paraId="43F8A8CA" w14:textId="7E32325F" w:rsidTr="004368D7">
        <w:trPr>
          <w:trHeight w:val="710"/>
        </w:trPr>
        <w:tc>
          <w:tcPr>
            <w:tcW w:w="1440" w:type="dxa"/>
            <w:tcBorders>
              <w:top w:val="nil"/>
              <w:left w:val="single" w:sz="4" w:space="0" w:color="auto"/>
              <w:bottom w:val="single" w:sz="4" w:space="0" w:color="auto"/>
              <w:right w:val="single" w:sz="4" w:space="0" w:color="auto"/>
            </w:tcBorders>
            <w:shd w:val="clear" w:color="000000" w:fill="E2EFDA"/>
            <w:hideMark/>
          </w:tcPr>
          <w:p w14:paraId="29EBD9F5" w14:textId="0C941D80"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Climate regulation</w:t>
            </w:r>
          </w:p>
        </w:tc>
        <w:tc>
          <w:tcPr>
            <w:tcW w:w="1710" w:type="dxa"/>
            <w:tcBorders>
              <w:top w:val="nil"/>
              <w:left w:val="nil"/>
              <w:bottom w:val="single" w:sz="4" w:space="0" w:color="auto"/>
              <w:right w:val="single" w:sz="4" w:space="0" w:color="auto"/>
            </w:tcBorders>
            <w:shd w:val="clear" w:color="000000" w:fill="E2EFDA"/>
          </w:tcPr>
          <w:p w14:paraId="7F996A01" w14:textId="38D32965"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proofErr w:type="spellStart"/>
            <w:r w:rsidRPr="00E21688">
              <w:rPr>
                <w:rFonts w:ascii="Cambria" w:eastAsia="Times New Roman" w:hAnsi="Cambria" w:cs="Times New Roman"/>
                <w:color w:val="000000"/>
                <w:sz w:val="20"/>
                <w:szCs w:val="20"/>
                <w:lang w:val="fr-FR"/>
              </w:rPr>
              <w:t>Carbon</w:t>
            </w:r>
            <w:proofErr w:type="spellEnd"/>
            <w:r w:rsidRPr="00E21688">
              <w:rPr>
                <w:rFonts w:ascii="Cambria" w:eastAsia="Times New Roman" w:hAnsi="Cambria" w:cs="Times New Roman"/>
                <w:color w:val="000000"/>
                <w:sz w:val="20"/>
                <w:szCs w:val="20"/>
                <w:lang w:val="fr-FR"/>
              </w:rPr>
              <w:t xml:space="preserve"> </w:t>
            </w:r>
            <w:proofErr w:type="spellStart"/>
            <w:r w:rsidRPr="00E21688">
              <w:rPr>
                <w:rFonts w:ascii="Cambria" w:eastAsia="Times New Roman" w:hAnsi="Cambria" w:cs="Times New Roman"/>
                <w:color w:val="000000"/>
                <w:sz w:val="20"/>
                <w:szCs w:val="20"/>
                <w:lang w:val="fr-FR"/>
              </w:rPr>
              <w:t>sequestration</w:t>
            </w:r>
            <w:proofErr w:type="spellEnd"/>
            <w:r w:rsidRPr="00E21688">
              <w:rPr>
                <w:rFonts w:ascii="Cambria" w:eastAsia="Times New Roman" w:hAnsi="Cambria" w:cs="Times New Roman"/>
                <w:color w:val="000000"/>
                <w:sz w:val="20"/>
                <w:szCs w:val="20"/>
                <w:lang w:val="fr-FR"/>
              </w:rPr>
              <w:t>: US$89/ha/</w:t>
            </w:r>
            <w:proofErr w:type="spellStart"/>
            <w:r w:rsidRPr="00E21688">
              <w:rPr>
                <w:rFonts w:ascii="Cambria" w:eastAsia="Times New Roman" w:hAnsi="Cambria" w:cs="Times New Roman"/>
                <w:color w:val="000000"/>
                <w:sz w:val="20"/>
                <w:szCs w:val="20"/>
                <w:lang w:val="fr-FR"/>
              </w:rPr>
              <w:t>yr</w:t>
            </w:r>
            <w:proofErr w:type="spellEnd"/>
            <w:r w:rsidRPr="00E21688">
              <w:rPr>
                <w:rFonts w:ascii="Cambria" w:eastAsia="Times New Roman" w:hAnsi="Cambria" w:cs="Times New Roman"/>
                <w:color w:val="000000"/>
                <w:sz w:val="20"/>
                <w:szCs w:val="20"/>
                <w:lang w:val="fr-FR"/>
              </w:rPr>
              <w:t xml:space="preserve"> (</w:t>
            </w:r>
            <w:proofErr w:type="spellStart"/>
            <w:r w:rsidRPr="00E21688">
              <w:rPr>
                <w:rFonts w:ascii="Cambria" w:eastAsia="Times New Roman" w:hAnsi="Cambria" w:cs="Times New Roman"/>
                <w:color w:val="000000"/>
                <w:sz w:val="20"/>
                <w:szCs w:val="20"/>
                <w:lang w:val="fr-FR"/>
              </w:rPr>
              <w:t>Pernetta</w:t>
            </w:r>
            <w:proofErr w:type="spellEnd"/>
            <w:r w:rsidRPr="00E21688">
              <w:rPr>
                <w:rFonts w:ascii="Cambria" w:eastAsia="Times New Roman" w:hAnsi="Cambria" w:cs="Times New Roman"/>
                <w:color w:val="000000"/>
                <w:sz w:val="20"/>
                <w:szCs w:val="20"/>
                <w:lang w:val="fr-FR"/>
              </w:rPr>
              <w:t xml:space="preserve"> et al. 2013)</w:t>
            </w:r>
          </w:p>
        </w:tc>
        <w:tc>
          <w:tcPr>
            <w:tcW w:w="1350" w:type="dxa"/>
            <w:tcBorders>
              <w:top w:val="nil"/>
              <w:left w:val="nil"/>
              <w:bottom w:val="single" w:sz="4" w:space="0" w:color="auto"/>
              <w:right w:val="single" w:sz="4" w:space="0" w:color="auto"/>
            </w:tcBorders>
            <w:shd w:val="clear" w:color="000000" w:fill="E2EFDA"/>
          </w:tcPr>
          <w:p w14:paraId="3B8497DB" w14:textId="77777777"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p>
        </w:tc>
        <w:tc>
          <w:tcPr>
            <w:tcW w:w="1350" w:type="dxa"/>
            <w:tcBorders>
              <w:top w:val="nil"/>
              <w:left w:val="nil"/>
              <w:bottom w:val="single" w:sz="4" w:space="0" w:color="auto"/>
              <w:right w:val="single" w:sz="4" w:space="0" w:color="auto"/>
            </w:tcBorders>
            <w:shd w:val="clear" w:color="000000" w:fill="E2EFDA"/>
          </w:tcPr>
          <w:p w14:paraId="68C2912F" w14:textId="3347A29C" w:rsidR="00535BED" w:rsidRPr="008D6B14" w:rsidRDefault="00535BED" w:rsidP="000F5B63">
            <w:pPr>
              <w:spacing w:after="0" w:line="240" w:lineRule="auto"/>
              <w:jc w:val="center"/>
              <w:rPr>
                <w:rFonts w:ascii="Cambria" w:eastAsia="Times New Roman" w:hAnsi="Cambria" w:cs="Times New Roman"/>
                <w:color w:val="000000"/>
                <w:sz w:val="20"/>
                <w:szCs w:val="20"/>
              </w:rPr>
            </w:pPr>
            <w:r w:rsidRPr="008D6B14">
              <w:rPr>
                <w:rFonts w:ascii="Cambria" w:eastAsia="Times New Roman" w:hAnsi="Cambria" w:cs="Times New Roman"/>
                <w:color w:val="000000"/>
                <w:sz w:val="20"/>
                <w:szCs w:val="20"/>
              </w:rPr>
              <w:t>Permanent carbon sequestration by global mangroves</w:t>
            </w:r>
            <w:r w:rsidR="00736B28">
              <w:rPr>
                <w:rFonts w:ascii="Cambria" w:eastAsia="Times New Roman" w:hAnsi="Cambria" w:cs="Times New Roman"/>
                <w:color w:val="000000"/>
                <w:sz w:val="20"/>
                <w:szCs w:val="20"/>
              </w:rPr>
              <w:t>:</w:t>
            </w:r>
            <w:r w:rsidRPr="008D6B14">
              <w:rPr>
                <w:rFonts w:ascii="Cambria" w:eastAsia="Times New Roman" w:hAnsi="Cambria" w:cs="Times New Roman"/>
                <w:color w:val="000000"/>
                <w:sz w:val="20"/>
                <w:szCs w:val="20"/>
              </w:rPr>
              <w:t xml:space="preserve"> $30.50/ha/</w:t>
            </w:r>
            <w:proofErr w:type="spellStart"/>
            <w:r w:rsidRPr="008D6B14">
              <w:rPr>
                <w:rFonts w:ascii="Cambria" w:eastAsia="Times New Roman" w:hAnsi="Cambria" w:cs="Times New Roman"/>
                <w:color w:val="000000"/>
                <w:sz w:val="20"/>
                <w:szCs w:val="20"/>
              </w:rPr>
              <w:t>yr</w:t>
            </w:r>
            <w:proofErr w:type="spellEnd"/>
            <w:r w:rsidRPr="008D6B14">
              <w:rPr>
                <w:rFonts w:ascii="Cambria" w:eastAsia="Times New Roman" w:hAnsi="Cambria" w:cs="Times New Roman"/>
                <w:color w:val="000000"/>
                <w:sz w:val="20"/>
                <w:szCs w:val="20"/>
              </w:rPr>
              <w:t xml:space="preserve"> (</w:t>
            </w:r>
            <w:proofErr w:type="spellStart"/>
            <w:r w:rsidRPr="008D6B14">
              <w:rPr>
                <w:rFonts w:ascii="Cambria" w:eastAsia="Times New Roman" w:hAnsi="Cambria" w:cs="Times New Roman"/>
                <w:color w:val="000000"/>
                <w:sz w:val="20"/>
                <w:szCs w:val="20"/>
              </w:rPr>
              <w:t>Barbier</w:t>
            </w:r>
            <w:proofErr w:type="spellEnd"/>
            <w:r w:rsidRPr="008D6B14">
              <w:rPr>
                <w:rFonts w:ascii="Cambria" w:eastAsia="Times New Roman" w:hAnsi="Cambria" w:cs="Times New Roman"/>
                <w:color w:val="000000"/>
                <w:sz w:val="20"/>
                <w:szCs w:val="20"/>
              </w:rPr>
              <w:t xml:space="preserve"> </w:t>
            </w:r>
            <w:r w:rsidR="000F5B63">
              <w:rPr>
                <w:rFonts w:ascii="Cambria" w:eastAsia="Times New Roman" w:hAnsi="Cambria" w:cs="Times New Roman"/>
                <w:color w:val="000000"/>
                <w:sz w:val="20"/>
                <w:szCs w:val="20"/>
              </w:rPr>
              <w:t>et al.</w:t>
            </w:r>
            <w:r w:rsidRPr="008D6B14">
              <w:rPr>
                <w:rFonts w:ascii="Cambria" w:eastAsia="Times New Roman" w:hAnsi="Cambria" w:cs="Times New Roman"/>
                <w:color w:val="000000"/>
                <w:sz w:val="20"/>
                <w:szCs w:val="20"/>
              </w:rPr>
              <w:t xml:space="preserve"> 2011)</w:t>
            </w:r>
          </w:p>
        </w:tc>
        <w:tc>
          <w:tcPr>
            <w:tcW w:w="1440" w:type="dxa"/>
            <w:tcBorders>
              <w:top w:val="nil"/>
              <w:left w:val="nil"/>
              <w:bottom w:val="single" w:sz="4" w:space="0" w:color="auto"/>
              <w:right w:val="single" w:sz="4" w:space="0" w:color="auto"/>
            </w:tcBorders>
            <w:shd w:val="clear" w:color="000000" w:fill="E2EFDA"/>
          </w:tcPr>
          <w:p w14:paraId="0B48B61B" w14:textId="4AA626F6" w:rsidR="00535BED" w:rsidRPr="008D6B14" w:rsidRDefault="00535BED" w:rsidP="00736B28">
            <w:pPr>
              <w:spacing w:after="0" w:line="240" w:lineRule="auto"/>
              <w:jc w:val="center"/>
              <w:rPr>
                <w:rFonts w:ascii="Cambria" w:eastAsia="Times New Roman" w:hAnsi="Cambria" w:cs="Times New Roman"/>
                <w:color w:val="000000"/>
                <w:sz w:val="20"/>
                <w:szCs w:val="20"/>
              </w:rPr>
            </w:pPr>
            <w:r w:rsidRPr="008D6B14">
              <w:rPr>
                <w:rFonts w:ascii="Cambria" w:eastAsia="Times New Roman" w:hAnsi="Cambria" w:cs="Times New Roman"/>
                <w:color w:val="000000"/>
                <w:sz w:val="20"/>
                <w:szCs w:val="20"/>
              </w:rPr>
              <w:t>Carbon sequestration: mean estimate: social cost of carbon US$464,000/ha, marginal abatement cost US$950,000/ha, market price US$252/ha</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Jerath</w:t>
            </w:r>
            <w:proofErr w:type="spellEnd"/>
            <w:r>
              <w:rPr>
                <w:rFonts w:ascii="Cambria" w:eastAsia="Times New Roman" w:hAnsi="Cambria" w:cs="Times New Roman"/>
                <w:color w:val="000000"/>
                <w:sz w:val="20"/>
                <w:szCs w:val="20"/>
              </w:rPr>
              <w:t xml:space="preserve"> 2012); </w:t>
            </w:r>
            <w:r w:rsidRPr="00743644">
              <w:rPr>
                <w:rFonts w:ascii="Cambria" w:eastAsia="Times New Roman" w:hAnsi="Cambria" w:cs="Times New Roman"/>
                <w:color w:val="000000"/>
                <w:sz w:val="20"/>
                <w:szCs w:val="20"/>
              </w:rPr>
              <w:t>US$ 126/ha/</w:t>
            </w:r>
            <w:proofErr w:type="spellStart"/>
            <w:r w:rsidRPr="0074364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Hoberg</w:t>
            </w:r>
            <w:proofErr w:type="spellEnd"/>
            <w:r>
              <w:rPr>
                <w:rFonts w:ascii="Cambria" w:eastAsia="Times New Roman" w:hAnsi="Cambria" w:cs="Times New Roman"/>
                <w:color w:val="000000"/>
                <w:sz w:val="20"/>
                <w:szCs w:val="20"/>
              </w:rPr>
              <w:t xml:space="preserve"> 2011); </w:t>
            </w:r>
            <w:r w:rsidRPr="00A057E7">
              <w:rPr>
                <w:rFonts w:ascii="Cambria" w:eastAsia="Times New Roman" w:hAnsi="Cambria" w:cs="Times New Roman"/>
                <w:color w:val="000000"/>
                <w:sz w:val="20"/>
                <w:szCs w:val="20"/>
              </w:rPr>
              <w:t>US$219/ha/</w:t>
            </w:r>
            <w:proofErr w:type="spellStart"/>
            <w:r w:rsidRPr="00A057E7">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(Quoc Vo et al. 2015)</w:t>
            </w:r>
          </w:p>
        </w:tc>
        <w:tc>
          <w:tcPr>
            <w:tcW w:w="1440" w:type="dxa"/>
            <w:tcBorders>
              <w:top w:val="single" w:sz="4" w:space="0" w:color="auto"/>
              <w:left w:val="nil"/>
              <w:bottom w:val="single" w:sz="4" w:space="0" w:color="auto"/>
              <w:right w:val="single" w:sz="4" w:space="0" w:color="auto"/>
            </w:tcBorders>
            <w:shd w:val="clear" w:color="000000" w:fill="E2EFDA"/>
          </w:tcPr>
          <w:p w14:paraId="21952F31" w14:textId="16AA5A93" w:rsidR="00535BED" w:rsidRPr="008D6B14" w:rsidRDefault="00535BED" w:rsidP="00736B28">
            <w:pPr>
              <w:spacing w:after="0" w:line="240" w:lineRule="auto"/>
              <w:jc w:val="center"/>
              <w:rPr>
                <w:rFonts w:ascii="Cambria" w:eastAsia="Times New Roman" w:hAnsi="Cambria" w:cs="Times New Roman"/>
                <w:color w:val="000000"/>
                <w:sz w:val="20"/>
                <w:szCs w:val="20"/>
              </w:rPr>
            </w:pPr>
            <w:r w:rsidRPr="00A057E7">
              <w:rPr>
                <w:rFonts w:ascii="Cambria" w:eastAsia="Times New Roman" w:hAnsi="Cambria" w:cs="Times New Roman"/>
                <w:color w:val="000000"/>
                <w:sz w:val="20"/>
                <w:szCs w:val="20"/>
              </w:rPr>
              <w:t>Carbon sequestration: US$59.55-6538.79/ha/</w:t>
            </w:r>
            <w:proofErr w:type="spellStart"/>
            <w:r w:rsidRPr="00A057E7">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Kuenzer</w:t>
            </w:r>
            <w:proofErr w:type="spellEnd"/>
            <w:r>
              <w:rPr>
                <w:rFonts w:ascii="Cambria" w:eastAsia="Times New Roman" w:hAnsi="Cambria" w:cs="Times New Roman"/>
                <w:color w:val="000000"/>
                <w:sz w:val="20"/>
                <w:szCs w:val="20"/>
              </w:rPr>
              <w:t xml:space="preserve"> and Tuan 2013)</w:t>
            </w:r>
          </w:p>
        </w:tc>
        <w:tc>
          <w:tcPr>
            <w:tcW w:w="1350" w:type="dxa"/>
            <w:tcBorders>
              <w:top w:val="nil"/>
              <w:left w:val="single" w:sz="4" w:space="0" w:color="auto"/>
              <w:bottom w:val="single" w:sz="4" w:space="0" w:color="auto"/>
              <w:right w:val="single" w:sz="4" w:space="0" w:color="auto"/>
            </w:tcBorders>
            <w:shd w:val="clear" w:color="000000" w:fill="E2EFDA"/>
          </w:tcPr>
          <w:p w14:paraId="73403FB1" w14:textId="15BB639B" w:rsidR="00535BED" w:rsidRPr="008D6B14" w:rsidRDefault="00535BED" w:rsidP="00736B28">
            <w:pPr>
              <w:spacing w:after="0" w:line="240" w:lineRule="auto"/>
              <w:jc w:val="center"/>
              <w:rPr>
                <w:rFonts w:ascii="Cambria" w:eastAsia="Times New Roman" w:hAnsi="Cambria" w:cs="Times New Roman"/>
                <w:color w:val="000000"/>
                <w:sz w:val="20"/>
                <w:szCs w:val="20"/>
              </w:rPr>
            </w:pPr>
            <w:r w:rsidRPr="00535BED">
              <w:rPr>
                <w:rFonts w:ascii="Cambria" w:eastAsia="Times New Roman" w:hAnsi="Cambria" w:cs="Times New Roman"/>
                <w:color w:val="000000"/>
                <w:sz w:val="20"/>
                <w:szCs w:val="20"/>
              </w:rPr>
              <w:t>US$335.50/ha/year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Interweis</w:t>
            </w:r>
            <w:proofErr w:type="spellEnd"/>
            <w:r>
              <w:rPr>
                <w:rFonts w:ascii="Cambria" w:eastAsia="Times New Roman" w:hAnsi="Cambria" w:cs="Times New Roman"/>
                <w:color w:val="000000"/>
                <w:sz w:val="20"/>
                <w:szCs w:val="20"/>
              </w:rPr>
              <w:t xml:space="preserve"> and Gorlitz 2013); </w:t>
            </w:r>
            <w:r w:rsidRPr="00535BED">
              <w:rPr>
                <w:rFonts w:ascii="Cambria" w:eastAsia="Times New Roman" w:hAnsi="Cambria" w:cs="Times New Roman"/>
                <w:color w:val="000000"/>
                <w:sz w:val="20"/>
                <w:szCs w:val="20"/>
              </w:rPr>
              <w:t>Carbon sequestration</w:t>
            </w:r>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US$ 414411/ha/</w:t>
            </w:r>
            <w:proofErr w:type="spellStart"/>
            <w:r w:rsidRPr="00535BED">
              <w:rPr>
                <w:rFonts w:ascii="Cambria" w:eastAsia="Times New Roman" w:hAnsi="Cambria" w:cs="Times New Roman"/>
                <w:color w:val="000000"/>
                <w:sz w:val="20"/>
                <w:szCs w:val="20"/>
              </w:rPr>
              <w:t>yr</w:t>
            </w:r>
            <w:proofErr w:type="spellEnd"/>
            <w:r w:rsidRPr="00535BED">
              <w:rPr>
                <w:rFonts w:ascii="Cambria" w:eastAsia="Times New Roman" w:hAnsi="Cambria" w:cs="Times New Roman"/>
                <w:color w:val="000000"/>
                <w:sz w:val="20"/>
                <w:szCs w:val="20"/>
              </w:rPr>
              <w:t>; Int$US6864</w:t>
            </w:r>
            <w:r>
              <w:rPr>
                <w:rFonts w:ascii="Cambria" w:eastAsia="Times New Roman" w:hAnsi="Cambria" w:cs="Times New Roman"/>
                <w:color w:val="000000"/>
                <w:sz w:val="20"/>
                <w:szCs w:val="20"/>
              </w:rPr>
              <w:t xml:space="preserve"> (Pascal and </w:t>
            </w:r>
            <w:proofErr w:type="spellStart"/>
            <w:r>
              <w:rPr>
                <w:rFonts w:ascii="Cambria" w:eastAsia="Times New Roman" w:hAnsi="Cambria" w:cs="Times New Roman"/>
                <w:color w:val="000000"/>
                <w:sz w:val="20"/>
                <w:szCs w:val="20"/>
              </w:rPr>
              <w:t>Bulu</w:t>
            </w:r>
            <w:proofErr w:type="spellEnd"/>
            <w:r>
              <w:rPr>
                <w:rFonts w:ascii="Cambria" w:eastAsia="Times New Roman" w:hAnsi="Cambria" w:cs="Times New Roman"/>
                <w:color w:val="000000"/>
                <w:sz w:val="20"/>
                <w:szCs w:val="20"/>
              </w:rPr>
              <w:t xml:space="preserve"> 2013)</w:t>
            </w:r>
          </w:p>
        </w:tc>
        <w:tc>
          <w:tcPr>
            <w:tcW w:w="1440" w:type="dxa"/>
            <w:tcBorders>
              <w:top w:val="nil"/>
              <w:left w:val="nil"/>
              <w:bottom w:val="single" w:sz="4" w:space="0" w:color="auto"/>
              <w:right w:val="single" w:sz="4" w:space="0" w:color="auto"/>
            </w:tcBorders>
            <w:shd w:val="clear" w:color="000000" w:fill="E2EFDA"/>
          </w:tcPr>
          <w:p w14:paraId="02D861CA" w14:textId="5EE970C4" w:rsidR="00535BED" w:rsidRPr="008D6B14"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Purify air pollution</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6,093.90 Baht/Household/Year</w:t>
            </w:r>
            <w:r>
              <w:rPr>
                <w:rFonts w:ascii="Cambria" w:eastAsia="Times New Roman" w:hAnsi="Cambria" w:cs="Times New Roman"/>
                <w:color w:val="000000"/>
                <w:sz w:val="20"/>
                <w:szCs w:val="20"/>
              </w:rPr>
              <w:t xml:space="preserve">,  </w:t>
            </w:r>
            <w:r w:rsidRPr="007A56B5">
              <w:rPr>
                <w:rFonts w:ascii="Cambria" w:eastAsia="Times New Roman" w:hAnsi="Cambria" w:cs="Times New Roman"/>
                <w:color w:val="000000"/>
                <w:sz w:val="20"/>
                <w:szCs w:val="20"/>
              </w:rPr>
              <w:t>Carbon storage</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5,773.76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 </w:t>
            </w:r>
            <w:r w:rsidRPr="007A56B5">
              <w:rPr>
                <w:rFonts w:ascii="Cambria" w:eastAsia="Times New Roman" w:hAnsi="Cambria" w:cs="Times New Roman"/>
                <w:color w:val="000000"/>
                <w:sz w:val="20"/>
                <w:szCs w:val="20"/>
              </w:rPr>
              <w:t>Carbon sequestration</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0.56 million Indian rupees/</w:t>
            </w:r>
            <w:proofErr w:type="spellStart"/>
            <w:r w:rsidRPr="007A56B5">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99.29 Indian rupees/ha/</w:t>
            </w:r>
            <w:proofErr w:type="spellStart"/>
            <w:r w:rsidRPr="007A56B5">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Everard</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7F7EF136" w14:textId="42B65699" w:rsidR="00535BED" w:rsidRPr="008D6B14"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t>Carbon sequestration: US$251/ha/</w:t>
            </w:r>
            <w:proofErr w:type="spellStart"/>
            <w:r w:rsidRPr="00AF54B9">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Huxham</w:t>
            </w:r>
            <w:proofErr w:type="spellEnd"/>
            <w:r>
              <w:rPr>
                <w:rFonts w:ascii="Cambria" w:eastAsia="Times New Roman" w:hAnsi="Cambria" w:cs="Times New Roman"/>
                <w:color w:val="000000"/>
                <w:sz w:val="20"/>
                <w:szCs w:val="20"/>
              </w:rPr>
              <w:t xml:space="preserve"> et al. 2015)</w:t>
            </w:r>
          </w:p>
        </w:tc>
        <w:tc>
          <w:tcPr>
            <w:tcW w:w="1350" w:type="dxa"/>
            <w:tcBorders>
              <w:top w:val="nil"/>
              <w:left w:val="nil"/>
              <w:bottom w:val="single" w:sz="4" w:space="0" w:color="auto"/>
              <w:right w:val="single" w:sz="4" w:space="0" w:color="auto"/>
            </w:tcBorders>
            <w:shd w:val="clear" w:color="000000" w:fill="E2EFDA"/>
          </w:tcPr>
          <w:p w14:paraId="3109B678" w14:textId="14855D48" w:rsidR="007A56B5" w:rsidRPr="007A56B5"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Social cost of carbon</w:t>
            </w:r>
            <w:r>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$56,045/ha</w:t>
            </w:r>
            <w:r>
              <w:rPr>
                <w:rFonts w:ascii="Cambria" w:eastAsia="Times New Roman" w:hAnsi="Cambria" w:cs="Times New Roman"/>
                <w:color w:val="000000"/>
                <w:sz w:val="20"/>
                <w:szCs w:val="20"/>
              </w:rPr>
              <w:t xml:space="preserve">, </w:t>
            </w:r>
            <w:r w:rsidRPr="007A56B5">
              <w:rPr>
                <w:rFonts w:ascii="Cambria" w:eastAsia="Times New Roman" w:hAnsi="Cambria" w:cs="Times New Roman"/>
                <w:color w:val="000000"/>
                <w:sz w:val="20"/>
                <w:szCs w:val="20"/>
              </w:rPr>
              <w:t>Regional G</w:t>
            </w:r>
            <w:r>
              <w:rPr>
                <w:rFonts w:ascii="Cambria" w:eastAsia="Times New Roman" w:hAnsi="Cambria" w:cs="Times New Roman"/>
                <w:color w:val="000000"/>
                <w:sz w:val="20"/>
                <w:szCs w:val="20"/>
              </w:rPr>
              <w:t>reenhouse Gas Initiative market:</w:t>
            </w:r>
            <w:r w:rsidRPr="007A56B5">
              <w:rPr>
                <w:rFonts w:ascii="Cambria" w:eastAsia="Times New Roman" w:hAnsi="Cambria" w:cs="Times New Roman"/>
                <w:color w:val="000000"/>
                <w:sz w:val="20"/>
                <w:szCs w:val="20"/>
              </w:rPr>
              <w:t xml:space="preserve"> $6041/ha</w:t>
            </w:r>
            <w:r>
              <w:rPr>
                <w:rFonts w:ascii="Cambria" w:eastAsia="Times New Roman" w:hAnsi="Cambria" w:cs="Times New Roman"/>
                <w:color w:val="000000"/>
                <w:sz w:val="20"/>
                <w:szCs w:val="20"/>
              </w:rPr>
              <w:t xml:space="preserve">, </w:t>
            </w:r>
            <w:r w:rsidRPr="007A56B5">
              <w:rPr>
                <w:rFonts w:ascii="Cambria" w:eastAsia="Times New Roman" w:hAnsi="Cambria" w:cs="Times New Roman"/>
                <w:color w:val="000000"/>
                <w:sz w:val="20"/>
                <w:szCs w:val="20"/>
              </w:rPr>
              <w:t>Inter</w:t>
            </w:r>
            <w:r>
              <w:rPr>
                <w:rFonts w:ascii="Cambria" w:eastAsia="Times New Roman" w:hAnsi="Cambria" w:cs="Times New Roman"/>
                <w:color w:val="000000"/>
                <w:sz w:val="20"/>
                <w:szCs w:val="20"/>
              </w:rPr>
              <w:t>national voluntary market price:</w:t>
            </w:r>
            <w:r w:rsidRPr="007A56B5">
              <w:rPr>
                <w:rFonts w:ascii="Cambria" w:eastAsia="Times New Roman" w:hAnsi="Cambria" w:cs="Times New Roman"/>
                <w:color w:val="000000"/>
                <w:sz w:val="20"/>
                <w:szCs w:val="20"/>
              </w:rPr>
              <w:t xml:space="preserve"> $4819/ha</w:t>
            </w:r>
            <w:r>
              <w:rPr>
                <w:rFonts w:ascii="Cambria" w:eastAsia="Times New Roman" w:hAnsi="Cambria" w:cs="Times New Roman"/>
                <w:color w:val="000000"/>
                <w:sz w:val="20"/>
                <w:szCs w:val="20"/>
              </w:rPr>
              <w:t>,</w:t>
            </w:r>
          </w:p>
          <w:p w14:paraId="66C3570D" w14:textId="7B470BE1" w:rsidR="00535BED" w:rsidRPr="008D6B14"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Marginal abatement cost of carbon: $18793.60/ha</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Jerath</w:t>
            </w:r>
            <w:proofErr w:type="spellEnd"/>
            <w:r>
              <w:rPr>
                <w:rFonts w:ascii="Cambria" w:eastAsia="Times New Roman" w:hAnsi="Cambria" w:cs="Times New Roman"/>
                <w:color w:val="000000"/>
                <w:sz w:val="20"/>
                <w:szCs w:val="20"/>
              </w:rPr>
              <w:t xml:space="preserve"> et al. 2016)</w:t>
            </w:r>
          </w:p>
        </w:tc>
      </w:tr>
      <w:tr w:rsidR="00535BED" w:rsidRPr="007A56B5" w14:paraId="5A3D5E4D" w14:textId="6EEF8754" w:rsidTr="004368D7">
        <w:trPr>
          <w:trHeight w:val="449"/>
        </w:trPr>
        <w:tc>
          <w:tcPr>
            <w:tcW w:w="1440" w:type="dxa"/>
            <w:tcBorders>
              <w:top w:val="nil"/>
              <w:left w:val="single" w:sz="4" w:space="0" w:color="auto"/>
              <w:bottom w:val="single" w:sz="4" w:space="0" w:color="auto"/>
              <w:right w:val="single" w:sz="4" w:space="0" w:color="auto"/>
            </w:tcBorders>
            <w:shd w:val="clear" w:color="000000" w:fill="E2EFDA"/>
          </w:tcPr>
          <w:p w14:paraId="3570371C" w14:textId="15BB84E9"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Maintenance of soil fertility</w:t>
            </w:r>
          </w:p>
        </w:tc>
        <w:tc>
          <w:tcPr>
            <w:tcW w:w="1710" w:type="dxa"/>
            <w:tcBorders>
              <w:top w:val="nil"/>
              <w:left w:val="nil"/>
              <w:bottom w:val="single" w:sz="4" w:space="0" w:color="auto"/>
              <w:right w:val="single" w:sz="4" w:space="0" w:color="auto"/>
            </w:tcBorders>
            <w:shd w:val="clear" w:color="000000" w:fill="E2EFDA"/>
          </w:tcPr>
          <w:p w14:paraId="5A63A84B" w14:textId="17E7DCF6" w:rsidR="00535BED" w:rsidRPr="00E21688" w:rsidRDefault="00535BED" w:rsidP="00736B28">
            <w:pPr>
              <w:jc w:val="center"/>
              <w:rPr>
                <w:rFonts w:ascii="Cambria" w:hAnsi="Cambria"/>
                <w:sz w:val="20"/>
                <w:szCs w:val="20"/>
                <w:lang w:val="fr-FR"/>
              </w:rPr>
            </w:pPr>
            <w:proofErr w:type="spellStart"/>
            <w:r w:rsidRPr="00E21688">
              <w:rPr>
                <w:rFonts w:ascii="Cambria" w:hAnsi="Cambria"/>
                <w:sz w:val="20"/>
                <w:szCs w:val="20"/>
                <w:lang w:val="fr-FR"/>
              </w:rPr>
              <w:t>Oxygen</w:t>
            </w:r>
            <w:proofErr w:type="spellEnd"/>
            <w:r w:rsidRPr="00E21688">
              <w:rPr>
                <w:rFonts w:ascii="Cambria" w:hAnsi="Cambria"/>
                <w:sz w:val="20"/>
                <w:szCs w:val="20"/>
                <w:lang w:val="fr-FR"/>
              </w:rPr>
              <w:t xml:space="preserve"> production: US$3/ha/</w:t>
            </w:r>
            <w:proofErr w:type="spellStart"/>
            <w:r w:rsidRPr="00E21688">
              <w:rPr>
                <w:rFonts w:ascii="Cambria" w:hAnsi="Cambria"/>
                <w:sz w:val="20"/>
                <w:szCs w:val="20"/>
                <w:lang w:val="fr-FR"/>
              </w:rPr>
              <w:t>yr</w:t>
            </w:r>
            <w:proofErr w:type="spellEnd"/>
            <w:r w:rsidRPr="00E21688">
              <w:rPr>
                <w:rFonts w:ascii="Cambria" w:eastAsia="Times New Roman" w:hAnsi="Cambria" w:cs="Times New Roman"/>
                <w:color w:val="000000"/>
                <w:sz w:val="20"/>
                <w:szCs w:val="20"/>
                <w:lang w:val="fr-FR"/>
              </w:rPr>
              <w:t xml:space="preserve"> </w:t>
            </w:r>
            <w:r w:rsidRPr="00E21688">
              <w:rPr>
                <w:rFonts w:ascii="Cambria" w:eastAsia="Times New Roman" w:hAnsi="Cambria" w:cs="Times New Roman"/>
                <w:color w:val="000000"/>
                <w:sz w:val="20"/>
                <w:szCs w:val="20"/>
                <w:lang w:val="fr-FR"/>
              </w:rPr>
              <w:lastRenderedPageBreak/>
              <w:t>(</w:t>
            </w:r>
            <w:proofErr w:type="spellStart"/>
            <w:r w:rsidRPr="00E21688">
              <w:rPr>
                <w:rFonts w:ascii="Cambria" w:eastAsia="Times New Roman" w:hAnsi="Cambria" w:cs="Times New Roman"/>
                <w:color w:val="000000"/>
                <w:sz w:val="20"/>
                <w:szCs w:val="20"/>
                <w:lang w:val="fr-FR"/>
              </w:rPr>
              <w:t>Pernetta</w:t>
            </w:r>
            <w:proofErr w:type="spellEnd"/>
            <w:r w:rsidRPr="00E21688">
              <w:rPr>
                <w:rFonts w:ascii="Cambria" w:eastAsia="Times New Roman" w:hAnsi="Cambria" w:cs="Times New Roman"/>
                <w:color w:val="000000"/>
                <w:sz w:val="20"/>
                <w:szCs w:val="20"/>
                <w:lang w:val="fr-FR"/>
              </w:rPr>
              <w:t xml:space="preserve"> et al. 2013)</w:t>
            </w:r>
          </w:p>
        </w:tc>
        <w:tc>
          <w:tcPr>
            <w:tcW w:w="1350" w:type="dxa"/>
            <w:tcBorders>
              <w:top w:val="nil"/>
              <w:left w:val="nil"/>
              <w:bottom w:val="single" w:sz="4" w:space="0" w:color="auto"/>
              <w:right w:val="single" w:sz="4" w:space="0" w:color="auto"/>
            </w:tcBorders>
            <w:shd w:val="clear" w:color="000000" w:fill="E2EFDA"/>
          </w:tcPr>
          <w:p w14:paraId="3C3C3185" w14:textId="77777777" w:rsidR="00535BED" w:rsidRPr="00E21688" w:rsidRDefault="00535BED" w:rsidP="00736B28">
            <w:pPr>
              <w:jc w:val="center"/>
              <w:rPr>
                <w:rFonts w:ascii="Cambria" w:hAnsi="Cambria"/>
                <w:sz w:val="20"/>
                <w:szCs w:val="20"/>
                <w:lang w:val="fr-FR"/>
              </w:rPr>
            </w:pPr>
          </w:p>
        </w:tc>
        <w:tc>
          <w:tcPr>
            <w:tcW w:w="1350" w:type="dxa"/>
            <w:tcBorders>
              <w:top w:val="nil"/>
              <w:left w:val="nil"/>
              <w:bottom w:val="single" w:sz="4" w:space="0" w:color="auto"/>
              <w:right w:val="single" w:sz="4" w:space="0" w:color="auto"/>
            </w:tcBorders>
            <w:shd w:val="clear" w:color="000000" w:fill="E2EFDA"/>
          </w:tcPr>
          <w:p w14:paraId="6C4480D9" w14:textId="77777777" w:rsidR="00535BED" w:rsidRPr="00E21688" w:rsidRDefault="00535BED" w:rsidP="00736B28">
            <w:pPr>
              <w:jc w:val="center"/>
              <w:rPr>
                <w:rFonts w:ascii="Cambria" w:hAnsi="Cambria"/>
                <w:sz w:val="20"/>
                <w:szCs w:val="20"/>
                <w:lang w:val="fr-FR"/>
              </w:rPr>
            </w:pPr>
          </w:p>
        </w:tc>
        <w:tc>
          <w:tcPr>
            <w:tcW w:w="1440" w:type="dxa"/>
            <w:tcBorders>
              <w:top w:val="nil"/>
              <w:left w:val="nil"/>
              <w:bottom w:val="single" w:sz="4" w:space="0" w:color="auto"/>
              <w:right w:val="single" w:sz="4" w:space="0" w:color="auto"/>
            </w:tcBorders>
            <w:shd w:val="clear" w:color="000000" w:fill="E2EFDA"/>
          </w:tcPr>
          <w:p w14:paraId="1B0FF441" w14:textId="77777777" w:rsidR="00535BED" w:rsidRPr="00E21688" w:rsidRDefault="00535BED" w:rsidP="00736B28">
            <w:pPr>
              <w:jc w:val="center"/>
              <w:rPr>
                <w:rFonts w:ascii="Cambria" w:hAnsi="Cambria"/>
                <w:sz w:val="20"/>
                <w:szCs w:val="20"/>
                <w:lang w:val="fr-FR"/>
              </w:rPr>
            </w:pPr>
          </w:p>
        </w:tc>
        <w:tc>
          <w:tcPr>
            <w:tcW w:w="1440" w:type="dxa"/>
            <w:tcBorders>
              <w:top w:val="single" w:sz="4" w:space="0" w:color="auto"/>
              <w:left w:val="nil"/>
              <w:bottom w:val="single" w:sz="4" w:space="0" w:color="auto"/>
              <w:right w:val="single" w:sz="4" w:space="0" w:color="auto"/>
            </w:tcBorders>
            <w:shd w:val="clear" w:color="000000" w:fill="E2EFDA"/>
          </w:tcPr>
          <w:p w14:paraId="358E056D" w14:textId="77777777" w:rsidR="00535BED" w:rsidRPr="00E21688" w:rsidRDefault="00535BED" w:rsidP="00736B28">
            <w:pPr>
              <w:jc w:val="center"/>
              <w:rPr>
                <w:rFonts w:ascii="Cambria" w:eastAsia="Times New Roman" w:hAnsi="Cambria" w:cs="Times New Roman"/>
                <w:color w:val="000000"/>
                <w:sz w:val="20"/>
                <w:szCs w:val="20"/>
                <w:lang w:val="fr-FR"/>
              </w:rPr>
            </w:pPr>
          </w:p>
        </w:tc>
        <w:tc>
          <w:tcPr>
            <w:tcW w:w="1350" w:type="dxa"/>
            <w:tcBorders>
              <w:top w:val="nil"/>
              <w:left w:val="single" w:sz="4" w:space="0" w:color="auto"/>
              <w:bottom w:val="single" w:sz="4" w:space="0" w:color="auto"/>
              <w:right w:val="single" w:sz="4" w:space="0" w:color="auto"/>
            </w:tcBorders>
            <w:shd w:val="clear" w:color="000000" w:fill="E2EFDA"/>
          </w:tcPr>
          <w:p w14:paraId="2472E53D" w14:textId="77777777" w:rsidR="00535BED" w:rsidRPr="00E21688" w:rsidRDefault="00535BED" w:rsidP="00736B28">
            <w:pPr>
              <w:jc w:val="center"/>
              <w:rPr>
                <w:rFonts w:ascii="Cambria" w:eastAsia="Times New Roman" w:hAnsi="Cambria" w:cs="Times New Roman"/>
                <w:color w:val="000000"/>
                <w:sz w:val="20"/>
                <w:szCs w:val="20"/>
                <w:lang w:val="fr-FR"/>
              </w:rPr>
            </w:pPr>
          </w:p>
        </w:tc>
        <w:tc>
          <w:tcPr>
            <w:tcW w:w="1440" w:type="dxa"/>
            <w:tcBorders>
              <w:top w:val="nil"/>
              <w:left w:val="nil"/>
              <w:bottom w:val="single" w:sz="4" w:space="0" w:color="auto"/>
              <w:right w:val="single" w:sz="4" w:space="0" w:color="auto"/>
            </w:tcBorders>
            <w:shd w:val="clear" w:color="000000" w:fill="E2EFDA"/>
          </w:tcPr>
          <w:p w14:paraId="66D1294D" w14:textId="2F23EB02" w:rsidR="00535BED" w:rsidRPr="007A56B5" w:rsidRDefault="007A56B5" w:rsidP="00736B28">
            <w:pPr>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Nutrient storage</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7,510.48 </w:t>
            </w:r>
            <w:r w:rsidRPr="007A56B5">
              <w:rPr>
                <w:rFonts w:ascii="Cambria" w:eastAsia="Times New Roman" w:hAnsi="Cambria" w:cs="Times New Roman"/>
                <w:color w:val="000000"/>
                <w:sz w:val="20"/>
                <w:szCs w:val="20"/>
              </w:rPr>
              <w:lastRenderedPageBreak/>
              <w:t>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4E1A18FC" w14:textId="422C38DB" w:rsidR="00535BED" w:rsidRPr="007A56B5"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6279A26" w14:textId="2B87D9CE" w:rsidR="00535BED" w:rsidRPr="007A56B5" w:rsidRDefault="00535BED" w:rsidP="00736B28">
            <w:pPr>
              <w:jc w:val="center"/>
              <w:rPr>
                <w:rFonts w:ascii="Cambria" w:eastAsia="Times New Roman" w:hAnsi="Cambria" w:cs="Times New Roman"/>
                <w:color w:val="000000"/>
                <w:sz w:val="20"/>
                <w:szCs w:val="20"/>
              </w:rPr>
            </w:pPr>
          </w:p>
        </w:tc>
      </w:tr>
      <w:tr w:rsidR="00535BED" w:rsidRPr="00761424" w14:paraId="1210881A" w14:textId="68518EBA" w:rsidTr="004368D7">
        <w:trPr>
          <w:trHeight w:val="251"/>
        </w:trPr>
        <w:tc>
          <w:tcPr>
            <w:tcW w:w="1440" w:type="dxa"/>
            <w:tcBorders>
              <w:top w:val="nil"/>
              <w:left w:val="single" w:sz="4" w:space="0" w:color="auto"/>
              <w:bottom w:val="single" w:sz="4" w:space="0" w:color="auto"/>
              <w:right w:val="single" w:sz="4" w:space="0" w:color="auto"/>
            </w:tcBorders>
            <w:shd w:val="clear" w:color="000000" w:fill="E2EFDA"/>
          </w:tcPr>
          <w:p w14:paraId="7F57993E" w14:textId="6876AAEB"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Pollination</w:t>
            </w:r>
          </w:p>
        </w:tc>
        <w:tc>
          <w:tcPr>
            <w:tcW w:w="1710" w:type="dxa"/>
            <w:tcBorders>
              <w:top w:val="nil"/>
              <w:left w:val="nil"/>
              <w:bottom w:val="single" w:sz="4" w:space="0" w:color="auto"/>
              <w:right w:val="single" w:sz="4" w:space="0" w:color="auto"/>
            </w:tcBorders>
            <w:shd w:val="clear" w:color="000000" w:fill="E2EFDA"/>
          </w:tcPr>
          <w:p w14:paraId="487EA93F"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3E2FC049"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48F087A9" w14:textId="77777777" w:rsidR="00535BED" w:rsidRPr="00761424" w:rsidRDefault="00535BED" w:rsidP="00736B28">
            <w:pPr>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4E9141C0" w14:textId="77777777" w:rsidR="00535BED" w:rsidRPr="00761424" w:rsidRDefault="00535BED" w:rsidP="00736B28">
            <w:pPr>
              <w:jc w:val="center"/>
              <w:rPr>
                <w:rFonts w:ascii="Cambria" w:hAnsi="Cambria"/>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53DE042F"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07535732" w14:textId="77777777" w:rsidR="00535BED" w:rsidRPr="00761424" w:rsidRDefault="00535BED" w:rsidP="00736B28">
            <w:pPr>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2344C91F"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3594370C" w14:textId="012A6E81"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1BDD5734" w14:textId="7749E22C" w:rsidR="00535BED" w:rsidRPr="00761424" w:rsidRDefault="00535BED" w:rsidP="00736B28">
            <w:pPr>
              <w:jc w:val="center"/>
              <w:rPr>
                <w:rFonts w:ascii="Cambria" w:eastAsia="Times New Roman" w:hAnsi="Cambria" w:cs="Times New Roman"/>
                <w:color w:val="000000"/>
                <w:sz w:val="20"/>
                <w:szCs w:val="20"/>
              </w:rPr>
            </w:pPr>
          </w:p>
        </w:tc>
      </w:tr>
      <w:tr w:rsidR="00535BED" w:rsidRPr="00761424" w14:paraId="1FBA6141" w14:textId="1567335F" w:rsidTr="004368D7">
        <w:trPr>
          <w:trHeight w:val="431"/>
        </w:trPr>
        <w:tc>
          <w:tcPr>
            <w:tcW w:w="1440" w:type="dxa"/>
            <w:tcBorders>
              <w:top w:val="nil"/>
              <w:left w:val="single" w:sz="4" w:space="0" w:color="auto"/>
              <w:bottom w:val="single" w:sz="4" w:space="0" w:color="auto"/>
              <w:right w:val="single" w:sz="4" w:space="0" w:color="auto"/>
            </w:tcBorders>
            <w:shd w:val="clear" w:color="000000" w:fill="E2EFDA"/>
          </w:tcPr>
          <w:p w14:paraId="1F41FE87" w14:textId="52288382"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Biological control</w:t>
            </w:r>
          </w:p>
        </w:tc>
        <w:tc>
          <w:tcPr>
            <w:tcW w:w="1710" w:type="dxa"/>
            <w:tcBorders>
              <w:top w:val="nil"/>
              <w:left w:val="nil"/>
              <w:bottom w:val="single" w:sz="4" w:space="0" w:color="auto"/>
              <w:right w:val="single" w:sz="4" w:space="0" w:color="auto"/>
            </w:tcBorders>
            <w:shd w:val="clear" w:color="000000" w:fill="E2EFDA"/>
          </w:tcPr>
          <w:p w14:paraId="74304711"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7B234AA3"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13F34BF9" w14:textId="77777777" w:rsidR="00535BED" w:rsidRPr="00761424" w:rsidRDefault="00535BED" w:rsidP="00736B28">
            <w:pPr>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77B65390" w14:textId="77777777" w:rsidR="00535BED" w:rsidRPr="00761424" w:rsidRDefault="00535BED" w:rsidP="00736B28">
            <w:pPr>
              <w:jc w:val="center"/>
              <w:rPr>
                <w:rFonts w:ascii="Cambria" w:hAnsi="Cambria"/>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755CDCC6"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068EA147" w14:textId="77777777" w:rsidR="00535BED" w:rsidRPr="00761424" w:rsidRDefault="00535BED" w:rsidP="00736B28">
            <w:pPr>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28CDD253"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28B0BFCA" w14:textId="20E46755"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332A6FF2" w14:textId="06785A2F" w:rsidR="00535BED" w:rsidRPr="00761424" w:rsidRDefault="00535BED" w:rsidP="00736B28">
            <w:pPr>
              <w:jc w:val="center"/>
              <w:rPr>
                <w:rFonts w:ascii="Cambria" w:eastAsia="Times New Roman" w:hAnsi="Cambria" w:cs="Times New Roman"/>
                <w:color w:val="000000"/>
                <w:sz w:val="20"/>
                <w:szCs w:val="20"/>
              </w:rPr>
            </w:pPr>
          </w:p>
        </w:tc>
      </w:tr>
      <w:tr w:rsidR="00535BED" w:rsidRPr="00761424" w14:paraId="61F93AA5" w14:textId="7E1565BC" w:rsidTr="004368D7">
        <w:trPr>
          <w:trHeight w:val="395"/>
        </w:trPr>
        <w:tc>
          <w:tcPr>
            <w:tcW w:w="1440" w:type="dxa"/>
            <w:tcBorders>
              <w:top w:val="nil"/>
              <w:left w:val="single" w:sz="4" w:space="0" w:color="auto"/>
              <w:bottom w:val="single" w:sz="4" w:space="0" w:color="auto"/>
              <w:right w:val="single" w:sz="4" w:space="0" w:color="auto"/>
            </w:tcBorders>
            <w:shd w:val="clear" w:color="000000" w:fill="A8D08D"/>
            <w:hideMark/>
          </w:tcPr>
          <w:p w14:paraId="4C31CF48" w14:textId="5672A031"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Supporting services</w:t>
            </w:r>
          </w:p>
        </w:tc>
        <w:tc>
          <w:tcPr>
            <w:tcW w:w="1710" w:type="dxa"/>
            <w:tcBorders>
              <w:top w:val="nil"/>
              <w:left w:val="nil"/>
              <w:bottom w:val="single" w:sz="4" w:space="0" w:color="auto"/>
              <w:right w:val="single" w:sz="4" w:space="0" w:color="auto"/>
            </w:tcBorders>
            <w:shd w:val="clear" w:color="000000" w:fill="A8D08D"/>
          </w:tcPr>
          <w:p w14:paraId="12F75B5D"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3678BB07"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50ABD6E1"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A8D08D"/>
          </w:tcPr>
          <w:p w14:paraId="6B5F5FAF"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A8D08D"/>
          </w:tcPr>
          <w:p w14:paraId="5A7B66E4"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A8D08D"/>
          </w:tcPr>
          <w:p w14:paraId="4B2723C0"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A8D08D"/>
          </w:tcPr>
          <w:p w14:paraId="37935E4F"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44E6B6A2" w14:textId="7B0A7019"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15ECE0CD" w14:textId="5945664E"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1B0A162A" w14:textId="3B78C38F" w:rsidTr="004368D7">
        <w:trPr>
          <w:trHeight w:val="647"/>
        </w:trPr>
        <w:tc>
          <w:tcPr>
            <w:tcW w:w="1440" w:type="dxa"/>
            <w:tcBorders>
              <w:top w:val="nil"/>
              <w:left w:val="single" w:sz="4" w:space="0" w:color="auto"/>
              <w:bottom w:val="single" w:sz="4" w:space="0" w:color="auto"/>
              <w:right w:val="single" w:sz="4" w:space="0" w:color="auto"/>
            </w:tcBorders>
            <w:shd w:val="clear" w:color="000000" w:fill="E2EFDA"/>
            <w:hideMark/>
          </w:tcPr>
          <w:p w14:paraId="314BA4F5" w14:textId="125B7287"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Maintenance of life cycles of migratory species</w:t>
            </w:r>
          </w:p>
        </w:tc>
        <w:tc>
          <w:tcPr>
            <w:tcW w:w="1710" w:type="dxa"/>
            <w:tcBorders>
              <w:top w:val="nil"/>
              <w:left w:val="nil"/>
              <w:bottom w:val="single" w:sz="4" w:space="0" w:color="auto"/>
              <w:right w:val="single" w:sz="4" w:space="0" w:color="auto"/>
            </w:tcBorders>
            <w:shd w:val="clear" w:color="000000" w:fill="E2EFDA"/>
          </w:tcPr>
          <w:p w14:paraId="1DA33E1B" w14:textId="351497F8" w:rsidR="00535BED" w:rsidRPr="00761424" w:rsidRDefault="00535BED" w:rsidP="00736B28">
            <w:pPr>
              <w:jc w:val="center"/>
              <w:rPr>
                <w:rFonts w:ascii="Cambria" w:hAnsi="Cambria"/>
                <w:sz w:val="20"/>
                <w:szCs w:val="20"/>
              </w:rPr>
            </w:pPr>
            <w:r w:rsidRPr="00E21688">
              <w:rPr>
                <w:rFonts w:ascii="Cambria" w:hAnsi="Cambria"/>
                <w:sz w:val="20"/>
                <w:szCs w:val="20"/>
              </w:rPr>
              <w:t>Nursery function: US$573/ha/</w:t>
            </w:r>
            <w:proofErr w:type="spellStart"/>
            <w:r w:rsidRPr="00E21688">
              <w:rPr>
                <w:rFonts w:ascii="Cambria" w:hAnsi="Cambria"/>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t>
            </w:r>
            <w:proofErr w:type="spellStart"/>
            <w:r w:rsidRPr="00E21688">
              <w:rPr>
                <w:rFonts w:ascii="Cambria" w:eastAsia="Times New Roman" w:hAnsi="Cambria" w:cs="Times New Roman"/>
                <w:color w:val="000000"/>
                <w:sz w:val="20"/>
                <w:szCs w:val="20"/>
              </w:rPr>
              <w:t>Pernetta</w:t>
            </w:r>
            <w:proofErr w:type="spellEnd"/>
            <w:r w:rsidRPr="00E21688">
              <w:rPr>
                <w:rFonts w:ascii="Cambria" w:eastAsia="Times New Roman" w:hAnsi="Cambria" w:cs="Times New Roman"/>
                <w:color w:val="000000"/>
                <w:sz w:val="20"/>
                <w:szCs w:val="20"/>
              </w:rPr>
              <w:t xml:space="preserve"> et al. 2013)</w:t>
            </w:r>
          </w:p>
        </w:tc>
        <w:tc>
          <w:tcPr>
            <w:tcW w:w="1350" w:type="dxa"/>
            <w:tcBorders>
              <w:top w:val="nil"/>
              <w:left w:val="nil"/>
              <w:bottom w:val="single" w:sz="4" w:space="0" w:color="auto"/>
              <w:right w:val="single" w:sz="4" w:space="0" w:color="auto"/>
            </w:tcBorders>
            <w:shd w:val="clear" w:color="000000" w:fill="E2EFDA"/>
          </w:tcPr>
          <w:p w14:paraId="1A924ECE"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79E5E2C4" w14:textId="77777777" w:rsidR="00535BED" w:rsidRPr="00761424" w:rsidRDefault="00535BED" w:rsidP="00736B28">
            <w:pPr>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0339604F"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2B6E9F2C" w14:textId="5EDFC15B"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DA39BE">
              <w:rPr>
                <w:rFonts w:ascii="Cambria" w:eastAsia="Times New Roman" w:hAnsi="Cambria" w:cs="Times New Roman"/>
                <w:color w:val="000000"/>
                <w:sz w:val="20"/>
                <w:szCs w:val="20"/>
              </w:rPr>
              <w:t>Nursery value: US$2124/ha/</w:t>
            </w:r>
            <w:proofErr w:type="spellStart"/>
            <w:r w:rsidRPr="00DA39BE">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Kuenzer</w:t>
            </w:r>
            <w:proofErr w:type="spellEnd"/>
            <w:r>
              <w:rPr>
                <w:rFonts w:ascii="Cambria" w:eastAsia="Times New Roman" w:hAnsi="Cambria" w:cs="Times New Roman"/>
                <w:color w:val="000000"/>
                <w:sz w:val="20"/>
                <w:szCs w:val="20"/>
              </w:rPr>
              <w:t xml:space="preserve"> and Tuan 2013)</w:t>
            </w:r>
          </w:p>
        </w:tc>
        <w:tc>
          <w:tcPr>
            <w:tcW w:w="1350" w:type="dxa"/>
            <w:tcBorders>
              <w:top w:val="nil"/>
              <w:left w:val="single" w:sz="4" w:space="0" w:color="auto"/>
              <w:bottom w:val="single" w:sz="4" w:space="0" w:color="auto"/>
              <w:right w:val="single" w:sz="4" w:space="0" w:color="auto"/>
            </w:tcBorders>
            <w:shd w:val="clear" w:color="000000" w:fill="E2EFDA"/>
          </w:tcPr>
          <w:p w14:paraId="4DDD296F" w14:textId="3DBEAEAE" w:rsidR="00535BED" w:rsidRPr="00761424" w:rsidRDefault="00535BED" w:rsidP="00736B28">
            <w:pPr>
              <w:spacing w:after="0" w:line="240" w:lineRule="auto"/>
              <w:jc w:val="center"/>
              <w:rPr>
                <w:rFonts w:ascii="Cambria" w:eastAsia="Times New Roman" w:hAnsi="Cambria" w:cs="Times New Roman"/>
                <w:color w:val="000000"/>
                <w:sz w:val="20"/>
                <w:szCs w:val="20"/>
              </w:rPr>
            </w:pPr>
            <w:proofErr w:type="spellStart"/>
            <w:r w:rsidRPr="004D1D13">
              <w:rPr>
                <w:rFonts w:ascii="Cambria" w:eastAsia="Times New Roman" w:hAnsi="Cambria" w:cs="Times New Roman"/>
                <w:color w:val="000000"/>
                <w:sz w:val="20"/>
                <w:szCs w:val="20"/>
              </w:rPr>
              <w:t>Refugia</w:t>
            </w:r>
            <w:proofErr w:type="spellEnd"/>
            <w:r w:rsidRPr="004D1D13">
              <w:rPr>
                <w:rFonts w:ascii="Cambria" w:eastAsia="Times New Roman" w:hAnsi="Cambria" w:cs="Times New Roman"/>
                <w:color w:val="000000"/>
                <w:sz w:val="20"/>
                <w:szCs w:val="20"/>
              </w:rPr>
              <w:t>: NZ$413.46/ha/</w:t>
            </w:r>
            <w:proofErr w:type="spellStart"/>
            <w:r w:rsidRPr="004D1D13">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(Patterson and Cole 2013); </w:t>
            </w:r>
            <w:r w:rsidRPr="00535BED">
              <w:rPr>
                <w:rFonts w:ascii="Cambria" w:eastAsia="Times New Roman" w:hAnsi="Cambria" w:cs="Times New Roman"/>
                <w:color w:val="000000"/>
                <w:sz w:val="20"/>
                <w:szCs w:val="20"/>
              </w:rPr>
              <w:t>Fisheries nursery and breeding habitat: MMK 1097574/ha/</w:t>
            </w:r>
            <w:proofErr w:type="spellStart"/>
            <w:r w:rsidRPr="00535BED">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535BED">
              <w:rPr>
                <w:rFonts w:ascii="Cambria" w:eastAsia="Times New Roman" w:hAnsi="Cambria" w:cs="Times New Roman"/>
                <w:color w:val="000000"/>
                <w:sz w:val="20"/>
                <w:szCs w:val="20"/>
              </w:rPr>
              <w:t xml:space="preserve"> US$1,130 /ha/</w:t>
            </w:r>
            <w:proofErr w:type="spellStart"/>
            <w:r w:rsidRPr="00535BED">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(Emerton and Aung 2013); nursery grounds for fish</w:t>
            </w:r>
            <w:r w:rsidRPr="00535BED">
              <w:rPr>
                <w:rFonts w:ascii="Cambria" w:eastAsia="Times New Roman" w:hAnsi="Cambria" w:cs="Times New Roman"/>
                <w:color w:val="000000"/>
                <w:sz w:val="20"/>
                <w:szCs w:val="20"/>
              </w:rPr>
              <w:t>: US$ 425.60/ha/year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Interweis</w:t>
            </w:r>
            <w:proofErr w:type="spellEnd"/>
            <w:r>
              <w:rPr>
                <w:rFonts w:ascii="Cambria" w:eastAsia="Times New Roman" w:hAnsi="Cambria" w:cs="Times New Roman"/>
                <w:color w:val="000000"/>
                <w:sz w:val="20"/>
                <w:szCs w:val="20"/>
              </w:rPr>
              <w:t xml:space="preserve"> and Gorlitz 2013)</w:t>
            </w:r>
          </w:p>
        </w:tc>
        <w:tc>
          <w:tcPr>
            <w:tcW w:w="1440" w:type="dxa"/>
            <w:tcBorders>
              <w:top w:val="nil"/>
              <w:left w:val="nil"/>
              <w:bottom w:val="single" w:sz="4" w:space="0" w:color="auto"/>
              <w:right w:val="single" w:sz="4" w:space="0" w:color="auto"/>
            </w:tcBorders>
            <w:shd w:val="clear" w:color="000000" w:fill="E2EFDA"/>
          </w:tcPr>
          <w:p w14:paraId="56FBC127" w14:textId="4F012443" w:rsidR="007A56B5" w:rsidRPr="007A56B5"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Nursery and food habitat of aquatic animals</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7,294.07 Baht/Household/Year</w:t>
            </w:r>
          </w:p>
          <w:p w14:paraId="132DDF7F" w14:textId="135412C8" w:rsidR="007A56B5" w:rsidRPr="007A56B5"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Benthos</w:t>
            </w:r>
            <w:r>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h</w:t>
            </w:r>
            <w:r w:rsidRPr="007A56B5">
              <w:rPr>
                <w:rFonts w:ascii="Cambria" w:eastAsia="Times New Roman" w:hAnsi="Cambria" w:cs="Times New Roman"/>
                <w:color w:val="000000"/>
                <w:sz w:val="20"/>
                <w:szCs w:val="20"/>
              </w:rPr>
              <w:t>abitat</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10,844.13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w:t>
            </w:r>
          </w:p>
          <w:p w14:paraId="388B67FC" w14:textId="124E7D6D"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4B3067C7" w14:textId="7BDD8A0D" w:rsidR="00535BED" w:rsidRPr="00761424"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t>Nursery habitat: US$44.82/household/</w:t>
            </w:r>
            <w:proofErr w:type="spellStart"/>
            <w:r w:rsidRPr="00AF54B9">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Sopheak</w:t>
            </w:r>
            <w:proofErr w:type="spellEnd"/>
            <w:r>
              <w:rPr>
                <w:rFonts w:ascii="Cambria" w:eastAsia="Times New Roman" w:hAnsi="Cambria" w:cs="Times New Roman"/>
                <w:color w:val="000000"/>
                <w:sz w:val="20"/>
                <w:szCs w:val="20"/>
              </w:rPr>
              <w:t xml:space="preserve"> and </w:t>
            </w:r>
            <w:proofErr w:type="spellStart"/>
            <w:r>
              <w:rPr>
                <w:rFonts w:ascii="Cambria" w:eastAsia="Times New Roman" w:hAnsi="Cambria" w:cs="Times New Roman"/>
                <w:color w:val="000000"/>
                <w:sz w:val="20"/>
                <w:szCs w:val="20"/>
              </w:rPr>
              <w:t>Hoeurn</w:t>
            </w:r>
            <w:proofErr w:type="spellEnd"/>
            <w:r>
              <w:rPr>
                <w:rFonts w:ascii="Cambria" w:eastAsia="Times New Roman" w:hAnsi="Cambria" w:cs="Times New Roman"/>
                <w:color w:val="000000"/>
                <w:sz w:val="20"/>
                <w:szCs w:val="20"/>
              </w:rPr>
              <w:t xml:space="preserve"> 2016)</w:t>
            </w:r>
          </w:p>
        </w:tc>
        <w:tc>
          <w:tcPr>
            <w:tcW w:w="1350" w:type="dxa"/>
            <w:tcBorders>
              <w:top w:val="nil"/>
              <w:left w:val="nil"/>
              <w:bottom w:val="single" w:sz="4" w:space="0" w:color="auto"/>
              <w:right w:val="single" w:sz="4" w:space="0" w:color="auto"/>
            </w:tcBorders>
            <w:shd w:val="clear" w:color="000000" w:fill="E2EFDA"/>
          </w:tcPr>
          <w:p w14:paraId="22F30970" w14:textId="35D6F400"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2FD95157" w14:textId="60BDC1E9" w:rsidTr="004368D7">
        <w:trPr>
          <w:trHeight w:val="647"/>
        </w:trPr>
        <w:tc>
          <w:tcPr>
            <w:tcW w:w="1440" w:type="dxa"/>
            <w:tcBorders>
              <w:top w:val="nil"/>
              <w:left w:val="single" w:sz="4" w:space="0" w:color="auto"/>
              <w:bottom w:val="single" w:sz="4" w:space="0" w:color="auto"/>
              <w:right w:val="single" w:sz="4" w:space="0" w:color="auto"/>
            </w:tcBorders>
            <w:shd w:val="clear" w:color="000000" w:fill="E2EFDA"/>
          </w:tcPr>
          <w:p w14:paraId="6D00FDB5" w14:textId="2027E708"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Maintenance of genetic diversity</w:t>
            </w:r>
          </w:p>
        </w:tc>
        <w:tc>
          <w:tcPr>
            <w:tcW w:w="1710" w:type="dxa"/>
            <w:tcBorders>
              <w:top w:val="nil"/>
              <w:left w:val="nil"/>
              <w:bottom w:val="single" w:sz="4" w:space="0" w:color="auto"/>
              <w:right w:val="single" w:sz="4" w:space="0" w:color="auto"/>
            </w:tcBorders>
            <w:shd w:val="clear" w:color="000000" w:fill="E2EFDA"/>
          </w:tcPr>
          <w:p w14:paraId="70C2F163"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01B35323" w14:textId="77777777" w:rsidR="00535BED" w:rsidRPr="00761424" w:rsidRDefault="00535BED" w:rsidP="00736B28">
            <w:pPr>
              <w:spacing w:after="0" w:line="240" w:lineRule="auto"/>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5789160B" w14:textId="77777777" w:rsidR="00535BED" w:rsidRPr="00761424" w:rsidRDefault="00535BED" w:rsidP="00736B28">
            <w:pPr>
              <w:spacing w:after="0" w:line="240" w:lineRule="auto"/>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411F83E8" w14:textId="137C43B7" w:rsidR="00535BED" w:rsidRPr="00761424" w:rsidRDefault="00535BED" w:rsidP="00736B28">
            <w:pPr>
              <w:spacing w:after="0" w:line="240" w:lineRule="auto"/>
              <w:jc w:val="center"/>
              <w:rPr>
                <w:rFonts w:ascii="Cambria" w:eastAsia="Times New Roman" w:hAnsi="Cambria" w:cs="Times New Roman"/>
                <w:color w:val="000000"/>
                <w:sz w:val="20"/>
                <w:szCs w:val="20"/>
              </w:rPr>
            </w:pPr>
            <w:r w:rsidRPr="00743644">
              <w:rPr>
                <w:rFonts w:ascii="Cambria" w:eastAsia="Times New Roman" w:hAnsi="Cambria" w:cs="Times New Roman"/>
                <w:color w:val="000000"/>
                <w:sz w:val="20"/>
                <w:szCs w:val="20"/>
              </w:rPr>
              <w:t>US$5/ha/</w:t>
            </w:r>
            <w:proofErr w:type="spellStart"/>
            <w:r w:rsidRPr="00743644">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Hoberg</w:t>
            </w:r>
            <w:proofErr w:type="spellEnd"/>
            <w:r>
              <w:rPr>
                <w:rFonts w:ascii="Cambria" w:eastAsia="Times New Roman" w:hAnsi="Cambria" w:cs="Times New Roman"/>
                <w:color w:val="000000"/>
                <w:sz w:val="20"/>
                <w:szCs w:val="20"/>
              </w:rPr>
              <w:t xml:space="preserve"> 2011)</w:t>
            </w:r>
          </w:p>
        </w:tc>
        <w:tc>
          <w:tcPr>
            <w:tcW w:w="1440" w:type="dxa"/>
            <w:tcBorders>
              <w:top w:val="single" w:sz="4" w:space="0" w:color="auto"/>
              <w:left w:val="nil"/>
              <w:bottom w:val="single" w:sz="4" w:space="0" w:color="auto"/>
              <w:right w:val="single" w:sz="4" w:space="0" w:color="auto"/>
            </w:tcBorders>
            <w:shd w:val="clear" w:color="000000" w:fill="E2EFDA"/>
          </w:tcPr>
          <w:p w14:paraId="255D7CE7"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0E8D73E0"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63A31690" w14:textId="7F155D9A" w:rsidR="00535BED" w:rsidRPr="00761424"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 xml:space="preserve">Genetic diversity/Biodiversity </w:t>
            </w:r>
            <w:r w:rsidRPr="007A56B5">
              <w:rPr>
                <w:rFonts w:ascii="Cambria" w:eastAsia="Times New Roman" w:hAnsi="Cambria" w:cs="Times New Roman"/>
                <w:color w:val="000000"/>
                <w:sz w:val="20"/>
                <w:szCs w:val="20"/>
              </w:rPr>
              <w:lastRenderedPageBreak/>
              <w:t>source</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7,539.21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711438F0" w14:textId="5720EE29"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6AC4F8A2" w14:textId="530273F9"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4ECC545F" w14:textId="21835BC2" w:rsidTr="004368D7">
        <w:trPr>
          <w:trHeight w:val="467"/>
        </w:trPr>
        <w:tc>
          <w:tcPr>
            <w:tcW w:w="1440" w:type="dxa"/>
            <w:tcBorders>
              <w:top w:val="nil"/>
              <w:left w:val="single" w:sz="4" w:space="0" w:color="auto"/>
              <w:bottom w:val="single" w:sz="4" w:space="0" w:color="auto"/>
              <w:right w:val="single" w:sz="4" w:space="0" w:color="auto"/>
            </w:tcBorders>
            <w:shd w:val="clear" w:color="000000" w:fill="A8D08D"/>
            <w:hideMark/>
          </w:tcPr>
          <w:p w14:paraId="3F123DB6" w14:textId="39678267"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Cultural services</w:t>
            </w:r>
          </w:p>
        </w:tc>
        <w:tc>
          <w:tcPr>
            <w:tcW w:w="1710" w:type="dxa"/>
            <w:tcBorders>
              <w:top w:val="nil"/>
              <w:left w:val="nil"/>
              <w:bottom w:val="single" w:sz="4" w:space="0" w:color="auto"/>
              <w:right w:val="single" w:sz="4" w:space="0" w:color="auto"/>
            </w:tcBorders>
            <w:shd w:val="clear" w:color="000000" w:fill="A8D08D"/>
          </w:tcPr>
          <w:p w14:paraId="18F8C3B5"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1A78C31C"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25E1C02C"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A8D08D"/>
          </w:tcPr>
          <w:p w14:paraId="609617E6"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A8D08D"/>
          </w:tcPr>
          <w:p w14:paraId="2393F368"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A8D08D"/>
          </w:tcPr>
          <w:p w14:paraId="7DED93DA"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A8D08D"/>
          </w:tcPr>
          <w:p w14:paraId="1E4E1672"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8D08D"/>
          </w:tcPr>
          <w:p w14:paraId="791FAA11" w14:textId="56184CCF" w:rsidR="00535BED" w:rsidRPr="00761424"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t>Cultural services (tourism, education, research): US$41/ha/</w:t>
            </w:r>
            <w:proofErr w:type="spellStart"/>
            <w:r w:rsidRPr="00AF54B9">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Huxham</w:t>
            </w:r>
            <w:proofErr w:type="spellEnd"/>
            <w:r>
              <w:rPr>
                <w:rFonts w:ascii="Cambria" w:eastAsia="Times New Roman" w:hAnsi="Cambria" w:cs="Times New Roman"/>
                <w:color w:val="000000"/>
                <w:sz w:val="20"/>
                <w:szCs w:val="20"/>
              </w:rPr>
              <w:t xml:space="preserve"> et al. 2015)</w:t>
            </w:r>
          </w:p>
        </w:tc>
        <w:tc>
          <w:tcPr>
            <w:tcW w:w="1350" w:type="dxa"/>
            <w:tcBorders>
              <w:top w:val="nil"/>
              <w:left w:val="nil"/>
              <w:bottom w:val="single" w:sz="4" w:space="0" w:color="auto"/>
              <w:right w:val="single" w:sz="4" w:space="0" w:color="auto"/>
            </w:tcBorders>
            <w:shd w:val="clear" w:color="000000" w:fill="A8D08D"/>
          </w:tcPr>
          <w:p w14:paraId="4763F386" w14:textId="1A473922"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535BED" w:rsidRPr="00761424" w14:paraId="7C5B3D62" w14:textId="6082318C" w:rsidTr="004368D7">
        <w:trPr>
          <w:trHeight w:val="431"/>
        </w:trPr>
        <w:tc>
          <w:tcPr>
            <w:tcW w:w="1440" w:type="dxa"/>
            <w:tcBorders>
              <w:top w:val="nil"/>
              <w:left w:val="single" w:sz="4" w:space="0" w:color="auto"/>
              <w:bottom w:val="single" w:sz="4" w:space="0" w:color="auto"/>
              <w:right w:val="single" w:sz="4" w:space="0" w:color="auto"/>
            </w:tcBorders>
            <w:shd w:val="clear" w:color="000000" w:fill="E2EFDA"/>
            <w:hideMark/>
          </w:tcPr>
          <w:p w14:paraId="0FCDA6A4" w14:textId="40766D2D"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Aesthetic information</w:t>
            </w:r>
          </w:p>
        </w:tc>
        <w:tc>
          <w:tcPr>
            <w:tcW w:w="1710" w:type="dxa"/>
            <w:tcBorders>
              <w:top w:val="nil"/>
              <w:left w:val="nil"/>
              <w:bottom w:val="single" w:sz="4" w:space="0" w:color="auto"/>
              <w:right w:val="single" w:sz="4" w:space="0" w:color="auto"/>
            </w:tcBorders>
            <w:shd w:val="clear" w:color="000000" w:fill="E2EFDA"/>
          </w:tcPr>
          <w:p w14:paraId="61552096" w14:textId="7216CD52" w:rsidR="00535BED" w:rsidRPr="00761424" w:rsidRDefault="00535BED" w:rsidP="00736B28">
            <w:pPr>
              <w:spacing w:after="0"/>
              <w:jc w:val="center"/>
              <w:rPr>
                <w:rFonts w:ascii="Cambria" w:hAnsi="Cambria"/>
                <w:sz w:val="20"/>
                <w:szCs w:val="20"/>
              </w:rPr>
            </w:pPr>
            <w:r w:rsidRPr="00E21688">
              <w:rPr>
                <w:rFonts w:ascii="Cambria" w:hAnsi="Cambria"/>
                <w:sz w:val="20"/>
                <w:szCs w:val="20"/>
              </w:rPr>
              <w:t>Aesthetic value: US$11/ha/</w:t>
            </w:r>
            <w:proofErr w:type="spellStart"/>
            <w:r w:rsidRPr="00E21688">
              <w:rPr>
                <w:rFonts w:ascii="Cambria" w:hAnsi="Cambria"/>
                <w:sz w:val="20"/>
                <w:szCs w:val="20"/>
              </w:rPr>
              <w:t>yr</w:t>
            </w:r>
            <w:proofErr w:type="spellEnd"/>
            <w:r>
              <w:rPr>
                <w:rFonts w:ascii="Cambria" w:eastAsia="Times New Roman" w:hAnsi="Cambria" w:cs="Times New Roman"/>
                <w:color w:val="000000"/>
                <w:sz w:val="20"/>
                <w:szCs w:val="20"/>
              </w:rPr>
              <w:t xml:space="preserve"> </w:t>
            </w:r>
            <w:r w:rsidRPr="00E21688">
              <w:rPr>
                <w:rFonts w:ascii="Cambria" w:eastAsia="Times New Roman" w:hAnsi="Cambria" w:cs="Times New Roman"/>
                <w:color w:val="000000"/>
                <w:sz w:val="20"/>
                <w:szCs w:val="20"/>
              </w:rPr>
              <w:t>(</w:t>
            </w:r>
            <w:proofErr w:type="spellStart"/>
            <w:r w:rsidRPr="00E21688">
              <w:rPr>
                <w:rFonts w:ascii="Cambria" w:eastAsia="Times New Roman" w:hAnsi="Cambria" w:cs="Times New Roman"/>
                <w:color w:val="000000"/>
                <w:sz w:val="20"/>
                <w:szCs w:val="20"/>
              </w:rPr>
              <w:t>Pernetta</w:t>
            </w:r>
            <w:proofErr w:type="spellEnd"/>
            <w:r w:rsidRPr="00E21688">
              <w:rPr>
                <w:rFonts w:ascii="Cambria" w:eastAsia="Times New Roman" w:hAnsi="Cambria" w:cs="Times New Roman"/>
                <w:color w:val="000000"/>
                <w:sz w:val="20"/>
                <w:szCs w:val="20"/>
              </w:rPr>
              <w:t xml:space="preserve"> et al. 2013)</w:t>
            </w:r>
          </w:p>
        </w:tc>
        <w:tc>
          <w:tcPr>
            <w:tcW w:w="1350" w:type="dxa"/>
            <w:tcBorders>
              <w:top w:val="nil"/>
              <w:left w:val="nil"/>
              <w:bottom w:val="single" w:sz="4" w:space="0" w:color="auto"/>
              <w:right w:val="single" w:sz="4" w:space="0" w:color="auto"/>
            </w:tcBorders>
            <w:shd w:val="clear" w:color="000000" w:fill="E2EFDA"/>
          </w:tcPr>
          <w:p w14:paraId="19D00CC3"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5D864864"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0393FCF9"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3FAD82ED"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7E849C6E"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40721C1A" w14:textId="77777777"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5F5C8B5C" w14:textId="34BFDDD2" w:rsidR="00535BED" w:rsidRPr="00761424" w:rsidRDefault="00535BED"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DB3A7D7" w14:textId="5B0A9802" w:rsidR="00535BED" w:rsidRPr="00761424" w:rsidRDefault="00535BED" w:rsidP="00736B28">
            <w:pPr>
              <w:spacing w:after="0" w:line="240" w:lineRule="auto"/>
              <w:jc w:val="center"/>
              <w:rPr>
                <w:rFonts w:ascii="Cambria" w:eastAsia="Times New Roman" w:hAnsi="Cambria" w:cs="Times New Roman"/>
                <w:color w:val="000000"/>
                <w:sz w:val="20"/>
                <w:szCs w:val="20"/>
              </w:rPr>
            </w:pPr>
          </w:p>
        </w:tc>
      </w:tr>
      <w:tr w:rsidR="004933D9" w:rsidRPr="00A057E7" w14:paraId="6ADCCF30" w14:textId="77777777" w:rsidTr="004368D7">
        <w:trPr>
          <w:trHeight w:val="944"/>
        </w:trPr>
        <w:tc>
          <w:tcPr>
            <w:tcW w:w="1440" w:type="dxa"/>
            <w:tcBorders>
              <w:top w:val="nil"/>
              <w:left w:val="single" w:sz="4" w:space="0" w:color="auto"/>
              <w:bottom w:val="single" w:sz="4" w:space="0" w:color="auto"/>
              <w:right w:val="single" w:sz="4" w:space="0" w:color="auto"/>
            </w:tcBorders>
            <w:shd w:val="clear" w:color="000000" w:fill="E2EFDA"/>
          </w:tcPr>
          <w:p w14:paraId="157C8CBB" w14:textId="01893664" w:rsidR="004933D9" w:rsidRPr="00761424" w:rsidRDefault="004933D9" w:rsidP="00736B28">
            <w:pPr>
              <w:spacing w:after="0" w:line="240" w:lineRule="auto"/>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Spiritual experience</w:t>
            </w:r>
          </w:p>
        </w:tc>
        <w:tc>
          <w:tcPr>
            <w:tcW w:w="1710" w:type="dxa"/>
            <w:tcBorders>
              <w:top w:val="nil"/>
              <w:left w:val="nil"/>
              <w:bottom w:val="single" w:sz="4" w:space="0" w:color="auto"/>
              <w:right w:val="single" w:sz="4" w:space="0" w:color="auto"/>
            </w:tcBorders>
            <w:shd w:val="clear" w:color="000000" w:fill="E2EFDA"/>
          </w:tcPr>
          <w:p w14:paraId="662FA25F" w14:textId="77777777" w:rsidR="004933D9" w:rsidRPr="00E21688" w:rsidRDefault="004933D9" w:rsidP="00736B28">
            <w:pPr>
              <w:spacing w:after="0" w:line="240" w:lineRule="auto"/>
              <w:jc w:val="center"/>
              <w:rPr>
                <w:rFonts w:ascii="Cambria" w:eastAsia="Times New Roman" w:hAnsi="Cambria" w:cs="Times New Roman"/>
                <w:color w:val="000000"/>
                <w:sz w:val="20"/>
                <w:szCs w:val="20"/>
                <w:lang w:val="fr-FR"/>
              </w:rPr>
            </w:pPr>
          </w:p>
        </w:tc>
        <w:tc>
          <w:tcPr>
            <w:tcW w:w="1350" w:type="dxa"/>
            <w:tcBorders>
              <w:top w:val="nil"/>
              <w:left w:val="nil"/>
              <w:bottom w:val="single" w:sz="4" w:space="0" w:color="auto"/>
              <w:right w:val="single" w:sz="4" w:space="0" w:color="auto"/>
            </w:tcBorders>
            <w:shd w:val="clear" w:color="000000" w:fill="E2EFDA"/>
          </w:tcPr>
          <w:p w14:paraId="4C74F871" w14:textId="77777777" w:rsidR="004933D9" w:rsidRPr="00E21688" w:rsidRDefault="004933D9" w:rsidP="00736B28">
            <w:pPr>
              <w:spacing w:after="0" w:line="240" w:lineRule="auto"/>
              <w:jc w:val="center"/>
              <w:rPr>
                <w:rFonts w:ascii="Cambria" w:eastAsia="Times New Roman" w:hAnsi="Cambria" w:cs="Times New Roman"/>
                <w:color w:val="000000"/>
                <w:sz w:val="20"/>
                <w:szCs w:val="20"/>
                <w:lang w:val="fr-FR"/>
              </w:rPr>
            </w:pPr>
          </w:p>
        </w:tc>
        <w:tc>
          <w:tcPr>
            <w:tcW w:w="1350" w:type="dxa"/>
            <w:tcBorders>
              <w:top w:val="nil"/>
              <w:left w:val="nil"/>
              <w:bottom w:val="single" w:sz="4" w:space="0" w:color="auto"/>
              <w:right w:val="single" w:sz="4" w:space="0" w:color="auto"/>
            </w:tcBorders>
            <w:shd w:val="clear" w:color="000000" w:fill="E2EFDA"/>
          </w:tcPr>
          <w:p w14:paraId="3E6BF066" w14:textId="77777777" w:rsidR="004933D9" w:rsidRPr="00E21688" w:rsidRDefault="004933D9" w:rsidP="00736B28">
            <w:pPr>
              <w:spacing w:after="0" w:line="240" w:lineRule="auto"/>
              <w:jc w:val="center"/>
              <w:rPr>
                <w:rFonts w:ascii="Cambria" w:eastAsia="Times New Roman" w:hAnsi="Cambria" w:cs="Times New Roman"/>
                <w:color w:val="000000"/>
                <w:sz w:val="20"/>
                <w:szCs w:val="20"/>
                <w:lang w:val="fr-FR"/>
              </w:rPr>
            </w:pPr>
          </w:p>
        </w:tc>
        <w:tc>
          <w:tcPr>
            <w:tcW w:w="1440" w:type="dxa"/>
            <w:tcBorders>
              <w:top w:val="nil"/>
              <w:left w:val="nil"/>
              <w:bottom w:val="single" w:sz="4" w:space="0" w:color="auto"/>
              <w:right w:val="single" w:sz="4" w:space="0" w:color="auto"/>
            </w:tcBorders>
            <w:shd w:val="clear" w:color="000000" w:fill="E2EFDA"/>
          </w:tcPr>
          <w:p w14:paraId="4DF261BB" w14:textId="77777777" w:rsidR="004933D9" w:rsidRPr="00A057E7" w:rsidRDefault="004933D9" w:rsidP="00736B28">
            <w:pPr>
              <w:spacing w:after="0" w:line="240" w:lineRule="auto"/>
              <w:jc w:val="center"/>
              <w:rPr>
                <w:rFonts w:ascii="Cambria" w:eastAsia="Times New Roman" w:hAnsi="Cambr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669C1341" w14:textId="77777777" w:rsidR="004933D9" w:rsidRPr="00DA39BE" w:rsidRDefault="004933D9"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0C9B9A08" w14:textId="77777777" w:rsidR="004933D9" w:rsidRPr="00A057E7" w:rsidRDefault="004933D9"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4870CA38" w14:textId="77777777" w:rsidR="004933D9" w:rsidRPr="007A56B5" w:rsidRDefault="004933D9"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2A0AB1B8" w14:textId="4DDBBA5C" w:rsidR="004933D9" w:rsidRPr="00AF54B9" w:rsidRDefault="004933D9" w:rsidP="00736B28">
            <w:pPr>
              <w:spacing w:after="0" w:line="240" w:lineRule="auto"/>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7509E7B" w14:textId="77777777" w:rsidR="004933D9" w:rsidRPr="00A057E7" w:rsidRDefault="004933D9" w:rsidP="00736B28">
            <w:pPr>
              <w:spacing w:after="0" w:line="240" w:lineRule="auto"/>
              <w:jc w:val="center"/>
              <w:rPr>
                <w:rFonts w:ascii="Cambria" w:eastAsia="Times New Roman" w:hAnsi="Cambria" w:cs="Times New Roman"/>
                <w:color w:val="000000"/>
                <w:sz w:val="20"/>
                <w:szCs w:val="20"/>
              </w:rPr>
            </w:pPr>
          </w:p>
        </w:tc>
      </w:tr>
      <w:tr w:rsidR="00535BED" w:rsidRPr="00A057E7" w14:paraId="508492CE" w14:textId="703AD718" w:rsidTr="004368D7">
        <w:trPr>
          <w:trHeight w:val="944"/>
        </w:trPr>
        <w:tc>
          <w:tcPr>
            <w:tcW w:w="1440" w:type="dxa"/>
            <w:tcBorders>
              <w:top w:val="nil"/>
              <w:left w:val="single" w:sz="4" w:space="0" w:color="auto"/>
              <w:bottom w:val="single" w:sz="4" w:space="0" w:color="auto"/>
              <w:right w:val="single" w:sz="4" w:space="0" w:color="auto"/>
            </w:tcBorders>
            <w:shd w:val="clear" w:color="000000" w:fill="E2EFDA"/>
            <w:hideMark/>
          </w:tcPr>
          <w:p w14:paraId="534EC732" w14:textId="219B39F1"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Opportunities for recreation and tourism</w:t>
            </w:r>
          </w:p>
        </w:tc>
        <w:tc>
          <w:tcPr>
            <w:tcW w:w="1710" w:type="dxa"/>
            <w:tcBorders>
              <w:top w:val="nil"/>
              <w:left w:val="nil"/>
              <w:bottom w:val="single" w:sz="4" w:space="0" w:color="auto"/>
              <w:right w:val="single" w:sz="4" w:space="0" w:color="auto"/>
            </w:tcBorders>
            <w:shd w:val="clear" w:color="000000" w:fill="E2EFDA"/>
          </w:tcPr>
          <w:p w14:paraId="7DD013D2" w14:textId="6FCFC6E3"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proofErr w:type="spellStart"/>
            <w:r w:rsidRPr="00E21688">
              <w:rPr>
                <w:rFonts w:ascii="Cambria" w:eastAsia="Times New Roman" w:hAnsi="Cambria" w:cs="Times New Roman"/>
                <w:color w:val="000000"/>
                <w:sz w:val="20"/>
                <w:szCs w:val="20"/>
                <w:lang w:val="fr-FR"/>
              </w:rPr>
              <w:t>Ecotourism</w:t>
            </w:r>
            <w:proofErr w:type="spellEnd"/>
            <w:r w:rsidRPr="00E21688">
              <w:rPr>
                <w:rFonts w:ascii="Cambria" w:eastAsia="Times New Roman" w:hAnsi="Cambria" w:cs="Times New Roman"/>
                <w:color w:val="000000"/>
                <w:sz w:val="20"/>
                <w:szCs w:val="20"/>
                <w:lang w:val="fr-FR"/>
              </w:rPr>
              <w:t>: US$43/ha/</w:t>
            </w:r>
            <w:proofErr w:type="spellStart"/>
            <w:r w:rsidRPr="00E21688">
              <w:rPr>
                <w:rFonts w:ascii="Cambria" w:eastAsia="Times New Roman" w:hAnsi="Cambria" w:cs="Times New Roman"/>
                <w:color w:val="000000"/>
                <w:sz w:val="20"/>
                <w:szCs w:val="20"/>
                <w:lang w:val="fr-FR"/>
              </w:rPr>
              <w:t>yr</w:t>
            </w:r>
            <w:proofErr w:type="spellEnd"/>
            <w:r w:rsidRPr="00E21688">
              <w:rPr>
                <w:rFonts w:ascii="Cambria" w:eastAsia="Times New Roman" w:hAnsi="Cambria" w:cs="Times New Roman"/>
                <w:color w:val="000000"/>
                <w:sz w:val="20"/>
                <w:szCs w:val="20"/>
                <w:lang w:val="fr-FR"/>
              </w:rPr>
              <w:t xml:space="preserve"> (</w:t>
            </w:r>
            <w:proofErr w:type="spellStart"/>
            <w:r w:rsidRPr="00E21688">
              <w:rPr>
                <w:rFonts w:ascii="Cambria" w:eastAsia="Times New Roman" w:hAnsi="Cambria" w:cs="Times New Roman"/>
                <w:color w:val="000000"/>
                <w:sz w:val="20"/>
                <w:szCs w:val="20"/>
                <w:lang w:val="fr-FR"/>
              </w:rPr>
              <w:t>Pernetta</w:t>
            </w:r>
            <w:proofErr w:type="spellEnd"/>
            <w:r w:rsidRPr="00E21688">
              <w:rPr>
                <w:rFonts w:ascii="Cambria" w:eastAsia="Times New Roman" w:hAnsi="Cambria" w:cs="Times New Roman"/>
                <w:color w:val="000000"/>
                <w:sz w:val="20"/>
                <w:szCs w:val="20"/>
                <w:lang w:val="fr-FR"/>
              </w:rPr>
              <w:t xml:space="preserve"> et al. 2013)</w:t>
            </w:r>
          </w:p>
        </w:tc>
        <w:tc>
          <w:tcPr>
            <w:tcW w:w="1350" w:type="dxa"/>
            <w:tcBorders>
              <w:top w:val="nil"/>
              <w:left w:val="nil"/>
              <w:bottom w:val="single" w:sz="4" w:space="0" w:color="auto"/>
              <w:right w:val="single" w:sz="4" w:space="0" w:color="auto"/>
            </w:tcBorders>
            <w:shd w:val="clear" w:color="000000" w:fill="E2EFDA"/>
          </w:tcPr>
          <w:p w14:paraId="3295492A" w14:textId="77777777"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p>
        </w:tc>
        <w:tc>
          <w:tcPr>
            <w:tcW w:w="1350" w:type="dxa"/>
            <w:tcBorders>
              <w:top w:val="nil"/>
              <w:left w:val="nil"/>
              <w:bottom w:val="single" w:sz="4" w:space="0" w:color="auto"/>
              <w:right w:val="single" w:sz="4" w:space="0" w:color="auto"/>
            </w:tcBorders>
            <w:shd w:val="clear" w:color="000000" w:fill="E2EFDA"/>
          </w:tcPr>
          <w:p w14:paraId="24249D10" w14:textId="77777777" w:rsidR="00535BED" w:rsidRPr="00E21688" w:rsidRDefault="00535BED" w:rsidP="00736B28">
            <w:pPr>
              <w:spacing w:after="0" w:line="240" w:lineRule="auto"/>
              <w:jc w:val="center"/>
              <w:rPr>
                <w:rFonts w:ascii="Cambria" w:eastAsia="Times New Roman" w:hAnsi="Cambria" w:cs="Times New Roman"/>
                <w:color w:val="000000"/>
                <w:sz w:val="20"/>
                <w:szCs w:val="20"/>
                <w:lang w:val="fr-FR"/>
              </w:rPr>
            </w:pPr>
          </w:p>
        </w:tc>
        <w:tc>
          <w:tcPr>
            <w:tcW w:w="1440" w:type="dxa"/>
            <w:tcBorders>
              <w:top w:val="nil"/>
              <w:left w:val="nil"/>
              <w:bottom w:val="single" w:sz="4" w:space="0" w:color="auto"/>
              <w:right w:val="single" w:sz="4" w:space="0" w:color="auto"/>
            </w:tcBorders>
            <w:shd w:val="clear" w:color="000000" w:fill="E2EFDA"/>
          </w:tcPr>
          <w:p w14:paraId="2BAA2942" w14:textId="412A9CD9" w:rsidR="00535BED" w:rsidRPr="00A057E7" w:rsidRDefault="00535BED" w:rsidP="00736B28">
            <w:pPr>
              <w:spacing w:after="0" w:line="240" w:lineRule="auto"/>
              <w:jc w:val="center"/>
              <w:rPr>
                <w:rFonts w:ascii="Cambria" w:eastAsia="Times New Roman" w:hAnsi="Cambria" w:cs="Times New Roman"/>
                <w:color w:val="000000"/>
                <w:sz w:val="20"/>
                <w:szCs w:val="20"/>
              </w:rPr>
            </w:pPr>
            <w:r w:rsidRPr="00A057E7">
              <w:rPr>
                <w:rFonts w:ascii="Cambria" w:eastAsia="Times New Roman" w:hAnsi="Cambria" w:cs="Times New Roman"/>
                <w:color w:val="000000"/>
                <w:sz w:val="20"/>
                <w:szCs w:val="20"/>
              </w:rPr>
              <w:t>Recreation</w:t>
            </w:r>
            <w:r w:rsidR="00736B28">
              <w:rPr>
                <w:rFonts w:ascii="Cambria" w:eastAsia="Times New Roman" w:hAnsi="Cambria" w:cs="Times New Roman"/>
                <w:color w:val="000000"/>
                <w:sz w:val="20"/>
                <w:szCs w:val="20"/>
              </w:rPr>
              <w:t>:</w:t>
            </w:r>
            <w:r w:rsidRPr="00A057E7">
              <w:rPr>
                <w:rFonts w:ascii="Cambria" w:eastAsia="Times New Roman" w:hAnsi="Cambria" w:cs="Times New Roman"/>
                <w:color w:val="000000"/>
                <w:sz w:val="20"/>
                <w:szCs w:val="20"/>
              </w:rPr>
              <w:t xml:space="preserve"> US$-133ha/</w:t>
            </w:r>
            <w:proofErr w:type="spellStart"/>
            <w:r w:rsidRPr="00A057E7">
              <w:rPr>
                <w:rFonts w:ascii="Cambria" w:eastAsia="Times New Roman" w:hAnsi="Cambria" w:cs="Times New Roman"/>
                <w:color w:val="000000"/>
                <w:sz w:val="20"/>
                <w:szCs w:val="20"/>
              </w:rPr>
              <w:t>yr</w:t>
            </w:r>
            <w:proofErr w:type="spellEnd"/>
            <w:r w:rsidRPr="00A057E7">
              <w:rPr>
                <w:rFonts w:ascii="Cambria" w:eastAsia="Times New Roman" w:hAnsi="Cambria" w:cs="Times New Roman"/>
                <w:color w:val="000000"/>
                <w:sz w:val="20"/>
                <w:szCs w:val="20"/>
              </w:rPr>
              <w:t xml:space="preserve"> (Burgess et al. </w:t>
            </w:r>
            <w:r>
              <w:rPr>
                <w:rFonts w:ascii="Cambria" w:eastAsia="Times New Roman" w:hAnsi="Cambria" w:cs="Times New Roman"/>
                <w:color w:val="000000"/>
                <w:sz w:val="20"/>
                <w:szCs w:val="20"/>
              </w:rPr>
              <w:t>2015)</w:t>
            </w:r>
          </w:p>
        </w:tc>
        <w:tc>
          <w:tcPr>
            <w:tcW w:w="1440" w:type="dxa"/>
            <w:tcBorders>
              <w:top w:val="single" w:sz="4" w:space="0" w:color="auto"/>
              <w:left w:val="nil"/>
              <w:bottom w:val="single" w:sz="4" w:space="0" w:color="auto"/>
              <w:right w:val="single" w:sz="4" w:space="0" w:color="auto"/>
            </w:tcBorders>
            <w:shd w:val="clear" w:color="000000" w:fill="E2EFDA"/>
          </w:tcPr>
          <w:p w14:paraId="26303F32" w14:textId="38870D8E" w:rsidR="00535BED" w:rsidRPr="00A057E7" w:rsidRDefault="00535BED" w:rsidP="00736B28">
            <w:pPr>
              <w:spacing w:after="0" w:line="240" w:lineRule="auto"/>
              <w:jc w:val="center"/>
              <w:rPr>
                <w:rFonts w:ascii="Cambria" w:eastAsia="Times New Roman" w:hAnsi="Cambria" w:cs="Times New Roman"/>
                <w:color w:val="000000"/>
                <w:sz w:val="20"/>
                <w:szCs w:val="20"/>
              </w:rPr>
            </w:pPr>
            <w:r w:rsidRPr="00DA39BE">
              <w:rPr>
                <w:rFonts w:ascii="Cambria" w:eastAsia="Times New Roman" w:hAnsi="Cambria" w:cs="Times New Roman"/>
                <w:color w:val="000000"/>
                <w:sz w:val="20"/>
                <w:szCs w:val="20"/>
              </w:rPr>
              <w:t>Tourism: US$2960.44-4597.71/ha/</w:t>
            </w:r>
            <w:proofErr w:type="spellStart"/>
            <w:r w:rsidRPr="00DA39BE">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Kuenzer</w:t>
            </w:r>
            <w:proofErr w:type="spellEnd"/>
            <w:r>
              <w:rPr>
                <w:rFonts w:ascii="Cambria" w:eastAsia="Times New Roman" w:hAnsi="Cambria" w:cs="Times New Roman"/>
                <w:color w:val="000000"/>
                <w:sz w:val="20"/>
                <w:szCs w:val="20"/>
              </w:rPr>
              <w:t xml:space="preserve"> and Tuan 2013); </w:t>
            </w:r>
            <w:r w:rsidRPr="004D1D13">
              <w:rPr>
                <w:rFonts w:ascii="Cambria" w:eastAsia="Times New Roman" w:hAnsi="Cambria" w:cs="Times New Roman"/>
                <w:color w:val="000000"/>
                <w:sz w:val="20"/>
                <w:szCs w:val="20"/>
              </w:rPr>
              <w:t xml:space="preserve">24,000 </w:t>
            </w:r>
            <w:proofErr w:type="spellStart"/>
            <w:r w:rsidRPr="004D1D13">
              <w:rPr>
                <w:rFonts w:ascii="Cambria" w:eastAsia="Times New Roman" w:hAnsi="Cambria" w:cs="Times New Roman"/>
                <w:color w:val="000000"/>
                <w:sz w:val="20"/>
                <w:szCs w:val="20"/>
              </w:rPr>
              <w:t>Ghanian</w:t>
            </w:r>
            <w:proofErr w:type="spellEnd"/>
            <w:r w:rsidRPr="004D1D13">
              <w:rPr>
                <w:rFonts w:ascii="Cambria" w:eastAsia="Times New Roman" w:hAnsi="Cambria" w:cs="Times New Roman"/>
                <w:color w:val="000000"/>
                <w:sz w:val="20"/>
                <w:szCs w:val="20"/>
              </w:rPr>
              <w:t xml:space="preserve"> </w:t>
            </w:r>
            <w:proofErr w:type="spellStart"/>
            <w:r w:rsidRPr="004D1D13">
              <w:rPr>
                <w:rFonts w:ascii="Cambria" w:eastAsia="Times New Roman" w:hAnsi="Cambria" w:cs="Times New Roman"/>
                <w:color w:val="000000"/>
                <w:sz w:val="20"/>
                <w:szCs w:val="20"/>
              </w:rPr>
              <w:t>cedis</w:t>
            </w:r>
            <w:proofErr w:type="spellEnd"/>
            <w:r w:rsidRPr="004D1D13">
              <w:rPr>
                <w:rFonts w:ascii="Cambria" w:eastAsia="Times New Roman" w:hAnsi="Cambria" w:cs="Times New Roman"/>
                <w:color w:val="000000"/>
                <w:sz w:val="20"/>
                <w:szCs w:val="20"/>
              </w:rPr>
              <w:t xml:space="preserve"> (US$16,000)/</w:t>
            </w:r>
            <w:proofErr w:type="spellStart"/>
            <w:r w:rsidRPr="004D1D13">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4D1D13">
              <w:rPr>
                <w:rFonts w:ascii="Cambria" w:eastAsia="Times New Roman" w:hAnsi="Cambria" w:cs="Times New Roman"/>
                <w:color w:val="000000"/>
                <w:sz w:val="20"/>
                <w:szCs w:val="20"/>
              </w:rPr>
              <w:t xml:space="preserve"> US$160/ha/</w:t>
            </w:r>
            <w:proofErr w:type="spellStart"/>
            <w:r w:rsidRPr="004D1D13">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Ajonina</w:t>
            </w:r>
            <w:proofErr w:type="spellEnd"/>
            <w:r>
              <w:rPr>
                <w:rFonts w:ascii="Cambria" w:eastAsia="Times New Roman" w:hAnsi="Cambria" w:cs="Times New Roman"/>
                <w:color w:val="000000"/>
                <w:sz w:val="20"/>
                <w:szCs w:val="20"/>
              </w:rPr>
              <w:t xml:space="preserve"> et al. 2014)</w:t>
            </w:r>
          </w:p>
        </w:tc>
        <w:tc>
          <w:tcPr>
            <w:tcW w:w="1350" w:type="dxa"/>
            <w:tcBorders>
              <w:top w:val="nil"/>
              <w:left w:val="single" w:sz="4" w:space="0" w:color="auto"/>
              <w:bottom w:val="single" w:sz="4" w:space="0" w:color="auto"/>
              <w:right w:val="single" w:sz="4" w:space="0" w:color="auto"/>
            </w:tcBorders>
            <w:shd w:val="clear" w:color="000000" w:fill="E2EFDA"/>
          </w:tcPr>
          <w:p w14:paraId="23F537B5" w14:textId="77777777" w:rsidR="00535BED" w:rsidRPr="00A057E7" w:rsidRDefault="00535BED" w:rsidP="00736B28">
            <w:pPr>
              <w:spacing w:after="0" w:line="240" w:lineRule="auto"/>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0C6B4A90" w14:textId="51A0D28B" w:rsidR="007A56B5" w:rsidRPr="007A56B5"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Recreation</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4,512.39 Baht/Household/Year</w:t>
            </w:r>
          </w:p>
          <w:p w14:paraId="1166ECBB" w14:textId="79EA453C" w:rsidR="00535BED" w:rsidRPr="00A057E7" w:rsidRDefault="007A56B5" w:rsidP="00736B28">
            <w:pPr>
              <w:spacing w:after="0" w:line="240" w:lineRule="auto"/>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Bird watching</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5,714.11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 </w:t>
            </w:r>
            <w:r w:rsidRPr="007A56B5">
              <w:rPr>
                <w:rFonts w:ascii="Cambria" w:eastAsia="Times New Roman" w:hAnsi="Cambria" w:cs="Times New Roman"/>
                <w:color w:val="000000"/>
                <w:sz w:val="20"/>
                <w:szCs w:val="20"/>
              </w:rPr>
              <w:t>Recreation</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3.79 million Indian rupees/</w:t>
            </w:r>
            <w:proofErr w:type="spellStart"/>
            <w:r w:rsidRPr="007A56B5">
              <w:rPr>
                <w:rFonts w:ascii="Cambria" w:eastAsia="Times New Roman" w:hAnsi="Cambria" w:cs="Times New Roman"/>
                <w:color w:val="000000"/>
                <w:sz w:val="20"/>
                <w:szCs w:val="20"/>
              </w:rPr>
              <w:t>yr</w:t>
            </w:r>
            <w:proofErr w:type="spellEnd"/>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671.96  </w:t>
            </w:r>
            <w:r w:rsidRPr="007A56B5">
              <w:rPr>
                <w:rFonts w:ascii="Cambria" w:eastAsia="Times New Roman" w:hAnsi="Cambria" w:cs="Times New Roman"/>
                <w:color w:val="000000"/>
                <w:sz w:val="20"/>
                <w:szCs w:val="20"/>
              </w:rPr>
              <w:lastRenderedPageBreak/>
              <w:t>Indian rupees/ha/</w:t>
            </w:r>
            <w:proofErr w:type="spellStart"/>
            <w:r w:rsidRPr="007A56B5">
              <w:rPr>
                <w:rFonts w:ascii="Cambria" w:eastAsia="Times New Roman" w:hAnsi="Cambria" w:cs="Times New Roman"/>
                <w:color w:val="000000"/>
                <w:sz w:val="20"/>
                <w:szCs w:val="20"/>
              </w:rPr>
              <w:t>yr</w:t>
            </w:r>
            <w:proofErr w:type="spellEnd"/>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Everard</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39FD9687" w14:textId="0AE4D0D5" w:rsidR="00535BED" w:rsidRPr="00A057E7" w:rsidRDefault="00AF54B9" w:rsidP="00736B28">
            <w:pPr>
              <w:spacing w:after="0" w:line="240" w:lineRule="auto"/>
              <w:jc w:val="center"/>
              <w:rPr>
                <w:rFonts w:ascii="Cambria" w:eastAsia="Times New Roman" w:hAnsi="Cambria" w:cs="Times New Roman"/>
                <w:color w:val="000000"/>
                <w:sz w:val="20"/>
                <w:szCs w:val="20"/>
              </w:rPr>
            </w:pPr>
            <w:r w:rsidRPr="00AF54B9">
              <w:rPr>
                <w:rFonts w:ascii="Cambria" w:eastAsia="Times New Roman" w:hAnsi="Cambria" w:cs="Times New Roman"/>
                <w:color w:val="000000"/>
                <w:sz w:val="20"/>
                <w:szCs w:val="20"/>
              </w:rPr>
              <w:lastRenderedPageBreak/>
              <w:t>Willingness to accept mangrove conservation with no recreational boating: 234375 IRR/household/day or US$8.50/household/day</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Mashayekhi</w:t>
            </w:r>
            <w:proofErr w:type="spellEnd"/>
            <w:r>
              <w:rPr>
                <w:rFonts w:ascii="Cambria" w:eastAsia="Times New Roman" w:hAnsi="Cambria" w:cs="Times New Roman"/>
                <w:color w:val="000000"/>
                <w:sz w:val="20"/>
                <w:szCs w:val="20"/>
              </w:rPr>
              <w:t xml:space="preserve"> et al. 2016)</w:t>
            </w:r>
          </w:p>
        </w:tc>
        <w:tc>
          <w:tcPr>
            <w:tcW w:w="1350" w:type="dxa"/>
            <w:tcBorders>
              <w:top w:val="nil"/>
              <w:left w:val="nil"/>
              <w:bottom w:val="single" w:sz="4" w:space="0" w:color="auto"/>
              <w:right w:val="single" w:sz="4" w:space="0" w:color="auto"/>
            </w:tcBorders>
            <w:shd w:val="clear" w:color="000000" w:fill="E2EFDA"/>
          </w:tcPr>
          <w:p w14:paraId="1C5A9474" w14:textId="305E02B9" w:rsidR="00535BED" w:rsidRPr="00A057E7" w:rsidRDefault="00535BED" w:rsidP="00736B28">
            <w:pPr>
              <w:spacing w:after="0" w:line="240" w:lineRule="auto"/>
              <w:jc w:val="center"/>
              <w:rPr>
                <w:rFonts w:ascii="Cambria" w:eastAsia="Times New Roman" w:hAnsi="Cambria" w:cs="Times New Roman"/>
                <w:color w:val="000000"/>
                <w:sz w:val="20"/>
                <w:szCs w:val="20"/>
              </w:rPr>
            </w:pPr>
          </w:p>
        </w:tc>
      </w:tr>
      <w:tr w:rsidR="00C00476" w:rsidRPr="00761424" w14:paraId="5BBBAA2C" w14:textId="77777777" w:rsidTr="004368D7">
        <w:trPr>
          <w:trHeight w:val="827"/>
        </w:trPr>
        <w:tc>
          <w:tcPr>
            <w:tcW w:w="1440" w:type="dxa"/>
            <w:tcBorders>
              <w:top w:val="nil"/>
              <w:left w:val="single" w:sz="4" w:space="0" w:color="auto"/>
              <w:bottom w:val="single" w:sz="4" w:space="0" w:color="auto"/>
              <w:right w:val="single" w:sz="4" w:space="0" w:color="auto"/>
            </w:tcBorders>
            <w:shd w:val="clear" w:color="000000" w:fill="E2EFDA"/>
          </w:tcPr>
          <w:p w14:paraId="0B6D5A84" w14:textId="497C31CD" w:rsidR="00C00476" w:rsidRPr="00761424" w:rsidRDefault="00C00476" w:rsidP="00736B28">
            <w:pPr>
              <w:spacing w:after="0" w:line="240" w:lineRule="auto"/>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Spiritual experience</w:t>
            </w:r>
          </w:p>
        </w:tc>
        <w:tc>
          <w:tcPr>
            <w:tcW w:w="1710" w:type="dxa"/>
            <w:tcBorders>
              <w:top w:val="nil"/>
              <w:left w:val="nil"/>
              <w:bottom w:val="single" w:sz="4" w:space="0" w:color="auto"/>
              <w:right w:val="single" w:sz="4" w:space="0" w:color="auto"/>
            </w:tcBorders>
            <w:shd w:val="clear" w:color="000000" w:fill="E2EFDA"/>
          </w:tcPr>
          <w:p w14:paraId="7D362F99" w14:textId="77777777" w:rsidR="00C00476" w:rsidRPr="00761424" w:rsidRDefault="00C00476"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22CD02E2" w14:textId="77777777" w:rsidR="00C00476" w:rsidRPr="00761424" w:rsidRDefault="00C00476"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2DF46D26" w14:textId="77777777" w:rsidR="00C00476" w:rsidRPr="00761424" w:rsidRDefault="00C00476" w:rsidP="00736B28">
            <w:pPr>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150C0481" w14:textId="77777777" w:rsidR="00C00476" w:rsidRPr="00743644" w:rsidRDefault="00C00476" w:rsidP="00736B28">
            <w:pPr>
              <w:jc w:val="center"/>
              <w:rPr>
                <w:rFonts w:ascii="Cambria" w:hAnsi="Cambria"/>
                <w:sz w:val="20"/>
                <w:szCs w:val="20"/>
              </w:rPr>
            </w:pPr>
          </w:p>
        </w:tc>
        <w:tc>
          <w:tcPr>
            <w:tcW w:w="1440" w:type="dxa"/>
            <w:tcBorders>
              <w:top w:val="single" w:sz="4" w:space="0" w:color="auto"/>
              <w:left w:val="nil"/>
              <w:bottom w:val="single" w:sz="4" w:space="0" w:color="auto"/>
              <w:right w:val="single" w:sz="4" w:space="0" w:color="auto"/>
            </w:tcBorders>
            <w:shd w:val="clear" w:color="000000" w:fill="E2EFDA"/>
          </w:tcPr>
          <w:p w14:paraId="09157719" w14:textId="77777777" w:rsidR="00C00476" w:rsidRPr="00761424" w:rsidRDefault="00C00476" w:rsidP="00736B28">
            <w:pPr>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1786B055" w14:textId="77777777" w:rsidR="00C00476" w:rsidRPr="00761424" w:rsidRDefault="00C00476" w:rsidP="00736B28">
            <w:pPr>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252773D7" w14:textId="77777777" w:rsidR="00C00476" w:rsidRPr="00761424" w:rsidRDefault="00C00476"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593B31A" w14:textId="77777777" w:rsidR="00C00476" w:rsidRPr="00761424" w:rsidRDefault="00C00476"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3E4AEEE5" w14:textId="77777777" w:rsidR="00C00476" w:rsidRPr="00761424" w:rsidRDefault="00C00476" w:rsidP="00736B28">
            <w:pPr>
              <w:jc w:val="center"/>
              <w:rPr>
                <w:rFonts w:ascii="Cambria" w:eastAsia="Times New Roman" w:hAnsi="Cambria" w:cs="Times New Roman"/>
                <w:color w:val="000000"/>
                <w:sz w:val="20"/>
                <w:szCs w:val="20"/>
              </w:rPr>
            </w:pPr>
          </w:p>
        </w:tc>
      </w:tr>
      <w:tr w:rsidR="00535BED" w:rsidRPr="00761424" w14:paraId="092013AF" w14:textId="59FDECCC" w:rsidTr="004368D7">
        <w:trPr>
          <w:trHeight w:val="827"/>
        </w:trPr>
        <w:tc>
          <w:tcPr>
            <w:tcW w:w="1440" w:type="dxa"/>
            <w:tcBorders>
              <w:top w:val="nil"/>
              <w:left w:val="single" w:sz="4" w:space="0" w:color="auto"/>
              <w:bottom w:val="single" w:sz="4" w:space="0" w:color="auto"/>
              <w:right w:val="single" w:sz="4" w:space="0" w:color="auto"/>
            </w:tcBorders>
            <w:shd w:val="clear" w:color="000000" w:fill="E2EFDA"/>
          </w:tcPr>
          <w:p w14:paraId="0900D9E8" w14:textId="1DADD200"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Inspiration for culture, art and design</w:t>
            </w:r>
          </w:p>
        </w:tc>
        <w:tc>
          <w:tcPr>
            <w:tcW w:w="1710" w:type="dxa"/>
            <w:tcBorders>
              <w:top w:val="nil"/>
              <w:left w:val="nil"/>
              <w:bottom w:val="single" w:sz="4" w:space="0" w:color="auto"/>
              <w:right w:val="single" w:sz="4" w:space="0" w:color="auto"/>
            </w:tcBorders>
            <w:shd w:val="clear" w:color="000000" w:fill="E2EFDA"/>
          </w:tcPr>
          <w:p w14:paraId="40BC64E1"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1676E535"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6A43D115" w14:textId="77777777" w:rsidR="00535BED" w:rsidRPr="00761424" w:rsidRDefault="00535BED" w:rsidP="00736B28">
            <w:pPr>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46B900A0" w14:textId="7984F0C1" w:rsidR="00535BED" w:rsidRPr="00761424" w:rsidRDefault="00535BED" w:rsidP="00736B28">
            <w:pPr>
              <w:jc w:val="center"/>
              <w:rPr>
                <w:rFonts w:ascii="Cambria" w:hAnsi="Cambria"/>
                <w:sz w:val="20"/>
                <w:szCs w:val="20"/>
              </w:rPr>
            </w:pPr>
            <w:r w:rsidRPr="00743644">
              <w:rPr>
                <w:rFonts w:ascii="Cambria" w:hAnsi="Cambria"/>
                <w:sz w:val="20"/>
                <w:szCs w:val="20"/>
              </w:rPr>
              <w:t>Social cohesion: 4 people/village</w:t>
            </w:r>
            <w:r w:rsidR="00736B28">
              <w:rPr>
                <w:rFonts w:ascii="Cambria" w:hAnsi="Cambria"/>
                <w:sz w:val="20"/>
                <w:szCs w:val="20"/>
              </w:rPr>
              <w:t>:</w:t>
            </w:r>
            <w:r w:rsidRPr="00743644">
              <w:rPr>
                <w:rFonts w:ascii="Cambria" w:hAnsi="Cambria"/>
                <w:sz w:val="20"/>
                <w:szCs w:val="20"/>
              </w:rPr>
              <w:t xml:space="preserve"> 3070 MGA/individual; 6 people/village</w:t>
            </w:r>
            <w:r w:rsidR="00736B28">
              <w:rPr>
                <w:rFonts w:ascii="Cambria" w:hAnsi="Cambria"/>
                <w:sz w:val="20"/>
                <w:szCs w:val="20"/>
              </w:rPr>
              <w:t>:</w:t>
            </w:r>
            <w:r w:rsidRPr="00743644">
              <w:rPr>
                <w:rFonts w:ascii="Cambria" w:hAnsi="Cambria"/>
                <w:sz w:val="20"/>
                <w:szCs w:val="20"/>
              </w:rPr>
              <w:t xml:space="preserve"> 14990 MGA/individual</w:t>
            </w:r>
            <w:r>
              <w:rPr>
                <w:rFonts w:ascii="Cambria" w:hAnsi="Cambria"/>
                <w:sz w:val="20"/>
                <w:szCs w:val="20"/>
              </w:rPr>
              <w:t xml:space="preserve"> (</w:t>
            </w:r>
            <w:proofErr w:type="spellStart"/>
            <w:r>
              <w:rPr>
                <w:rFonts w:ascii="Cambria" w:hAnsi="Cambria"/>
                <w:sz w:val="20"/>
                <w:szCs w:val="20"/>
              </w:rPr>
              <w:t>Oleson</w:t>
            </w:r>
            <w:proofErr w:type="spellEnd"/>
            <w:r>
              <w:rPr>
                <w:rFonts w:ascii="Cambria" w:hAnsi="Cambria"/>
                <w:sz w:val="20"/>
                <w:szCs w:val="20"/>
              </w:rPr>
              <w:t xml:space="preserve"> et al. 2015)</w:t>
            </w:r>
          </w:p>
        </w:tc>
        <w:tc>
          <w:tcPr>
            <w:tcW w:w="1440" w:type="dxa"/>
            <w:tcBorders>
              <w:top w:val="single" w:sz="4" w:space="0" w:color="auto"/>
              <w:left w:val="nil"/>
              <w:bottom w:val="single" w:sz="4" w:space="0" w:color="auto"/>
              <w:right w:val="single" w:sz="4" w:space="0" w:color="auto"/>
            </w:tcBorders>
            <w:shd w:val="clear" w:color="000000" w:fill="E2EFDA"/>
          </w:tcPr>
          <w:p w14:paraId="3CC561B3"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7B41DD46" w14:textId="77777777" w:rsidR="00535BED" w:rsidRPr="00761424" w:rsidRDefault="00535BED" w:rsidP="00736B28">
            <w:pPr>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28D2D10C"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4259C67A" w14:textId="34946A79"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D7232F6" w14:textId="23C37D62" w:rsidR="00535BED" w:rsidRPr="00761424" w:rsidRDefault="00535BED" w:rsidP="00736B28">
            <w:pPr>
              <w:jc w:val="center"/>
              <w:rPr>
                <w:rFonts w:ascii="Cambria" w:eastAsia="Times New Roman" w:hAnsi="Cambria" w:cs="Times New Roman"/>
                <w:color w:val="000000"/>
                <w:sz w:val="20"/>
                <w:szCs w:val="20"/>
              </w:rPr>
            </w:pPr>
          </w:p>
        </w:tc>
      </w:tr>
      <w:tr w:rsidR="00535BED" w:rsidRPr="00761424" w14:paraId="75BBBD5F" w14:textId="2119F3F1" w:rsidTr="004368D7">
        <w:trPr>
          <w:trHeight w:val="710"/>
        </w:trPr>
        <w:tc>
          <w:tcPr>
            <w:tcW w:w="1440" w:type="dxa"/>
            <w:tcBorders>
              <w:top w:val="nil"/>
              <w:left w:val="single" w:sz="4" w:space="0" w:color="auto"/>
              <w:bottom w:val="single" w:sz="4" w:space="0" w:color="auto"/>
              <w:right w:val="single" w:sz="4" w:space="0" w:color="auto"/>
            </w:tcBorders>
            <w:shd w:val="clear" w:color="000000" w:fill="E2EFDA"/>
          </w:tcPr>
          <w:p w14:paraId="2E9FE07D" w14:textId="4F0F9492"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Information for cognitive development</w:t>
            </w:r>
          </w:p>
        </w:tc>
        <w:tc>
          <w:tcPr>
            <w:tcW w:w="1710" w:type="dxa"/>
            <w:tcBorders>
              <w:top w:val="nil"/>
              <w:left w:val="nil"/>
              <w:bottom w:val="single" w:sz="4" w:space="0" w:color="auto"/>
              <w:right w:val="single" w:sz="4" w:space="0" w:color="auto"/>
            </w:tcBorders>
            <w:shd w:val="clear" w:color="000000" w:fill="E2EFDA"/>
          </w:tcPr>
          <w:p w14:paraId="23EBEDAF"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2D0A25F9" w14:textId="77777777" w:rsidR="00535BED" w:rsidRPr="00761424" w:rsidRDefault="00535BED" w:rsidP="00736B28">
            <w:pPr>
              <w:jc w:val="center"/>
              <w:rPr>
                <w:rFonts w:ascii="Cambria" w:hAnsi="Cambria"/>
                <w:sz w:val="20"/>
                <w:szCs w:val="20"/>
              </w:rPr>
            </w:pPr>
          </w:p>
        </w:tc>
        <w:tc>
          <w:tcPr>
            <w:tcW w:w="1350" w:type="dxa"/>
            <w:tcBorders>
              <w:top w:val="nil"/>
              <w:left w:val="nil"/>
              <w:bottom w:val="single" w:sz="4" w:space="0" w:color="auto"/>
              <w:right w:val="single" w:sz="4" w:space="0" w:color="auto"/>
            </w:tcBorders>
            <w:shd w:val="clear" w:color="000000" w:fill="E2EFDA"/>
          </w:tcPr>
          <w:p w14:paraId="795F7B4C" w14:textId="77777777" w:rsidR="00535BED" w:rsidRPr="00761424" w:rsidRDefault="00535BED" w:rsidP="00736B28">
            <w:pPr>
              <w:jc w:val="center"/>
              <w:rPr>
                <w:rFonts w:ascii="Cambria" w:hAnsi="Cambria"/>
                <w:sz w:val="20"/>
                <w:szCs w:val="20"/>
              </w:rPr>
            </w:pPr>
          </w:p>
        </w:tc>
        <w:tc>
          <w:tcPr>
            <w:tcW w:w="1440" w:type="dxa"/>
            <w:tcBorders>
              <w:top w:val="nil"/>
              <w:left w:val="nil"/>
              <w:bottom w:val="single" w:sz="4" w:space="0" w:color="auto"/>
              <w:right w:val="single" w:sz="4" w:space="0" w:color="auto"/>
            </w:tcBorders>
            <w:shd w:val="clear" w:color="000000" w:fill="E2EFDA"/>
          </w:tcPr>
          <w:p w14:paraId="5F0A1B80" w14:textId="1CBA404B" w:rsidR="00535BED" w:rsidRPr="00761424" w:rsidRDefault="00535BED" w:rsidP="00736B28">
            <w:pPr>
              <w:jc w:val="center"/>
              <w:rPr>
                <w:rFonts w:ascii="Cambria" w:hAnsi="Cambria"/>
                <w:sz w:val="20"/>
                <w:szCs w:val="20"/>
              </w:rPr>
            </w:pPr>
            <w:r w:rsidRPr="00743644">
              <w:rPr>
                <w:rFonts w:ascii="Cambria" w:hAnsi="Cambria"/>
                <w:sz w:val="20"/>
                <w:szCs w:val="20"/>
              </w:rPr>
              <w:t>Research and education: US$ 184.4 /ha/</w:t>
            </w:r>
            <w:proofErr w:type="spellStart"/>
            <w:r w:rsidRPr="00743644">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Hober</w:t>
            </w:r>
            <w:r w:rsidR="00DD26D0">
              <w:rPr>
                <w:rFonts w:ascii="Cambria" w:hAnsi="Cambria"/>
                <w:sz w:val="20"/>
                <w:szCs w:val="20"/>
              </w:rPr>
              <w:t>g</w:t>
            </w:r>
            <w:proofErr w:type="spellEnd"/>
            <w:r>
              <w:rPr>
                <w:rFonts w:ascii="Cambria" w:hAnsi="Cambria"/>
                <w:sz w:val="20"/>
                <w:szCs w:val="20"/>
              </w:rPr>
              <w:t xml:space="preserve"> 2011)</w:t>
            </w:r>
          </w:p>
        </w:tc>
        <w:tc>
          <w:tcPr>
            <w:tcW w:w="1440" w:type="dxa"/>
            <w:tcBorders>
              <w:top w:val="single" w:sz="4" w:space="0" w:color="auto"/>
              <w:left w:val="nil"/>
              <w:bottom w:val="single" w:sz="4" w:space="0" w:color="auto"/>
              <w:right w:val="single" w:sz="4" w:space="0" w:color="auto"/>
            </w:tcBorders>
            <w:shd w:val="clear" w:color="000000" w:fill="E2EFDA"/>
          </w:tcPr>
          <w:p w14:paraId="3D175A9D" w14:textId="77777777"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E2EFDA"/>
          </w:tcPr>
          <w:p w14:paraId="43FC0CBB" w14:textId="77777777" w:rsidR="00535BED" w:rsidRPr="00761424" w:rsidRDefault="00535BED" w:rsidP="00736B28">
            <w:pPr>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E2EFDA"/>
          </w:tcPr>
          <w:p w14:paraId="378137A7" w14:textId="4FB88EEF" w:rsidR="00535BED" w:rsidRPr="00761424" w:rsidRDefault="007A56B5" w:rsidP="00736B28">
            <w:pPr>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Natural education</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8,843.15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E2EFDA"/>
          </w:tcPr>
          <w:p w14:paraId="21CDF84F" w14:textId="3AAA94B3" w:rsidR="00535BED" w:rsidRPr="0076142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E2EFDA"/>
          </w:tcPr>
          <w:p w14:paraId="7BB01FAA" w14:textId="7795F61C" w:rsidR="00535BED" w:rsidRPr="00761424" w:rsidRDefault="00535BED" w:rsidP="00736B28">
            <w:pPr>
              <w:jc w:val="center"/>
              <w:rPr>
                <w:rFonts w:ascii="Cambria" w:eastAsia="Times New Roman" w:hAnsi="Cambria" w:cs="Times New Roman"/>
                <w:color w:val="000000"/>
                <w:sz w:val="20"/>
                <w:szCs w:val="20"/>
              </w:rPr>
            </w:pPr>
          </w:p>
        </w:tc>
      </w:tr>
      <w:tr w:rsidR="00535BED" w:rsidRPr="00743644" w14:paraId="57BDCDEC" w14:textId="2EBBC906" w:rsidTr="004368D7">
        <w:trPr>
          <w:trHeight w:val="449"/>
        </w:trPr>
        <w:tc>
          <w:tcPr>
            <w:tcW w:w="1440" w:type="dxa"/>
            <w:tcBorders>
              <w:top w:val="nil"/>
              <w:left w:val="single" w:sz="4" w:space="0" w:color="auto"/>
              <w:bottom w:val="single" w:sz="4" w:space="0" w:color="auto"/>
              <w:right w:val="single" w:sz="4" w:space="0" w:color="auto"/>
            </w:tcBorders>
            <w:shd w:val="clear" w:color="000000" w:fill="A9D08E"/>
          </w:tcPr>
          <w:p w14:paraId="3E5CDB13" w14:textId="7F04D616" w:rsidR="00535BED" w:rsidRPr="00761424" w:rsidRDefault="00535BED" w:rsidP="00736B28">
            <w:pPr>
              <w:spacing w:after="0" w:line="240" w:lineRule="auto"/>
              <w:rPr>
                <w:rFonts w:ascii="Cambria" w:eastAsia="Times New Roman" w:hAnsi="Cambria" w:cs="Times New Roman"/>
                <w:b/>
                <w:bCs/>
                <w:color w:val="000000"/>
                <w:sz w:val="20"/>
                <w:szCs w:val="20"/>
              </w:rPr>
            </w:pPr>
            <w:r w:rsidRPr="00761424">
              <w:rPr>
                <w:rFonts w:ascii="Cambria" w:eastAsia="Times New Roman" w:hAnsi="Cambria" w:cs="Times New Roman"/>
                <w:b/>
                <w:bCs/>
                <w:color w:val="000000"/>
                <w:sz w:val="20"/>
                <w:szCs w:val="20"/>
              </w:rPr>
              <w:t>Existence/</w:t>
            </w:r>
            <w:r>
              <w:rPr>
                <w:rFonts w:ascii="Cambria" w:eastAsia="Times New Roman" w:hAnsi="Cambria" w:cs="Times New Roman"/>
                <w:b/>
                <w:bCs/>
                <w:color w:val="000000"/>
                <w:sz w:val="20"/>
                <w:szCs w:val="20"/>
              </w:rPr>
              <w:t xml:space="preserve"> </w:t>
            </w:r>
            <w:r w:rsidRPr="00761424">
              <w:rPr>
                <w:rFonts w:ascii="Cambria" w:eastAsia="Times New Roman" w:hAnsi="Cambria" w:cs="Times New Roman"/>
                <w:b/>
                <w:bCs/>
                <w:color w:val="000000"/>
                <w:sz w:val="20"/>
                <w:szCs w:val="20"/>
              </w:rPr>
              <w:t>option/</w:t>
            </w:r>
            <w:r>
              <w:rPr>
                <w:rFonts w:ascii="Cambria" w:eastAsia="Times New Roman" w:hAnsi="Cambria" w:cs="Times New Roman"/>
                <w:b/>
                <w:bCs/>
                <w:color w:val="000000"/>
                <w:sz w:val="20"/>
                <w:szCs w:val="20"/>
              </w:rPr>
              <w:t xml:space="preserve"> </w:t>
            </w:r>
            <w:r w:rsidRPr="00761424">
              <w:rPr>
                <w:rFonts w:ascii="Cambria" w:eastAsia="Times New Roman" w:hAnsi="Cambria" w:cs="Times New Roman"/>
                <w:b/>
                <w:bCs/>
                <w:color w:val="000000"/>
                <w:sz w:val="20"/>
                <w:szCs w:val="20"/>
              </w:rPr>
              <w:t>bequest value</w:t>
            </w:r>
          </w:p>
        </w:tc>
        <w:tc>
          <w:tcPr>
            <w:tcW w:w="1710" w:type="dxa"/>
            <w:tcBorders>
              <w:top w:val="nil"/>
              <w:left w:val="nil"/>
              <w:bottom w:val="single" w:sz="4" w:space="0" w:color="auto"/>
              <w:right w:val="single" w:sz="4" w:space="0" w:color="auto"/>
            </w:tcBorders>
            <w:shd w:val="clear" w:color="000000" w:fill="A9D08E"/>
          </w:tcPr>
          <w:p w14:paraId="68B9F185" w14:textId="110DD54C" w:rsidR="00535BED" w:rsidRPr="00E21688" w:rsidRDefault="00535BED" w:rsidP="00736B28">
            <w:pPr>
              <w:jc w:val="center"/>
              <w:rPr>
                <w:rFonts w:ascii="Cambria" w:hAnsi="Cambria"/>
                <w:sz w:val="20"/>
                <w:szCs w:val="20"/>
                <w:lang w:val="fr-FR"/>
              </w:rPr>
            </w:pPr>
            <w:r w:rsidRPr="00E21688">
              <w:rPr>
                <w:rFonts w:ascii="Cambria" w:hAnsi="Cambria"/>
                <w:sz w:val="20"/>
                <w:szCs w:val="20"/>
                <w:lang w:val="fr-FR"/>
              </w:rPr>
              <w:t>Option value: US$51/ha/</w:t>
            </w:r>
            <w:proofErr w:type="spellStart"/>
            <w:r w:rsidRPr="00E21688">
              <w:rPr>
                <w:rFonts w:ascii="Cambria" w:hAnsi="Cambria"/>
                <w:sz w:val="20"/>
                <w:szCs w:val="20"/>
                <w:lang w:val="fr-FR"/>
              </w:rPr>
              <w:t>yr</w:t>
            </w:r>
            <w:proofErr w:type="spellEnd"/>
            <w:r w:rsidRPr="00E21688">
              <w:rPr>
                <w:rFonts w:ascii="Cambria" w:eastAsia="Times New Roman" w:hAnsi="Cambria" w:cs="Times New Roman"/>
                <w:color w:val="000000"/>
                <w:sz w:val="20"/>
                <w:szCs w:val="20"/>
                <w:lang w:val="fr-FR"/>
              </w:rPr>
              <w:t xml:space="preserve"> (</w:t>
            </w:r>
            <w:proofErr w:type="spellStart"/>
            <w:r w:rsidRPr="00E21688">
              <w:rPr>
                <w:rFonts w:ascii="Cambria" w:eastAsia="Times New Roman" w:hAnsi="Cambria" w:cs="Times New Roman"/>
                <w:color w:val="000000"/>
                <w:sz w:val="20"/>
                <w:szCs w:val="20"/>
                <w:lang w:val="fr-FR"/>
              </w:rPr>
              <w:t>Pernetta</w:t>
            </w:r>
            <w:proofErr w:type="spellEnd"/>
            <w:r w:rsidRPr="00E21688">
              <w:rPr>
                <w:rFonts w:ascii="Cambria" w:eastAsia="Times New Roman" w:hAnsi="Cambria" w:cs="Times New Roman"/>
                <w:color w:val="000000"/>
                <w:sz w:val="20"/>
                <w:szCs w:val="20"/>
                <w:lang w:val="fr-FR"/>
              </w:rPr>
              <w:t xml:space="preserve"> et al. 2013)</w:t>
            </w:r>
          </w:p>
        </w:tc>
        <w:tc>
          <w:tcPr>
            <w:tcW w:w="1350" w:type="dxa"/>
            <w:tcBorders>
              <w:top w:val="nil"/>
              <w:left w:val="nil"/>
              <w:bottom w:val="single" w:sz="4" w:space="0" w:color="auto"/>
              <w:right w:val="single" w:sz="4" w:space="0" w:color="auto"/>
            </w:tcBorders>
            <w:shd w:val="clear" w:color="000000" w:fill="A9D08E"/>
          </w:tcPr>
          <w:p w14:paraId="40737CDE" w14:textId="77777777" w:rsidR="00535BED" w:rsidRPr="00E21688" w:rsidRDefault="00535BED" w:rsidP="00736B28">
            <w:pPr>
              <w:jc w:val="center"/>
              <w:rPr>
                <w:rFonts w:ascii="Cambria" w:hAnsi="Cambria"/>
                <w:sz w:val="20"/>
                <w:szCs w:val="20"/>
                <w:lang w:val="fr-FR"/>
              </w:rPr>
            </w:pPr>
          </w:p>
        </w:tc>
        <w:tc>
          <w:tcPr>
            <w:tcW w:w="1350" w:type="dxa"/>
            <w:tcBorders>
              <w:top w:val="nil"/>
              <w:left w:val="nil"/>
              <w:bottom w:val="single" w:sz="4" w:space="0" w:color="auto"/>
              <w:right w:val="single" w:sz="4" w:space="0" w:color="auto"/>
            </w:tcBorders>
            <w:shd w:val="clear" w:color="000000" w:fill="A9D08E"/>
          </w:tcPr>
          <w:p w14:paraId="298A2CA9" w14:textId="77777777" w:rsidR="00535BED" w:rsidRPr="00E21688" w:rsidRDefault="00535BED" w:rsidP="00736B28">
            <w:pPr>
              <w:jc w:val="center"/>
              <w:rPr>
                <w:rFonts w:ascii="Cambria" w:hAnsi="Cambria"/>
                <w:sz w:val="20"/>
                <w:szCs w:val="20"/>
                <w:lang w:val="fr-FR"/>
              </w:rPr>
            </w:pPr>
          </w:p>
        </w:tc>
        <w:tc>
          <w:tcPr>
            <w:tcW w:w="1440" w:type="dxa"/>
            <w:tcBorders>
              <w:top w:val="nil"/>
              <w:left w:val="nil"/>
              <w:bottom w:val="single" w:sz="4" w:space="0" w:color="auto"/>
              <w:right w:val="single" w:sz="4" w:space="0" w:color="auto"/>
            </w:tcBorders>
            <w:shd w:val="clear" w:color="000000" w:fill="A9D08E"/>
          </w:tcPr>
          <w:p w14:paraId="34E02B55" w14:textId="4E54C0F3" w:rsidR="00535BED" w:rsidRPr="00743644" w:rsidRDefault="00535BED" w:rsidP="00736B28">
            <w:pPr>
              <w:jc w:val="center"/>
              <w:rPr>
                <w:rFonts w:ascii="Cambria" w:hAnsi="Cambria"/>
                <w:sz w:val="20"/>
                <w:szCs w:val="20"/>
              </w:rPr>
            </w:pPr>
            <w:r w:rsidRPr="00743644">
              <w:rPr>
                <w:rFonts w:ascii="Cambria" w:hAnsi="Cambria"/>
                <w:sz w:val="20"/>
                <w:szCs w:val="20"/>
              </w:rPr>
              <w:t>Existence value: US$ 70.2 /ha/</w:t>
            </w:r>
            <w:proofErr w:type="spellStart"/>
            <w:r w:rsidRPr="00743644">
              <w:rPr>
                <w:rFonts w:ascii="Cambria" w:hAnsi="Cambria"/>
                <w:sz w:val="20"/>
                <w:szCs w:val="20"/>
              </w:rPr>
              <w:t>yr</w:t>
            </w:r>
            <w:proofErr w:type="spellEnd"/>
            <w:r>
              <w:rPr>
                <w:rFonts w:ascii="Cambria" w:hAnsi="Cambria"/>
                <w:sz w:val="20"/>
                <w:szCs w:val="20"/>
              </w:rPr>
              <w:t xml:space="preserve"> (</w:t>
            </w:r>
            <w:proofErr w:type="spellStart"/>
            <w:r>
              <w:rPr>
                <w:rFonts w:ascii="Cambria" w:hAnsi="Cambria"/>
                <w:sz w:val="20"/>
                <w:szCs w:val="20"/>
              </w:rPr>
              <w:t>Hoberg</w:t>
            </w:r>
            <w:proofErr w:type="spellEnd"/>
            <w:r>
              <w:rPr>
                <w:rFonts w:ascii="Cambria" w:hAnsi="Cambria"/>
                <w:sz w:val="20"/>
                <w:szCs w:val="20"/>
              </w:rPr>
              <w:t xml:space="preserve"> 2011); </w:t>
            </w:r>
            <w:r w:rsidRPr="00743644">
              <w:rPr>
                <w:rFonts w:ascii="Cambria" w:hAnsi="Cambria"/>
                <w:sz w:val="20"/>
                <w:szCs w:val="20"/>
              </w:rPr>
              <w:t>Bequest value: 2 generations</w:t>
            </w:r>
            <w:r w:rsidR="00736B28">
              <w:rPr>
                <w:rFonts w:ascii="Cambria" w:hAnsi="Cambria"/>
                <w:sz w:val="20"/>
                <w:szCs w:val="20"/>
              </w:rPr>
              <w:t>:</w:t>
            </w:r>
            <w:r w:rsidRPr="00743644">
              <w:rPr>
                <w:rFonts w:ascii="Cambria" w:hAnsi="Cambria"/>
                <w:sz w:val="20"/>
                <w:szCs w:val="20"/>
              </w:rPr>
              <w:t xml:space="preserve"> 24420 MGA/individu</w:t>
            </w:r>
            <w:r w:rsidRPr="00743644">
              <w:rPr>
                <w:rFonts w:ascii="Cambria" w:hAnsi="Cambria"/>
                <w:sz w:val="20"/>
                <w:szCs w:val="20"/>
              </w:rPr>
              <w:lastRenderedPageBreak/>
              <w:t>al; 5 generations</w:t>
            </w:r>
            <w:r w:rsidR="00736B28">
              <w:rPr>
                <w:rFonts w:ascii="Cambria" w:hAnsi="Cambria"/>
                <w:sz w:val="20"/>
                <w:szCs w:val="20"/>
              </w:rPr>
              <w:t>:</w:t>
            </w:r>
            <w:r w:rsidRPr="00743644">
              <w:rPr>
                <w:rFonts w:ascii="Cambria" w:hAnsi="Cambria"/>
                <w:sz w:val="20"/>
                <w:szCs w:val="20"/>
              </w:rPr>
              <w:t xml:space="preserve"> 56780 MGA/individual</w:t>
            </w:r>
            <w:r>
              <w:rPr>
                <w:rFonts w:ascii="Cambria" w:hAnsi="Cambria"/>
                <w:sz w:val="20"/>
                <w:szCs w:val="20"/>
              </w:rPr>
              <w:t xml:space="preserve"> (</w:t>
            </w:r>
            <w:proofErr w:type="spellStart"/>
            <w:r>
              <w:rPr>
                <w:rFonts w:ascii="Cambria" w:hAnsi="Cambria"/>
                <w:sz w:val="20"/>
                <w:szCs w:val="20"/>
              </w:rPr>
              <w:t>Oleson</w:t>
            </w:r>
            <w:proofErr w:type="spellEnd"/>
            <w:r>
              <w:rPr>
                <w:rFonts w:ascii="Cambria" w:hAnsi="Cambria"/>
                <w:sz w:val="20"/>
                <w:szCs w:val="20"/>
              </w:rPr>
              <w:t xml:space="preserve"> et al. 2015)</w:t>
            </w:r>
          </w:p>
        </w:tc>
        <w:tc>
          <w:tcPr>
            <w:tcW w:w="1440" w:type="dxa"/>
            <w:tcBorders>
              <w:top w:val="single" w:sz="4" w:space="0" w:color="auto"/>
              <w:left w:val="nil"/>
              <w:bottom w:val="single" w:sz="4" w:space="0" w:color="auto"/>
              <w:right w:val="single" w:sz="4" w:space="0" w:color="auto"/>
            </w:tcBorders>
            <w:shd w:val="clear" w:color="000000" w:fill="A9D08E"/>
          </w:tcPr>
          <w:p w14:paraId="1906E95A" w14:textId="77777777" w:rsidR="00535BED" w:rsidRPr="00743644" w:rsidRDefault="00535BED" w:rsidP="00736B28">
            <w:pPr>
              <w:jc w:val="center"/>
              <w:rPr>
                <w:rFonts w:ascii="Cambria" w:eastAsia="Times New Roman" w:hAnsi="Cambria" w:cs="Times New Roman"/>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A9D08E"/>
          </w:tcPr>
          <w:p w14:paraId="3932DB77" w14:textId="77777777" w:rsidR="00535BED" w:rsidRPr="00743644" w:rsidRDefault="00535BED" w:rsidP="00736B28">
            <w:pPr>
              <w:jc w:val="center"/>
              <w:rPr>
                <w:rFonts w:ascii="Cambria" w:eastAsia="Times New Roman" w:hAnsi="Cambria" w:cs="Times New Roman"/>
                <w:color w:val="000000"/>
                <w:sz w:val="20"/>
                <w:szCs w:val="20"/>
              </w:rPr>
            </w:pPr>
          </w:p>
        </w:tc>
        <w:tc>
          <w:tcPr>
            <w:tcW w:w="1440" w:type="dxa"/>
            <w:tcBorders>
              <w:top w:val="nil"/>
              <w:left w:val="nil"/>
              <w:bottom w:val="single" w:sz="4" w:space="0" w:color="auto"/>
              <w:right w:val="single" w:sz="4" w:space="0" w:color="auto"/>
            </w:tcBorders>
            <w:shd w:val="clear" w:color="000000" w:fill="A9D08E"/>
          </w:tcPr>
          <w:p w14:paraId="6F1A3FCA" w14:textId="1FCC93E4" w:rsidR="00535BED" w:rsidRPr="00743644" w:rsidRDefault="007A56B5" w:rsidP="00736B28">
            <w:pPr>
              <w:jc w:val="center"/>
              <w:rPr>
                <w:rFonts w:ascii="Cambria" w:eastAsia="Times New Roman" w:hAnsi="Cambria" w:cs="Times New Roman"/>
                <w:color w:val="000000"/>
                <w:sz w:val="20"/>
                <w:szCs w:val="20"/>
              </w:rPr>
            </w:pPr>
            <w:r w:rsidRPr="007A56B5">
              <w:rPr>
                <w:rFonts w:ascii="Cambria" w:eastAsia="Times New Roman" w:hAnsi="Cambria" w:cs="Times New Roman"/>
                <w:color w:val="000000"/>
                <w:sz w:val="20"/>
                <w:szCs w:val="20"/>
              </w:rPr>
              <w:t>National heritage</w:t>
            </w:r>
            <w:r w:rsidR="00736B28">
              <w:rPr>
                <w:rFonts w:ascii="Cambria" w:eastAsia="Times New Roman" w:hAnsi="Cambria" w:cs="Times New Roman"/>
                <w:color w:val="000000"/>
                <w:sz w:val="20"/>
                <w:szCs w:val="20"/>
              </w:rPr>
              <w:t>:</w:t>
            </w:r>
            <w:r w:rsidRPr="007A56B5">
              <w:rPr>
                <w:rFonts w:ascii="Cambria" w:eastAsia="Times New Roman" w:hAnsi="Cambria" w:cs="Times New Roman"/>
                <w:color w:val="000000"/>
                <w:sz w:val="20"/>
                <w:szCs w:val="20"/>
              </w:rPr>
              <w:t xml:space="preserve"> 11,317.94 Baht/Household/Year</w:t>
            </w:r>
            <w:r>
              <w:rPr>
                <w:rFonts w:ascii="Cambria" w:eastAsia="Times New Roman" w:hAnsi="Cambria" w:cs="Times New Roman"/>
                <w:color w:val="000000"/>
                <w:sz w:val="20"/>
                <w:szCs w:val="20"/>
              </w:rPr>
              <w:t xml:space="preserve"> (</w:t>
            </w:r>
            <w:proofErr w:type="spellStart"/>
            <w:r>
              <w:rPr>
                <w:rFonts w:ascii="Cambria" w:eastAsia="Times New Roman" w:hAnsi="Cambria" w:cs="Times New Roman"/>
                <w:color w:val="000000"/>
                <w:sz w:val="20"/>
                <w:szCs w:val="20"/>
              </w:rPr>
              <w:t>Wiwatthanapornachai</w:t>
            </w:r>
            <w:proofErr w:type="spellEnd"/>
            <w:r>
              <w:rPr>
                <w:rFonts w:ascii="Cambria" w:eastAsia="Times New Roman" w:hAnsi="Cambria" w:cs="Times New Roman"/>
                <w:color w:val="000000"/>
                <w:sz w:val="20"/>
                <w:szCs w:val="20"/>
              </w:rPr>
              <w:t xml:space="preserve"> et al. 2014)</w:t>
            </w:r>
          </w:p>
        </w:tc>
        <w:tc>
          <w:tcPr>
            <w:tcW w:w="1350" w:type="dxa"/>
            <w:tcBorders>
              <w:top w:val="nil"/>
              <w:left w:val="nil"/>
              <w:bottom w:val="single" w:sz="4" w:space="0" w:color="auto"/>
              <w:right w:val="single" w:sz="4" w:space="0" w:color="auto"/>
            </w:tcBorders>
            <w:shd w:val="clear" w:color="000000" w:fill="A9D08E"/>
          </w:tcPr>
          <w:p w14:paraId="16EB30DA" w14:textId="7340D3B6" w:rsidR="00535BED" w:rsidRPr="00743644" w:rsidRDefault="00535BED" w:rsidP="00736B28">
            <w:pPr>
              <w:jc w:val="center"/>
              <w:rPr>
                <w:rFonts w:ascii="Cambria" w:eastAsia="Times New Roman" w:hAnsi="Cambria" w:cs="Times New Roman"/>
                <w:color w:val="000000"/>
                <w:sz w:val="20"/>
                <w:szCs w:val="20"/>
              </w:rPr>
            </w:pPr>
          </w:p>
        </w:tc>
        <w:tc>
          <w:tcPr>
            <w:tcW w:w="1350" w:type="dxa"/>
            <w:tcBorders>
              <w:top w:val="nil"/>
              <w:left w:val="nil"/>
              <w:bottom w:val="single" w:sz="4" w:space="0" w:color="auto"/>
              <w:right w:val="single" w:sz="4" w:space="0" w:color="auto"/>
            </w:tcBorders>
            <w:shd w:val="clear" w:color="000000" w:fill="A9D08E"/>
          </w:tcPr>
          <w:p w14:paraId="751BC637" w14:textId="5E4B04D2" w:rsidR="00535BED" w:rsidRPr="00743644" w:rsidRDefault="00535BED" w:rsidP="00736B28">
            <w:pPr>
              <w:jc w:val="center"/>
              <w:rPr>
                <w:rFonts w:ascii="Cambria" w:eastAsia="Times New Roman" w:hAnsi="Cambria" w:cs="Times New Roman"/>
                <w:color w:val="000000"/>
                <w:sz w:val="20"/>
                <w:szCs w:val="20"/>
              </w:rPr>
            </w:pPr>
          </w:p>
        </w:tc>
      </w:tr>
    </w:tbl>
    <w:p w14:paraId="0133508D" w14:textId="4590206B" w:rsidR="00A01A99" w:rsidRPr="00743644" w:rsidRDefault="00A01A99" w:rsidP="00CA3614">
      <w:pPr>
        <w:ind w:left="360"/>
        <w:rPr>
          <w:rFonts w:ascii="Cambria" w:hAnsi="Cambria"/>
          <w:sz w:val="24"/>
          <w:szCs w:val="16"/>
        </w:rPr>
      </w:pPr>
    </w:p>
    <w:p w14:paraId="1D6C842B" w14:textId="02EFA77F" w:rsidR="00CA3614" w:rsidRPr="004368D7" w:rsidRDefault="00CA3614" w:rsidP="004368D7">
      <w:pPr>
        <w:ind w:left="360"/>
        <w:rPr>
          <w:rFonts w:ascii="Cambria" w:hAnsi="Cambria"/>
          <w:sz w:val="24"/>
          <w:szCs w:val="16"/>
        </w:rPr>
        <w:sectPr w:rsidR="00CA3614" w:rsidRPr="004368D7" w:rsidSect="00ED6189">
          <w:pgSz w:w="15840" w:h="12240" w:orient="landscape"/>
          <w:pgMar w:top="360" w:right="360" w:bottom="360" w:left="360" w:header="720" w:footer="720" w:gutter="0"/>
          <w:cols w:space="720"/>
          <w:docGrid w:linePitch="360"/>
        </w:sectPr>
      </w:pPr>
    </w:p>
    <w:p w14:paraId="20CC31D9" w14:textId="77777777" w:rsidR="00CA3614" w:rsidRPr="00C1140C" w:rsidRDefault="00CA3614" w:rsidP="00CA3614">
      <w:pPr>
        <w:pStyle w:val="Heading1"/>
      </w:pPr>
      <w:r w:rsidRPr="00C1140C">
        <w:lastRenderedPageBreak/>
        <w:t>References included in systematic literature review</w:t>
      </w:r>
    </w:p>
    <w:p w14:paraId="54A12261" w14:textId="77777777" w:rsidR="00CA3614" w:rsidRPr="00C1140C" w:rsidRDefault="00CA3614" w:rsidP="00CA3614">
      <w:pPr>
        <w:rPr>
          <w:rFonts w:ascii="Cambria" w:hAnsi="Cambria"/>
          <w:sz w:val="24"/>
          <w:szCs w:val="24"/>
        </w:rPr>
      </w:pPr>
    </w:p>
    <w:p w14:paraId="44B0C731"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lang w:val="fr-FR"/>
        </w:rPr>
        <w:t>Aburto-Oropeza</w:t>
      </w:r>
      <w:proofErr w:type="spellEnd"/>
      <w:r w:rsidRPr="00C1140C">
        <w:rPr>
          <w:rFonts w:ascii="Cambria" w:hAnsi="Cambria"/>
          <w:sz w:val="24"/>
          <w:szCs w:val="24"/>
          <w:lang w:val="fr-FR"/>
        </w:rPr>
        <w:t xml:space="preserve">, O., </w:t>
      </w:r>
      <w:proofErr w:type="spellStart"/>
      <w:r w:rsidRPr="00C1140C">
        <w:rPr>
          <w:rFonts w:ascii="Cambria" w:hAnsi="Cambria"/>
          <w:sz w:val="24"/>
          <w:szCs w:val="24"/>
          <w:lang w:val="fr-FR"/>
        </w:rPr>
        <w:t>Ezcurra</w:t>
      </w:r>
      <w:proofErr w:type="spellEnd"/>
      <w:r w:rsidRPr="00C1140C">
        <w:rPr>
          <w:rFonts w:ascii="Cambria" w:hAnsi="Cambria"/>
          <w:sz w:val="24"/>
          <w:szCs w:val="24"/>
          <w:lang w:val="fr-FR"/>
        </w:rPr>
        <w:t xml:space="preserve">, E., </w:t>
      </w:r>
      <w:proofErr w:type="spellStart"/>
      <w:r w:rsidRPr="00C1140C">
        <w:rPr>
          <w:rFonts w:ascii="Cambria" w:hAnsi="Cambria"/>
          <w:sz w:val="24"/>
          <w:szCs w:val="24"/>
          <w:lang w:val="fr-FR"/>
        </w:rPr>
        <w:t>Danemann</w:t>
      </w:r>
      <w:proofErr w:type="spellEnd"/>
      <w:r w:rsidRPr="00C1140C">
        <w:rPr>
          <w:rFonts w:ascii="Cambria" w:hAnsi="Cambria"/>
          <w:sz w:val="24"/>
          <w:szCs w:val="24"/>
          <w:lang w:val="fr-FR"/>
        </w:rPr>
        <w:t xml:space="preserve">, G., Valdez, V., Murray, J., &amp; Sala, E. (2008). </w:t>
      </w:r>
      <w:r w:rsidRPr="00C1140C">
        <w:rPr>
          <w:rFonts w:ascii="Cambria" w:hAnsi="Cambria"/>
          <w:sz w:val="24"/>
          <w:szCs w:val="24"/>
        </w:rPr>
        <w:t xml:space="preserve">Mangroves in the Gulf of California increase fishery yields. </w:t>
      </w:r>
      <w:r w:rsidRPr="00C1140C">
        <w:rPr>
          <w:rFonts w:ascii="Cambria" w:hAnsi="Cambria"/>
          <w:i/>
          <w:sz w:val="24"/>
          <w:szCs w:val="24"/>
        </w:rPr>
        <w:t>Proceedings of the National Academy of Sciences</w:t>
      </w:r>
      <w:r w:rsidRPr="00C1140C">
        <w:rPr>
          <w:rFonts w:ascii="Cambria" w:hAnsi="Cambria"/>
          <w:sz w:val="24"/>
          <w:szCs w:val="24"/>
        </w:rPr>
        <w:t>, 105(30), 10456-10459.</w:t>
      </w:r>
    </w:p>
    <w:p w14:paraId="4CD6887A"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Adekola</w:t>
      </w:r>
      <w:proofErr w:type="spellEnd"/>
      <w:r w:rsidRPr="00C1140C">
        <w:rPr>
          <w:rFonts w:ascii="Cambria" w:hAnsi="Cambria"/>
          <w:sz w:val="24"/>
          <w:szCs w:val="24"/>
        </w:rPr>
        <w:t xml:space="preserve">, O., Mitchell, G., &amp; Grainger, A. (2015). Inequality and ecosystem services: The value and social distribution of Niger Delta wetland services. </w:t>
      </w:r>
      <w:r w:rsidRPr="00C1140C">
        <w:rPr>
          <w:rFonts w:ascii="Cambria" w:hAnsi="Cambria"/>
          <w:i/>
          <w:sz w:val="24"/>
          <w:szCs w:val="24"/>
        </w:rPr>
        <w:t>Ecosystem Services</w:t>
      </w:r>
      <w:r w:rsidRPr="00C1140C">
        <w:rPr>
          <w:rFonts w:ascii="Cambria" w:hAnsi="Cambria"/>
          <w:sz w:val="24"/>
          <w:szCs w:val="24"/>
        </w:rPr>
        <w:t xml:space="preserve">, 12, 42–54. </w:t>
      </w:r>
    </w:p>
    <w:p w14:paraId="5D3E9CD1"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Adhikari</w:t>
      </w:r>
      <w:proofErr w:type="spellEnd"/>
      <w:r w:rsidRPr="00C1140C">
        <w:rPr>
          <w:rFonts w:ascii="Cambria" w:hAnsi="Cambria"/>
          <w:sz w:val="24"/>
          <w:szCs w:val="24"/>
        </w:rPr>
        <w:t xml:space="preserve">, B., </w:t>
      </w:r>
      <w:proofErr w:type="spellStart"/>
      <w:r w:rsidRPr="00C1140C">
        <w:rPr>
          <w:rFonts w:ascii="Cambria" w:hAnsi="Cambria"/>
          <w:sz w:val="24"/>
          <w:szCs w:val="24"/>
        </w:rPr>
        <w:t>Baig</w:t>
      </w:r>
      <w:proofErr w:type="spellEnd"/>
      <w:r w:rsidRPr="00C1140C">
        <w:rPr>
          <w:rFonts w:ascii="Cambria" w:hAnsi="Cambria"/>
          <w:sz w:val="24"/>
          <w:szCs w:val="24"/>
        </w:rPr>
        <w:t xml:space="preserve">, S. P., &amp; </w:t>
      </w:r>
      <w:proofErr w:type="spellStart"/>
      <w:r w:rsidRPr="00C1140C">
        <w:rPr>
          <w:rFonts w:ascii="Cambria" w:hAnsi="Cambria"/>
          <w:sz w:val="24"/>
          <w:szCs w:val="24"/>
        </w:rPr>
        <w:t>Iftikhar</w:t>
      </w:r>
      <w:proofErr w:type="spellEnd"/>
      <w:r w:rsidRPr="00C1140C">
        <w:rPr>
          <w:rFonts w:ascii="Cambria" w:hAnsi="Cambria"/>
          <w:sz w:val="24"/>
          <w:szCs w:val="24"/>
        </w:rPr>
        <w:t xml:space="preserve">, U. A. (2010). The Use and Management of Mangrove Ecosystems in Pakistan. </w:t>
      </w:r>
      <w:r w:rsidRPr="00C1140C">
        <w:rPr>
          <w:rFonts w:ascii="Cambria" w:hAnsi="Cambria"/>
          <w:i/>
          <w:sz w:val="24"/>
          <w:szCs w:val="24"/>
        </w:rPr>
        <w:t>Journal of Environment &amp; Development</w:t>
      </w:r>
      <w:r w:rsidRPr="00C1140C">
        <w:rPr>
          <w:rFonts w:ascii="Cambria" w:hAnsi="Cambria"/>
          <w:sz w:val="24"/>
          <w:szCs w:val="24"/>
        </w:rPr>
        <w:t xml:space="preserve">, 19(4), 446–467. </w:t>
      </w:r>
    </w:p>
    <w:p w14:paraId="4612D85D"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Ahmad, S. (2009). Recreational values of mangrove forest in </w:t>
      </w:r>
      <w:proofErr w:type="spellStart"/>
      <w:r w:rsidRPr="00C1140C">
        <w:rPr>
          <w:rFonts w:ascii="Cambria" w:hAnsi="Cambria"/>
          <w:sz w:val="24"/>
          <w:szCs w:val="24"/>
        </w:rPr>
        <w:t>Larut</w:t>
      </w:r>
      <w:proofErr w:type="spellEnd"/>
      <w:r w:rsidRPr="00C1140C">
        <w:rPr>
          <w:rFonts w:ascii="Cambria" w:hAnsi="Cambria"/>
          <w:sz w:val="24"/>
          <w:szCs w:val="24"/>
        </w:rPr>
        <w:t xml:space="preserve"> </w:t>
      </w:r>
      <w:proofErr w:type="spellStart"/>
      <w:r w:rsidRPr="00C1140C">
        <w:rPr>
          <w:rFonts w:ascii="Cambria" w:hAnsi="Cambria"/>
          <w:sz w:val="24"/>
          <w:szCs w:val="24"/>
        </w:rPr>
        <w:t>Matang</w:t>
      </w:r>
      <w:proofErr w:type="spellEnd"/>
      <w:r w:rsidRPr="00C1140C">
        <w:rPr>
          <w:rFonts w:ascii="Cambria" w:hAnsi="Cambria"/>
          <w:sz w:val="24"/>
          <w:szCs w:val="24"/>
        </w:rPr>
        <w:t xml:space="preserve">, Perak. </w:t>
      </w:r>
      <w:r w:rsidRPr="00C1140C">
        <w:rPr>
          <w:rFonts w:ascii="Cambria" w:hAnsi="Cambria"/>
          <w:i/>
          <w:sz w:val="24"/>
          <w:szCs w:val="24"/>
        </w:rPr>
        <w:t>Journal of Tropical Forest Science</w:t>
      </w:r>
      <w:r w:rsidRPr="00C1140C">
        <w:rPr>
          <w:rFonts w:ascii="Cambria" w:hAnsi="Cambria"/>
          <w:sz w:val="24"/>
          <w:szCs w:val="24"/>
        </w:rPr>
        <w:t>, 81-87.</w:t>
      </w:r>
    </w:p>
    <w:p w14:paraId="5C034AD7"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Ajonina</w:t>
      </w:r>
      <w:proofErr w:type="spellEnd"/>
      <w:r w:rsidRPr="00C1140C">
        <w:rPr>
          <w:rFonts w:ascii="Cambria" w:hAnsi="Cambria"/>
          <w:sz w:val="24"/>
          <w:szCs w:val="24"/>
        </w:rPr>
        <w:t xml:space="preserve">, G., </w:t>
      </w:r>
      <w:proofErr w:type="spellStart"/>
      <w:r w:rsidRPr="00C1140C">
        <w:rPr>
          <w:rFonts w:ascii="Cambria" w:hAnsi="Cambria"/>
          <w:sz w:val="24"/>
          <w:szCs w:val="24"/>
        </w:rPr>
        <w:t>Agardy</w:t>
      </w:r>
      <w:proofErr w:type="spellEnd"/>
      <w:r w:rsidRPr="00C1140C">
        <w:rPr>
          <w:rFonts w:ascii="Cambria" w:hAnsi="Cambria"/>
          <w:sz w:val="24"/>
          <w:szCs w:val="24"/>
        </w:rPr>
        <w:t xml:space="preserve">, T., Lau, W., </w:t>
      </w:r>
      <w:proofErr w:type="spellStart"/>
      <w:r w:rsidRPr="00C1140C">
        <w:rPr>
          <w:rFonts w:ascii="Cambria" w:hAnsi="Cambria"/>
          <w:sz w:val="24"/>
          <w:szCs w:val="24"/>
        </w:rPr>
        <w:t>Agbogah</w:t>
      </w:r>
      <w:proofErr w:type="spellEnd"/>
      <w:r w:rsidRPr="00C1140C">
        <w:rPr>
          <w:rFonts w:ascii="Cambria" w:hAnsi="Cambria"/>
          <w:sz w:val="24"/>
          <w:szCs w:val="24"/>
        </w:rPr>
        <w:t xml:space="preserve">, K., &amp; </w:t>
      </w:r>
      <w:proofErr w:type="spellStart"/>
      <w:r w:rsidRPr="00C1140C">
        <w:rPr>
          <w:rFonts w:ascii="Cambria" w:hAnsi="Cambria"/>
          <w:sz w:val="24"/>
          <w:szCs w:val="24"/>
        </w:rPr>
        <w:t>Gormery</w:t>
      </w:r>
      <w:proofErr w:type="spellEnd"/>
      <w:r w:rsidRPr="00C1140C">
        <w:rPr>
          <w:rFonts w:ascii="Cambria" w:hAnsi="Cambria"/>
          <w:sz w:val="24"/>
          <w:szCs w:val="24"/>
        </w:rPr>
        <w:t xml:space="preserve">, B. (2014). Mangrove conditions as indicator for potential payment for ecosystems services in some </w:t>
      </w:r>
      <w:proofErr w:type="spellStart"/>
      <w:r w:rsidRPr="00C1140C">
        <w:rPr>
          <w:rFonts w:ascii="Cambria" w:hAnsi="Cambria"/>
          <w:sz w:val="24"/>
          <w:szCs w:val="24"/>
        </w:rPr>
        <w:t>esturines</w:t>
      </w:r>
      <w:proofErr w:type="spellEnd"/>
      <w:r w:rsidRPr="00C1140C">
        <w:rPr>
          <w:rFonts w:ascii="Cambria" w:hAnsi="Cambria"/>
          <w:sz w:val="24"/>
          <w:szCs w:val="24"/>
        </w:rPr>
        <w:t xml:space="preserve"> of Western Region of Ghana, West Africa. In </w:t>
      </w:r>
      <w:r w:rsidRPr="00C1140C">
        <w:rPr>
          <w:rFonts w:ascii="Cambria" w:hAnsi="Cambria"/>
          <w:i/>
          <w:sz w:val="24"/>
          <w:szCs w:val="24"/>
        </w:rPr>
        <w:t>The land/ocean interactions in the coastal zone of west and central Africa</w:t>
      </w:r>
      <w:r w:rsidRPr="00C1140C">
        <w:rPr>
          <w:rFonts w:ascii="Cambria" w:hAnsi="Cambria"/>
          <w:sz w:val="24"/>
          <w:szCs w:val="24"/>
        </w:rPr>
        <w:t xml:space="preserve"> (pp. 151–166). Springer International Publishing. </w:t>
      </w:r>
    </w:p>
    <w:p w14:paraId="055AF8E5"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Amarnath</w:t>
      </w:r>
      <w:proofErr w:type="spellEnd"/>
      <w:r w:rsidRPr="00C1140C">
        <w:rPr>
          <w:rFonts w:ascii="Cambria" w:hAnsi="Cambria"/>
          <w:sz w:val="24"/>
          <w:szCs w:val="24"/>
        </w:rPr>
        <w:t xml:space="preserve">, J. S., &amp; </w:t>
      </w:r>
      <w:proofErr w:type="spellStart"/>
      <w:r w:rsidRPr="00C1140C">
        <w:rPr>
          <w:rFonts w:ascii="Cambria" w:hAnsi="Cambria"/>
          <w:sz w:val="24"/>
          <w:szCs w:val="24"/>
        </w:rPr>
        <w:t>Mouna</w:t>
      </w:r>
      <w:proofErr w:type="spellEnd"/>
      <w:r w:rsidRPr="00C1140C">
        <w:rPr>
          <w:rFonts w:ascii="Cambria" w:hAnsi="Cambria"/>
          <w:sz w:val="24"/>
          <w:szCs w:val="24"/>
        </w:rPr>
        <w:t xml:space="preserve">, A. (2016). Environmental Impact Assessment of Coastal Ecosystem in Tamil Nadu, India with Hedonic and Travel Cost Models. International Journal of Marine Science, 66(636), 1-8. </w:t>
      </w:r>
    </w:p>
    <w:p w14:paraId="0E0B140E"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Atkinson, S. C., Jupiter, S. D., Adams, V. M., Ingram, J. C., Narayan, S., Klein, C. J., &amp; </w:t>
      </w:r>
      <w:proofErr w:type="spellStart"/>
      <w:r w:rsidRPr="00C1140C">
        <w:rPr>
          <w:rFonts w:ascii="Cambria" w:hAnsi="Cambria"/>
          <w:sz w:val="24"/>
          <w:szCs w:val="24"/>
        </w:rPr>
        <w:t>Possingham</w:t>
      </w:r>
      <w:proofErr w:type="spellEnd"/>
      <w:r w:rsidRPr="00C1140C">
        <w:rPr>
          <w:rFonts w:ascii="Cambria" w:hAnsi="Cambria"/>
          <w:sz w:val="24"/>
          <w:szCs w:val="24"/>
        </w:rPr>
        <w:t xml:space="preserve">, H. P. (2016). </w:t>
      </w:r>
      <w:proofErr w:type="spellStart"/>
      <w:r w:rsidRPr="00C1140C">
        <w:rPr>
          <w:rFonts w:ascii="Cambria" w:hAnsi="Cambria"/>
          <w:sz w:val="24"/>
          <w:szCs w:val="24"/>
        </w:rPr>
        <w:t>Prioritising</w:t>
      </w:r>
      <w:proofErr w:type="spellEnd"/>
      <w:r w:rsidRPr="00C1140C">
        <w:rPr>
          <w:rFonts w:ascii="Cambria" w:hAnsi="Cambria"/>
          <w:sz w:val="24"/>
          <w:szCs w:val="24"/>
        </w:rPr>
        <w:t xml:space="preserve"> mangrove ecosystems services in spatially variable management priorities. </w:t>
      </w:r>
      <w:r w:rsidRPr="00C1140C">
        <w:rPr>
          <w:rFonts w:ascii="Cambria" w:hAnsi="Cambria"/>
          <w:i/>
          <w:sz w:val="24"/>
          <w:szCs w:val="24"/>
        </w:rPr>
        <w:t>PLOS ONE</w:t>
      </w:r>
      <w:r w:rsidRPr="00C1140C">
        <w:rPr>
          <w:rFonts w:ascii="Cambria" w:hAnsi="Cambria"/>
          <w:sz w:val="24"/>
          <w:szCs w:val="24"/>
        </w:rPr>
        <w:t xml:space="preserve">, 11(3), 21. </w:t>
      </w:r>
    </w:p>
    <w:p w14:paraId="5A0D0CAA"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Ayanlade</w:t>
      </w:r>
      <w:proofErr w:type="spellEnd"/>
      <w:r w:rsidRPr="00C1140C">
        <w:rPr>
          <w:rFonts w:ascii="Cambria" w:hAnsi="Cambria"/>
          <w:sz w:val="24"/>
          <w:szCs w:val="24"/>
        </w:rPr>
        <w:t xml:space="preserve">, A., &amp; </w:t>
      </w:r>
      <w:proofErr w:type="spellStart"/>
      <w:r w:rsidRPr="00C1140C">
        <w:rPr>
          <w:rFonts w:ascii="Cambria" w:hAnsi="Cambria"/>
          <w:sz w:val="24"/>
          <w:szCs w:val="24"/>
        </w:rPr>
        <w:t>Proske</w:t>
      </w:r>
      <w:proofErr w:type="spellEnd"/>
      <w:r w:rsidRPr="00C1140C">
        <w:rPr>
          <w:rFonts w:ascii="Cambria" w:hAnsi="Cambria"/>
          <w:sz w:val="24"/>
          <w:szCs w:val="24"/>
        </w:rPr>
        <w:t xml:space="preserve">, U. (2015). Assessing wetland degradation and loss of ecosystem services in the Niger Delta, Nigeria. </w:t>
      </w:r>
      <w:r w:rsidRPr="00C1140C">
        <w:rPr>
          <w:rFonts w:ascii="Cambria" w:hAnsi="Cambria"/>
          <w:i/>
          <w:sz w:val="24"/>
          <w:szCs w:val="24"/>
        </w:rPr>
        <w:t>Marine and Freshwater Research</w:t>
      </w:r>
      <w:r w:rsidRPr="00C1140C">
        <w:rPr>
          <w:rFonts w:ascii="Cambria" w:hAnsi="Cambria"/>
          <w:sz w:val="24"/>
          <w:szCs w:val="24"/>
        </w:rPr>
        <w:t>, 828–836.</w:t>
      </w:r>
    </w:p>
    <w:p w14:paraId="41ABBCB6"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Aziz, A. A., </w:t>
      </w:r>
      <w:proofErr w:type="spellStart"/>
      <w:r w:rsidRPr="00C1140C">
        <w:rPr>
          <w:rFonts w:ascii="Cambria" w:hAnsi="Cambria"/>
          <w:sz w:val="24"/>
          <w:szCs w:val="24"/>
        </w:rPr>
        <w:t>Dargusch</w:t>
      </w:r>
      <w:proofErr w:type="spellEnd"/>
      <w:r w:rsidRPr="00C1140C">
        <w:rPr>
          <w:rFonts w:ascii="Cambria" w:hAnsi="Cambria"/>
          <w:sz w:val="24"/>
          <w:szCs w:val="24"/>
        </w:rPr>
        <w:t xml:space="preserve">, P., </w:t>
      </w:r>
      <w:proofErr w:type="spellStart"/>
      <w:r w:rsidRPr="00C1140C">
        <w:rPr>
          <w:rFonts w:ascii="Cambria" w:hAnsi="Cambria"/>
          <w:sz w:val="24"/>
          <w:szCs w:val="24"/>
        </w:rPr>
        <w:t>Phinn</w:t>
      </w:r>
      <w:proofErr w:type="spellEnd"/>
      <w:r w:rsidRPr="00C1140C">
        <w:rPr>
          <w:rFonts w:ascii="Cambria" w:hAnsi="Cambria"/>
          <w:sz w:val="24"/>
          <w:szCs w:val="24"/>
        </w:rPr>
        <w:t xml:space="preserve">, S., &amp; Ward, A. (2015). Using REDD plus to balance timber production with conservation objectives in a mangrove forest in Malaysia. </w:t>
      </w:r>
      <w:r w:rsidRPr="00C1140C">
        <w:rPr>
          <w:rFonts w:ascii="Cambria" w:hAnsi="Cambria"/>
          <w:i/>
          <w:sz w:val="24"/>
          <w:szCs w:val="24"/>
        </w:rPr>
        <w:t>Ecological Economics,</w:t>
      </w:r>
      <w:r w:rsidRPr="00C1140C">
        <w:rPr>
          <w:rFonts w:ascii="Cambria" w:hAnsi="Cambria"/>
          <w:sz w:val="24"/>
          <w:szCs w:val="24"/>
        </w:rPr>
        <w:t xml:space="preserve"> 120, 108–116. </w:t>
      </w:r>
    </w:p>
    <w:p w14:paraId="74735B9E"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Barbier</w:t>
      </w:r>
      <w:proofErr w:type="spellEnd"/>
      <w:r w:rsidRPr="00C1140C">
        <w:rPr>
          <w:rFonts w:ascii="Cambria" w:hAnsi="Cambria"/>
          <w:sz w:val="24"/>
          <w:szCs w:val="24"/>
        </w:rPr>
        <w:t xml:space="preserve">, E. B. (2007). Valuing ecosystem services as productive inputs. </w:t>
      </w:r>
      <w:r w:rsidRPr="00C1140C">
        <w:rPr>
          <w:rFonts w:ascii="Cambria" w:hAnsi="Cambria"/>
          <w:i/>
          <w:sz w:val="24"/>
          <w:szCs w:val="24"/>
        </w:rPr>
        <w:t>Economic Policy</w:t>
      </w:r>
      <w:r w:rsidRPr="00C1140C">
        <w:rPr>
          <w:rFonts w:ascii="Cambria" w:hAnsi="Cambria"/>
          <w:sz w:val="24"/>
          <w:szCs w:val="24"/>
        </w:rPr>
        <w:t xml:space="preserve">, 22(49), 178–229. </w:t>
      </w:r>
    </w:p>
    <w:p w14:paraId="088EC3DF"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Barbier</w:t>
      </w:r>
      <w:proofErr w:type="spellEnd"/>
      <w:r w:rsidRPr="00C1140C">
        <w:rPr>
          <w:rFonts w:ascii="Cambria" w:hAnsi="Cambria"/>
          <w:sz w:val="24"/>
          <w:szCs w:val="24"/>
        </w:rPr>
        <w:t xml:space="preserve">, E. B. (2012). A spatial model of coastal ecosystem services. </w:t>
      </w:r>
      <w:r w:rsidRPr="00C1140C">
        <w:rPr>
          <w:rFonts w:ascii="Cambria" w:hAnsi="Cambria"/>
          <w:i/>
          <w:sz w:val="24"/>
          <w:szCs w:val="24"/>
        </w:rPr>
        <w:t>Ecological Economics</w:t>
      </w:r>
      <w:r w:rsidRPr="00C1140C">
        <w:rPr>
          <w:rFonts w:ascii="Cambria" w:hAnsi="Cambria"/>
          <w:sz w:val="24"/>
          <w:szCs w:val="24"/>
        </w:rPr>
        <w:t xml:space="preserve">, 78, 70–79. </w:t>
      </w:r>
    </w:p>
    <w:p w14:paraId="67FD0512"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Barbier</w:t>
      </w:r>
      <w:proofErr w:type="spellEnd"/>
      <w:r w:rsidRPr="00C1140C">
        <w:rPr>
          <w:rFonts w:ascii="Cambria" w:hAnsi="Cambria"/>
          <w:sz w:val="24"/>
          <w:szCs w:val="24"/>
        </w:rPr>
        <w:t xml:space="preserve">, E., &amp; Hacker, S. D. (2011). The value of estuarine and coastal ecosystem services. </w:t>
      </w:r>
      <w:r w:rsidRPr="00C1140C">
        <w:rPr>
          <w:rFonts w:ascii="Cambria" w:hAnsi="Cambria"/>
          <w:i/>
          <w:sz w:val="24"/>
          <w:szCs w:val="24"/>
        </w:rPr>
        <w:t>Ecological Monographs</w:t>
      </w:r>
      <w:r w:rsidRPr="00C1140C">
        <w:rPr>
          <w:rFonts w:ascii="Cambria" w:hAnsi="Cambria"/>
          <w:sz w:val="24"/>
          <w:szCs w:val="24"/>
        </w:rPr>
        <w:t xml:space="preserve">, 81(2), 169–193. </w:t>
      </w:r>
    </w:p>
    <w:p w14:paraId="70B8732E"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lastRenderedPageBreak/>
        <w:t xml:space="preserve">Beaumont, N. J., Jones, L., Garbutt, A., Hansom, J. D., &amp; </w:t>
      </w:r>
      <w:proofErr w:type="spellStart"/>
      <w:r w:rsidRPr="00C1140C">
        <w:rPr>
          <w:rFonts w:ascii="Cambria" w:hAnsi="Cambria"/>
          <w:sz w:val="24"/>
          <w:szCs w:val="24"/>
        </w:rPr>
        <w:t>Toberman</w:t>
      </w:r>
      <w:proofErr w:type="spellEnd"/>
      <w:r w:rsidRPr="00C1140C">
        <w:rPr>
          <w:rFonts w:ascii="Cambria" w:hAnsi="Cambria"/>
          <w:sz w:val="24"/>
          <w:szCs w:val="24"/>
        </w:rPr>
        <w:t xml:space="preserve">, M. (2014). The value of carbon sequestration and storage in coastal habitats. </w:t>
      </w:r>
      <w:r w:rsidRPr="00C1140C">
        <w:rPr>
          <w:rFonts w:ascii="Cambria" w:hAnsi="Cambria"/>
          <w:i/>
          <w:sz w:val="24"/>
          <w:szCs w:val="24"/>
        </w:rPr>
        <w:t>Estuarine, Coastal and Shelf</w:t>
      </w:r>
      <w:r w:rsidRPr="00C1140C">
        <w:rPr>
          <w:rFonts w:ascii="Cambria" w:hAnsi="Cambria"/>
          <w:sz w:val="24"/>
          <w:szCs w:val="24"/>
        </w:rPr>
        <w:t xml:space="preserve"> </w:t>
      </w:r>
      <w:r w:rsidRPr="00C1140C">
        <w:rPr>
          <w:rFonts w:ascii="Cambria" w:hAnsi="Cambria"/>
          <w:i/>
          <w:sz w:val="24"/>
          <w:szCs w:val="24"/>
        </w:rPr>
        <w:t>Science</w:t>
      </w:r>
      <w:r w:rsidRPr="00C1140C">
        <w:rPr>
          <w:rFonts w:ascii="Cambria" w:hAnsi="Cambria"/>
          <w:sz w:val="24"/>
          <w:szCs w:val="24"/>
        </w:rPr>
        <w:t xml:space="preserve">, 137, 32–40. </w:t>
      </w:r>
    </w:p>
    <w:p w14:paraId="6F279E46" w14:textId="77777777" w:rsidR="00CA3614" w:rsidRPr="00C1140C" w:rsidRDefault="00CA3614" w:rsidP="00CA3614">
      <w:pPr>
        <w:ind w:left="360" w:hanging="360"/>
        <w:rPr>
          <w:rFonts w:ascii="Cambria" w:hAnsi="Cambria"/>
          <w:sz w:val="24"/>
          <w:szCs w:val="24"/>
        </w:rPr>
      </w:pPr>
      <w:r w:rsidRPr="00CA3614">
        <w:rPr>
          <w:rFonts w:ascii="Cambria" w:hAnsi="Cambria"/>
          <w:sz w:val="24"/>
          <w:szCs w:val="24"/>
        </w:rPr>
        <w:t xml:space="preserve">Blandon, A., &amp; </w:t>
      </w:r>
      <w:proofErr w:type="spellStart"/>
      <w:r w:rsidRPr="00CA3614">
        <w:rPr>
          <w:rFonts w:ascii="Cambria" w:hAnsi="Cambria"/>
          <w:sz w:val="24"/>
          <w:szCs w:val="24"/>
        </w:rPr>
        <w:t>Zu</w:t>
      </w:r>
      <w:proofErr w:type="spellEnd"/>
      <w:r w:rsidRPr="00CA3614">
        <w:rPr>
          <w:rFonts w:ascii="Cambria" w:hAnsi="Cambria"/>
          <w:sz w:val="24"/>
          <w:szCs w:val="24"/>
        </w:rPr>
        <w:t xml:space="preserve"> </w:t>
      </w:r>
      <w:proofErr w:type="spellStart"/>
      <w:r w:rsidRPr="00CA3614">
        <w:rPr>
          <w:rFonts w:ascii="Cambria" w:hAnsi="Cambria"/>
          <w:sz w:val="24"/>
          <w:szCs w:val="24"/>
        </w:rPr>
        <w:t>Ermgassen</w:t>
      </w:r>
      <w:proofErr w:type="spellEnd"/>
      <w:r w:rsidRPr="00CA3614">
        <w:rPr>
          <w:rFonts w:ascii="Cambria" w:hAnsi="Cambria"/>
          <w:sz w:val="24"/>
          <w:szCs w:val="24"/>
        </w:rPr>
        <w:t xml:space="preserve">, P. S. E. (2014). </w:t>
      </w:r>
      <w:r w:rsidRPr="00C1140C">
        <w:rPr>
          <w:rFonts w:ascii="Cambria" w:hAnsi="Cambria"/>
          <w:sz w:val="24"/>
          <w:szCs w:val="24"/>
        </w:rPr>
        <w:t xml:space="preserve">Quantitative estimate of commercial fish enhancement by seagrass habitat in southern Australia. </w:t>
      </w:r>
      <w:r w:rsidRPr="00C1140C">
        <w:rPr>
          <w:rFonts w:ascii="Cambria" w:hAnsi="Cambria"/>
          <w:i/>
          <w:sz w:val="24"/>
          <w:szCs w:val="24"/>
        </w:rPr>
        <w:t>Estuarine, Coastal and Shelf Science</w:t>
      </w:r>
      <w:r w:rsidRPr="00C1140C">
        <w:rPr>
          <w:rFonts w:ascii="Cambria" w:hAnsi="Cambria"/>
          <w:sz w:val="24"/>
          <w:szCs w:val="24"/>
        </w:rPr>
        <w:t xml:space="preserve">, 141, 1–8. </w:t>
      </w:r>
    </w:p>
    <w:p w14:paraId="5DEFD94A"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Börger</w:t>
      </w:r>
      <w:proofErr w:type="spellEnd"/>
      <w:r w:rsidRPr="00C1140C">
        <w:rPr>
          <w:rFonts w:ascii="Cambria" w:hAnsi="Cambria"/>
          <w:sz w:val="24"/>
          <w:szCs w:val="24"/>
        </w:rPr>
        <w:t xml:space="preserve">, T., &amp; </w:t>
      </w:r>
      <w:proofErr w:type="spellStart"/>
      <w:r w:rsidRPr="00C1140C">
        <w:rPr>
          <w:rFonts w:ascii="Cambria" w:hAnsi="Cambria"/>
          <w:sz w:val="24"/>
          <w:szCs w:val="24"/>
        </w:rPr>
        <w:t>Piwowarczyk</w:t>
      </w:r>
      <w:proofErr w:type="spellEnd"/>
      <w:r w:rsidRPr="00C1140C">
        <w:rPr>
          <w:rFonts w:ascii="Cambria" w:hAnsi="Cambria"/>
          <w:sz w:val="24"/>
          <w:szCs w:val="24"/>
        </w:rPr>
        <w:t xml:space="preserve">, J. (2016). Assessing Non-market Benefits of Seagrass Restoration in the Gulf of </w:t>
      </w:r>
      <w:proofErr w:type="spellStart"/>
      <w:r w:rsidRPr="00C1140C">
        <w:rPr>
          <w:rFonts w:ascii="Cambria" w:hAnsi="Cambria"/>
          <w:sz w:val="24"/>
          <w:szCs w:val="24"/>
        </w:rPr>
        <w:t>Gdańsk</w:t>
      </w:r>
      <w:proofErr w:type="spellEnd"/>
      <w:r w:rsidRPr="00C1140C">
        <w:rPr>
          <w:rFonts w:ascii="Cambria" w:hAnsi="Cambria"/>
          <w:sz w:val="24"/>
          <w:szCs w:val="24"/>
        </w:rPr>
        <w:t xml:space="preserve">. </w:t>
      </w:r>
      <w:r w:rsidRPr="00C1140C">
        <w:rPr>
          <w:rFonts w:ascii="Cambria" w:hAnsi="Cambria"/>
          <w:i/>
          <w:sz w:val="24"/>
          <w:szCs w:val="24"/>
        </w:rPr>
        <w:t>Journal of Ocean and Coastal Economics</w:t>
      </w:r>
      <w:r w:rsidRPr="00C1140C">
        <w:rPr>
          <w:rFonts w:ascii="Cambria" w:hAnsi="Cambria"/>
          <w:sz w:val="24"/>
          <w:szCs w:val="24"/>
        </w:rPr>
        <w:t xml:space="preserve">, 3(1). </w:t>
      </w:r>
    </w:p>
    <w:p w14:paraId="556FE172"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Brander, L. M., </w:t>
      </w:r>
      <w:proofErr w:type="spellStart"/>
      <w:r w:rsidRPr="00C1140C">
        <w:rPr>
          <w:rFonts w:ascii="Cambria" w:hAnsi="Cambria"/>
          <w:sz w:val="24"/>
          <w:szCs w:val="24"/>
        </w:rPr>
        <w:t>Wagtendonk</w:t>
      </w:r>
      <w:proofErr w:type="spellEnd"/>
      <w:r w:rsidRPr="00C1140C">
        <w:rPr>
          <w:rFonts w:ascii="Cambria" w:hAnsi="Cambria"/>
          <w:sz w:val="24"/>
          <w:szCs w:val="24"/>
        </w:rPr>
        <w:t xml:space="preserve">, A. J., Hussain, S. S., </w:t>
      </w:r>
      <w:proofErr w:type="spellStart"/>
      <w:r w:rsidRPr="00C1140C">
        <w:rPr>
          <w:rFonts w:ascii="Cambria" w:hAnsi="Cambria"/>
          <w:sz w:val="24"/>
          <w:szCs w:val="24"/>
        </w:rPr>
        <w:t>McVittie</w:t>
      </w:r>
      <w:proofErr w:type="spellEnd"/>
      <w:r w:rsidRPr="00C1140C">
        <w:rPr>
          <w:rFonts w:ascii="Cambria" w:hAnsi="Cambria"/>
          <w:sz w:val="24"/>
          <w:szCs w:val="24"/>
        </w:rPr>
        <w:t xml:space="preserve">, A., </w:t>
      </w:r>
      <w:proofErr w:type="spellStart"/>
      <w:r w:rsidRPr="00C1140C">
        <w:rPr>
          <w:rFonts w:ascii="Cambria" w:hAnsi="Cambria"/>
          <w:sz w:val="24"/>
          <w:szCs w:val="24"/>
        </w:rPr>
        <w:t>Verburg</w:t>
      </w:r>
      <w:proofErr w:type="spellEnd"/>
      <w:r w:rsidRPr="00C1140C">
        <w:rPr>
          <w:rFonts w:ascii="Cambria" w:hAnsi="Cambria"/>
          <w:sz w:val="24"/>
          <w:szCs w:val="24"/>
        </w:rPr>
        <w:t xml:space="preserve">, P. H., de Groot, R. S., … van der </w:t>
      </w:r>
      <w:proofErr w:type="spellStart"/>
      <w:r w:rsidRPr="00C1140C">
        <w:rPr>
          <w:rFonts w:ascii="Cambria" w:hAnsi="Cambria"/>
          <w:sz w:val="24"/>
          <w:szCs w:val="24"/>
        </w:rPr>
        <w:t>Ploeg</w:t>
      </w:r>
      <w:proofErr w:type="spellEnd"/>
      <w:r w:rsidRPr="00C1140C">
        <w:rPr>
          <w:rFonts w:ascii="Cambria" w:hAnsi="Cambria"/>
          <w:sz w:val="24"/>
          <w:szCs w:val="24"/>
        </w:rPr>
        <w:t xml:space="preserve">, S. (2012). Ecosystem service values for mangroves in Southeast Asia: A meta-analysis and value transfer application. </w:t>
      </w:r>
      <w:r w:rsidRPr="00C1140C">
        <w:rPr>
          <w:rFonts w:ascii="Cambria" w:hAnsi="Cambria"/>
          <w:i/>
          <w:sz w:val="24"/>
          <w:szCs w:val="24"/>
        </w:rPr>
        <w:t>Ecosystem Services</w:t>
      </w:r>
      <w:r w:rsidRPr="00C1140C">
        <w:rPr>
          <w:rFonts w:ascii="Cambria" w:hAnsi="Cambria"/>
          <w:sz w:val="24"/>
          <w:szCs w:val="24"/>
        </w:rPr>
        <w:t xml:space="preserve">, 1(1), 62–69. </w:t>
      </w:r>
    </w:p>
    <w:p w14:paraId="4028AC07" w14:textId="77777777" w:rsidR="00CA3614" w:rsidRPr="00C1140C" w:rsidRDefault="00CA3614" w:rsidP="00CA3614">
      <w:pPr>
        <w:ind w:left="360" w:hanging="360"/>
        <w:rPr>
          <w:rFonts w:ascii="Cambria" w:hAnsi="Cambria"/>
          <w:sz w:val="24"/>
          <w:szCs w:val="24"/>
        </w:rPr>
      </w:pPr>
      <w:r w:rsidRPr="00CA3614">
        <w:rPr>
          <w:rFonts w:ascii="Cambria" w:hAnsi="Cambria"/>
          <w:sz w:val="24"/>
          <w:szCs w:val="24"/>
        </w:rPr>
        <w:t xml:space="preserve">Brenner, J., Jiménez, J. A., </w:t>
      </w:r>
      <w:proofErr w:type="spellStart"/>
      <w:r w:rsidRPr="00CA3614">
        <w:rPr>
          <w:rFonts w:ascii="Cambria" w:hAnsi="Cambria"/>
          <w:sz w:val="24"/>
          <w:szCs w:val="24"/>
        </w:rPr>
        <w:t>Sardá</w:t>
      </w:r>
      <w:proofErr w:type="spellEnd"/>
      <w:r w:rsidRPr="00CA3614">
        <w:rPr>
          <w:rFonts w:ascii="Cambria" w:hAnsi="Cambria"/>
          <w:sz w:val="24"/>
          <w:szCs w:val="24"/>
        </w:rPr>
        <w:t xml:space="preserve">, R., &amp; </w:t>
      </w:r>
      <w:proofErr w:type="spellStart"/>
      <w:r w:rsidRPr="00CA3614">
        <w:rPr>
          <w:rFonts w:ascii="Cambria" w:hAnsi="Cambria"/>
          <w:sz w:val="24"/>
          <w:szCs w:val="24"/>
        </w:rPr>
        <w:t>Garola</w:t>
      </w:r>
      <w:proofErr w:type="spellEnd"/>
      <w:r w:rsidRPr="00CA3614">
        <w:rPr>
          <w:rFonts w:ascii="Cambria" w:hAnsi="Cambria"/>
          <w:sz w:val="24"/>
          <w:szCs w:val="24"/>
        </w:rPr>
        <w:t xml:space="preserve">, A. (2010). </w:t>
      </w:r>
      <w:r w:rsidRPr="00C1140C">
        <w:rPr>
          <w:rFonts w:ascii="Cambria" w:hAnsi="Cambria"/>
          <w:sz w:val="24"/>
          <w:szCs w:val="24"/>
        </w:rPr>
        <w:t xml:space="preserve">An assessment of the non-market value of the ecosystem services provided by the Catalan coastal zone, Spain. </w:t>
      </w:r>
      <w:r w:rsidRPr="00C1140C">
        <w:rPr>
          <w:rFonts w:ascii="Cambria" w:hAnsi="Cambria"/>
          <w:i/>
          <w:sz w:val="24"/>
          <w:szCs w:val="24"/>
        </w:rPr>
        <w:t>Ocean &amp; Coastal Management</w:t>
      </w:r>
      <w:r w:rsidRPr="00C1140C">
        <w:rPr>
          <w:rFonts w:ascii="Cambria" w:hAnsi="Cambria"/>
          <w:sz w:val="24"/>
          <w:szCs w:val="24"/>
        </w:rPr>
        <w:t xml:space="preserve">, 53(1), 27–38. </w:t>
      </w:r>
    </w:p>
    <w:p w14:paraId="735C6BAC"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Brown, A., &amp; Shi, P. (2014). Valuing the Economic Benefits of Florida’s Conservation Lands. Master’s thesis, Nicholas School of the Environment, Duke University: Durham, North Carolina.</w:t>
      </w:r>
    </w:p>
    <w:p w14:paraId="3B9B8B3D"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Burgess, P., Li, X., &amp; Qin, S. (2015). Mangroves in Ecuador: An application and comparison of ecosystem service models, 59. Retrieved June 20, 2017 from http://dukespace.lib.duke.edu/dspace/handle/10161/9597.</w:t>
      </w:r>
    </w:p>
    <w:p w14:paraId="59397069"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lang w:val="fr-FR"/>
        </w:rPr>
        <w:t>Camacho</w:t>
      </w:r>
      <w:proofErr w:type="spellEnd"/>
      <w:r w:rsidRPr="00C1140C">
        <w:rPr>
          <w:rFonts w:ascii="Cambria" w:hAnsi="Cambria"/>
          <w:sz w:val="24"/>
          <w:szCs w:val="24"/>
          <w:lang w:val="fr-FR"/>
        </w:rPr>
        <w:t xml:space="preserve"> Valdez, V., Ruiz-Luna, A., &amp; Berlanga-</w:t>
      </w:r>
      <w:proofErr w:type="spellStart"/>
      <w:r w:rsidRPr="00C1140C">
        <w:rPr>
          <w:rFonts w:ascii="Cambria" w:hAnsi="Cambria"/>
          <w:sz w:val="24"/>
          <w:szCs w:val="24"/>
          <w:lang w:val="fr-FR"/>
        </w:rPr>
        <w:t>Robles</w:t>
      </w:r>
      <w:proofErr w:type="spellEnd"/>
      <w:r w:rsidRPr="00C1140C">
        <w:rPr>
          <w:rFonts w:ascii="Cambria" w:hAnsi="Cambria"/>
          <w:sz w:val="24"/>
          <w:szCs w:val="24"/>
          <w:lang w:val="fr-FR"/>
        </w:rPr>
        <w:t xml:space="preserve"> A, C. (2016). </w:t>
      </w:r>
      <w:r w:rsidRPr="00C1140C">
        <w:rPr>
          <w:rFonts w:ascii="Cambria" w:hAnsi="Cambria"/>
          <w:sz w:val="24"/>
          <w:szCs w:val="24"/>
        </w:rPr>
        <w:t xml:space="preserve">Effects of Land Use Changes on Ecosystem Services Value Provided By Coastal Wetlands: Recent and Future Landscape Scenarios. </w:t>
      </w:r>
      <w:r w:rsidRPr="00C1140C">
        <w:rPr>
          <w:rFonts w:ascii="Cambria" w:hAnsi="Cambria"/>
          <w:i/>
          <w:sz w:val="24"/>
          <w:szCs w:val="24"/>
        </w:rPr>
        <w:t>Journal of Coastal Zone Management</w:t>
      </w:r>
      <w:r w:rsidRPr="00C1140C">
        <w:rPr>
          <w:rFonts w:ascii="Cambria" w:hAnsi="Cambria"/>
          <w:sz w:val="24"/>
          <w:szCs w:val="24"/>
        </w:rPr>
        <w:t xml:space="preserve">, 19(1), 1000418. </w:t>
      </w:r>
    </w:p>
    <w:p w14:paraId="0B9A5067" w14:textId="77777777" w:rsidR="00CA3614" w:rsidRPr="00C1140C" w:rsidRDefault="00CA3614" w:rsidP="00CA3614">
      <w:pPr>
        <w:ind w:left="360" w:hanging="360"/>
        <w:rPr>
          <w:rFonts w:ascii="Cambria" w:hAnsi="Cambria"/>
          <w:sz w:val="24"/>
          <w:szCs w:val="24"/>
        </w:rPr>
      </w:pPr>
      <w:proofErr w:type="spellStart"/>
      <w:r w:rsidRPr="00CA3614">
        <w:rPr>
          <w:rFonts w:ascii="Cambria" w:hAnsi="Cambria"/>
          <w:sz w:val="24"/>
          <w:szCs w:val="24"/>
        </w:rPr>
        <w:t>Campagne</w:t>
      </w:r>
      <w:proofErr w:type="spellEnd"/>
      <w:r w:rsidRPr="00CA3614">
        <w:rPr>
          <w:rFonts w:ascii="Cambria" w:hAnsi="Cambria"/>
          <w:sz w:val="24"/>
          <w:szCs w:val="24"/>
        </w:rPr>
        <w:t xml:space="preserve">, C. S., </w:t>
      </w:r>
      <w:proofErr w:type="spellStart"/>
      <w:r w:rsidRPr="00CA3614">
        <w:rPr>
          <w:rFonts w:ascii="Cambria" w:hAnsi="Cambria"/>
          <w:sz w:val="24"/>
          <w:szCs w:val="24"/>
        </w:rPr>
        <w:t>Salles</w:t>
      </w:r>
      <w:proofErr w:type="spellEnd"/>
      <w:r w:rsidRPr="00CA3614">
        <w:rPr>
          <w:rFonts w:ascii="Cambria" w:hAnsi="Cambria"/>
          <w:sz w:val="24"/>
          <w:szCs w:val="24"/>
        </w:rPr>
        <w:t xml:space="preserve">, J.-M., </w:t>
      </w:r>
      <w:proofErr w:type="spellStart"/>
      <w:r w:rsidRPr="00CA3614">
        <w:rPr>
          <w:rFonts w:ascii="Cambria" w:hAnsi="Cambria"/>
          <w:sz w:val="24"/>
          <w:szCs w:val="24"/>
        </w:rPr>
        <w:t>Boissery</w:t>
      </w:r>
      <w:proofErr w:type="spellEnd"/>
      <w:r w:rsidRPr="00CA3614">
        <w:rPr>
          <w:rFonts w:ascii="Cambria" w:hAnsi="Cambria"/>
          <w:sz w:val="24"/>
          <w:szCs w:val="24"/>
        </w:rPr>
        <w:t xml:space="preserve">, P., &amp; Deter, J. (2015). </w:t>
      </w:r>
      <w:r w:rsidRPr="00C1140C">
        <w:rPr>
          <w:rFonts w:ascii="Cambria" w:hAnsi="Cambria"/>
          <w:sz w:val="24"/>
          <w:szCs w:val="24"/>
        </w:rPr>
        <w:t xml:space="preserve">The seagrass </w:t>
      </w:r>
      <w:proofErr w:type="spellStart"/>
      <w:r w:rsidRPr="00C1140C">
        <w:rPr>
          <w:rFonts w:ascii="Cambria" w:hAnsi="Cambria"/>
          <w:i/>
          <w:sz w:val="24"/>
          <w:szCs w:val="24"/>
        </w:rPr>
        <w:t>Posidonia</w:t>
      </w:r>
      <w:proofErr w:type="spellEnd"/>
      <w:r w:rsidRPr="00C1140C">
        <w:rPr>
          <w:rFonts w:ascii="Cambria" w:hAnsi="Cambria"/>
          <w:i/>
          <w:sz w:val="24"/>
          <w:szCs w:val="24"/>
        </w:rPr>
        <w:t xml:space="preserve"> </w:t>
      </w:r>
      <w:proofErr w:type="spellStart"/>
      <w:r w:rsidRPr="00C1140C">
        <w:rPr>
          <w:rFonts w:ascii="Cambria" w:hAnsi="Cambria"/>
          <w:i/>
          <w:sz w:val="24"/>
          <w:szCs w:val="24"/>
        </w:rPr>
        <w:t>oceanica</w:t>
      </w:r>
      <w:proofErr w:type="spellEnd"/>
      <w:r w:rsidRPr="00C1140C">
        <w:rPr>
          <w:rFonts w:ascii="Cambria" w:hAnsi="Cambria"/>
          <w:sz w:val="24"/>
          <w:szCs w:val="24"/>
        </w:rPr>
        <w:t xml:space="preserve">: Ecosystem services identification and economic evaluation of goods and benefits. </w:t>
      </w:r>
      <w:r w:rsidRPr="00C1140C">
        <w:rPr>
          <w:rFonts w:ascii="Cambria" w:hAnsi="Cambria"/>
          <w:i/>
          <w:sz w:val="24"/>
          <w:szCs w:val="24"/>
        </w:rPr>
        <w:t>Marine Pollution Bulletin</w:t>
      </w:r>
      <w:r w:rsidRPr="00C1140C">
        <w:rPr>
          <w:rFonts w:ascii="Cambria" w:hAnsi="Cambria"/>
          <w:sz w:val="24"/>
          <w:szCs w:val="24"/>
        </w:rPr>
        <w:t>, 97(1), 391–400.</w:t>
      </w:r>
    </w:p>
    <w:p w14:paraId="3A0B343E"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Chow, J. (2015). Spatially Explicit Evaluation of Local Extractive Benefits from Mangrove Plantations in Bangladesh. </w:t>
      </w:r>
      <w:r w:rsidRPr="00C1140C">
        <w:rPr>
          <w:rFonts w:ascii="Cambria" w:hAnsi="Cambria"/>
          <w:i/>
          <w:sz w:val="24"/>
          <w:szCs w:val="24"/>
        </w:rPr>
        <w:t>Journal of Sustainable Forestry</w:t>
      </w:r>
      <w:r w:rsidRPr="00C1140C">
        <w:rPr>
          <w:rFonts w:ascii="Cambria" w:hAnsi="Cambria"/>
          <w:sz w:val="24"/>
          <w:szCs w:val="24"/>
        </w:rPr>
        <w:t xml:space="preserve">, 34(6–7), 651–681. </w:t>
      </w:r>
    </w:p>
    <w:p w14:paraId="5AE00A89"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Christensen, S. M., Tarp, P., &amp; </w:t>
      </w:r>
      <w:proofErr w:type="spellStart"/>
      <w:r w:rsidRPr="00C1140C">
        <w:rPr>
          <w:rFonts w:ascii="Cambria" w:hAnsi="Cambria"/>
          <w:sz w:val="24"/>
          <w:szCs w:val="24"/>
        </w:rPr>
        <w:t>Hjortso</w:t>
      </w:r>
      <w:proofErr w:type="spellEnd"/>
      <w:r w:rsidRPr="00C1140C">
        <w:rPr>
          <w:rFonts w:ascii="Cambria" w:hAnsi="Cambria"/>
          <w:sz w:val="24"/>
          <w:szCs w:val="24"/>
        </w:rPr>
        <w:t xml:space="preserve">, C. N. (2008). Mangrove forest management planning in coastal buffer and conservation zones, Vietnam: A </w:t>
      </w:r>
      <w:proofErr w:type="spellStart"/>
      <w:r w:rsidRPr="00C1140C">
        <w:rPr>
          <w:rFonts w:ascii="Cambria" w:hAnsi="Cambria"/>
          <w:sz w:val="24"/>
          <w:szCs w:val="24"/>
        </w:rPr>
        <w:t>multimethodological</w:t>
      </w:r>
      <w:proofErr w:type="spellEnd"/>
      <w:r w:rsidRPr="00C1140C">
        <w:rPr>
          <w:rFonts w:ascii="Cambria" w:hAnsi="Cambria"/>
          <w:sz w:val="24"/>
          <w:szCs w:val="24"/>
        </w:rPr>
        <w:t xml:space="preserve"> approach incorporating multiple stakeholders. Ocean &amp; Coastal Management, 51(10), 712–726. </w:t>
      </w:r>
    </w:p>
    <w:p w14:paraId="600105B4"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Clark, S., Grossman, T., </w:t>
      </w:r>
      <w:proofErr w:type="spellStart"/>
      <w:r w:rsidRPr="00C1140C">
        <w:rPr>
          <w:rFonts w:ascii="Cambria" w:hAnsi="Cambria"/>
          <w:sz w:val="24"/>
          <w:szCs w:val="24"/>
        </w:rPr>
        <w:t>Przyuski</w:t>
      </w:r>
      <w:proofErr w:type="spellEnd"/>
      <w:r w:rsidRPr="00C1140C">
        <w:rPr>
          <w:rFonts w:ascii="Cambria" w:hAnsi="Cambria"/>
          <w:sz w:val="24"/>
          <w:szCs w:val="24"/>
        </w:rPr>
        <w:t xml:space="preserve">, N., Shinn, C., &amp; </w:t>
      </w:r>
      <w:proofErr w:type="spellStart"/>
      <w:r w:rsidRPr="00C1140C">
        <w:rPr>
          <w:rFonts w:ascii="Cambria" w:hAnsi="Cambria"/>
          <w:sz w:val="24"/>
          <w:szCs w:val="24"/>
        </w:rPr>
        <w:t>Storz</w:t>
      </w:r>
      <w:proofErr w:type="spellEnd"/>
      <w:r w:rsidRPr="00C1140C">
        <w:rPr>
          <w:rFonts w:ascii="Cambria" w:hAnsi="Cambria"/>
          <w:sz w:val="24"/>
          <w:szCs w:val="24"/>
        </w:rPr>
        <w:t xml:space="preserve">, D. (2012). Ecosystem-based Adaptation to Climate Change: A Cost-Benefit Analysis. Master's thesis, University of California at Santa Barbara. </w:t>
      </w:r>
    </w:p>
    <w:p w14:paraId="2244C5BA"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lastRenderedPageBreak/>
        <w:t>Clavelle</w:t>
      </w:r>
      <w:proofErr w:type="spellEnd"/>
      <w:r w:rsidRPr="00C1140C">
        <w:rPr>
          <w:rFonts w:ascii="Cambria" w:hAnsi="Cambria"/>
          <w:sz w:val="24"/>
          <w:szCs w:val="24"/>
        </w:rPr>
        <w:t xml:space="preserve">, T., &amp; </w:t>
      </w:r>
      <w:proofErr w:type="spellStart"/>
      <w:r w:rsidRPr="00C1140C">
        <w:rPr>
          <w:rFonts w:ascii="Cambria" w:hAnsi="Cambria"/>
          <w:sz w:val="24"/>
          <w:szCs w:val="24"/>
        </w:rPr>
        <w:t>Jylkka</w:t>
      </w:r>
      <w:proofErr w:type="spellEnd"/>
      <w:r w:rsidRPr="00C1140C">
        <w:rPr>
          <w:rFonts w:ascii="Cambria" w:hAnsi="Cambria"/>
          <w:sz w:val="24"/>
          <w:szCs w:val="24"/>
        </w:rPr>
        <w:t xml:space="preserve">, Z. (2013). Ecosystem Service Valuation of Proposed Protected Areas in Abaco, </w:t>
      </w:r>
      <w:proofErr w:type="gramStart"/>
      <w:r w:rsidRPr="00C1140C">
        <w:rPr>
          <w:rFonts w:ascii="Cambria" w:hAnsi="Cambria"/>
          <w:sz w:val="24"/>
          <w:szCs w:val="24"/>
        </w:rPr>
        <w:t>The</w:t>
      </w:r>
      <w:proofErr w:type="gramEnd"/>
      <w:r w:rsidRPr="00C1140C">
        <w:rPr>
          <w:rFonts w:ascii="Cambria" w:hAnsi="Cambria"/>
          <w:sz w:val="24"/>
          <w:szCs w:val="24"/>
        </w:rPr>
        <w:t xml:space="preserve"> Bahamas. Sustainable Fisheries Group, University of California, Santa Barbara.</w:t>
      </w:r>
    </w:p>
    <w:p w14:paraId="4362234C"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Cooper, P., Hunt, A., </w:t>
      </w:r>
      <w:proofErr w:type="spellStart"/>
      <w:r w:rsidRPr="00C1140C">
        <w:rPr>
          <w:rFonts w:ascii="Cambria" w:hAnsi="Cambria"/>
          <w:sz w:val="24"/>
          <w:szCs w:val="24"/>
        </w:rPr>
        <w:t>Anneboina</w:t>
      </w:r>
      <w:proofErr w:type="spellEnd"/>
      <w:r w:rsidRPr="00C1140C">
        <w:rPr>
          <w:rFonts w:ascii="Cambria" w:hAnsi="Cambria"/>
          <w:sz w:val="24"/>
          <w:szCs w:val="24"/>
        </w:rPr>
        <w:t xml:space="preserve">, L., </w:t>
      </w:r>
      <w:proofErr w:type="spellStart"/>
      <w:r w:rsidRPr="00C1140C">
        <w:rPr>
          <w:rFonts w:ascii="Cambria" w:hAnsi="Cambria"/>
          <w:sz w:val="24"/>
          <w:szCs w:val="24"/>
        </w:rPr>
        <w:t>Hutniczak</w:t>
      </w:r>
      <w:proofErr w:type="spellEnd"/>
      <w:r w:rsidRPr="00C1140C">
        <w:rPr>
          <w:rFonts w:ascii="Cambria" w:hAnsi="Cambria"/>
          <w:sz w:val="24"/>
          <w:szCs w:val="24"/>
        </w:rPr>
        <w:t xml:space="preserve">, B., Munch, A., Goulding, I., </w:t>
      </w:r>
      <w:proofErr w:type="spellStart"/>
      <w:r w:rsidRPr="00C1140C">
        <w:rPr>
          <w:rFonts w:ascii="Cambria" w:hAnsi="Cambria"/>
          <w:sz w:val="24"/>
          <w:szCs w:val="24"/>
        </w:rPr>
        <w:t>Onofri</w:t>
      </w:r>
      <w:proofErr w:type="spellEnd"/>
      <w:r w:rsidRPr="00C1140C">
        <w:rPr>
          <w:rFonts w:ascii="Cambria" w:hAnsi="Cambria"/>
          <w:sz w:val="24"/>
          <w:szCs w:val="24"/>
        </w:rPr>
        <w:t xml:space="preserve">, L </w:t>
      </w:r>
      <w:proofErr w:type="spellStart"/>
      <w:r w:rsidRPr="00C1140C">
        <w:rPr>
          <w:rFonts w:ascii="Cambria" w:hAnsi="Cambria"/>
          <w:sz w:val="24"/>
          <w:szCs w:val="24"/>
        </w:rPr>
        <w:t>Nunes</w:t>
      </w:r>
      <w:proofErr w:type="spellEnd"/>
      <w:r w:rsidRPr="00C1140C">
        <w:rPr>
          <w:rFonts w:ascii="Cambria" w:hAnsi="Cambria"/>
          <w:sz w:val="24"/>
          <w:szCs w:val="24"/>
        </w:rPr>
        <w:t xml:space="preserve">, P, </w:t>
      </w:r>
      <w:proofErr w:type="spellStart"/>
      <w:r w:rsidRPr="00C1140C">
        <w:rPr>
          <w:rFonts w:ascii="Cambria" w:hAnsi="Cambria"/>
          <w:sz w:val="24"/>
          <w:szCs w:val="24"/>
        </w:rPr>
        <w:t>Luisetti</w:t>
      </w:r>
      <w:proofErr w:type="spellEnd"/>
      <w:r w:rsidRPr="00C1140C">
        <w:rPr>
          <w:rFonts w:ascii="Cambria" w:hAnsi="Cambria"/>
          <w:sz w:val="24"/>
          <w:szCs w:val="24"/>
        </w:rPr>
        <w:t xml:space="preserve">, T., Turner, K., and Jackson, E. (2012). Deliverable 4.3 Assessment of Future Benefits Index to Documentation. Produced as part of the </w:t>
      </w:r>
      <w:proofErr w:type="spellStart"/>
      <w:r w:rsidRPr="00C1140C">
        <w:rPr>
          <w:rFonts w:ascii="Cambria" w:hAnsi="Cambria"/>
          <w:sz w:val="24"/>
          <w:szCs w:val="24"/>
        </w:rPr>
        <w:t>KnowSeas</w:t>
      </w:r>
      <w:proofErr w:type="spellEnd"/>
      <w:r w:rsidRPr="00C1140C">
        <w:rPr>
          <w:rFonts w:ascii="Cambria" w:hAnsi="Cambria"/>
          <w:sz w:val="24"/>
          <w:szCs w:val="24"/>
        </w:rPr>
        <w:t>: Knowledge-based Sustainable Management for Europe’s Seas project funded by the European Commission.</w:t>
      </w:r>
    </w:p>
    <w:p w14:paraId="26F0F354"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Das, S. and A. </w:t>
      </w:r>
      <w:proofErr w:type="spellStart"/>
      <w:r w:rsidRPr="00C1140C">
        <w:rPr>
          <w:rFonts w:ascii="Cambria" w:hAnsi="Cambria"/>
          <w:sz w:val="24"/>
          <w:szCs w:val="24"/>
        </w:rPr>
        <w:t>Crepin</w:t>
      </w:r>
      <w:proofErr w:type="spellEnd"/>
      <w:r w:rsidRPr="00C1140C">
        <w:rPr>
          <w:rFonts w:ascii="Cambria" w:hAnsi="Cambria"/>
          <w:sz w:val="24"/>
          <w:szCs w:val="24"/>
        </w:rPr>
        <w:t xml:space="preserve"> (2013). Mangroves can provide against wind damage during storms. </w:t>
      </w:r>
      <w:proofErr w:type="spellStart"/>
      <w:r w:rsidRPr="00C1140C">
        <w:rPr>
          <w:rFonts w:ascii="Cambria" w:hAnsi="Cambria"/>
          <w:i/>
          <w:sz w:val="24"/>
          <w:szCs w:val="24"/>
        </w:rPr>
        <w:t>Estuar</w:t>
      </w:r>
      <w:proofErr w:type="spellEnd"/>
      <w:r w:rsidRPr="00C1140C">
        <w:rPr>
          <w:rFonts w:ascii="Cambria" w:hAnsi="Cambria"/>
          <w:i/>
          <w:sz w:val="24"/>
          <w:szCs w:val="24"/>
        </w:rPr>
        <w:t>. Coast. Shelf Sci.</w:t>
      </w:r>
      <w:r w:rsidRPr="00C1140C">
        <w:rPr>
          <w:rFonts w:ascii="Cambria" w:hAnsi="Cambria"/>
          <w:sz w:val="24"/>
          <w:szCs w:val="24"/>
        </w:rPr>
        <w:t>, 134 (2013), pp. 98-107.</w:t>
      </w:r>
    </w:p>
    <w:p w14:paraId="04B39365"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Defiesta</w:t>
      </w:r>
      <w:proofErr w:type="spellEnd"/>
      <w:r w:rsidRPr="00C1140C">
        <w:rPr>
          <w:rFonts w:ascii="Cambria" w:hAnsi="Cambria"/>
          <w:sz w:val="24"/>
          <w:szCs w:val="24"/>
        </w:rPr>
        <w:t xml:space="preserve">, G. D. (2007). Indirect Use of Values of Oil-Spill Affected Mangroves in </w:t>
      </w:r>
      <w:proofErr w:type="spellStart"/>
      <w:r w:rsidRPr="00C1140C">
        <w:rPr>
          <w:rFonts w:ascii="Cambria" w:hAnsi="Cambria"/>
          <w:sz w:val="24"/>
          <w:szCs w:val="24"/>
        </w:rPr>
        <w:t>Guimaras</w:t>
      </w:r>
      <w:proofErr w:type="spellEnd"/>
      <w:r w:rsidRPr="00C1140C">
        <w:rPr>
          <w:rFonts w:ascii="Cambria" w:hAnsi="Cambria"/>
          <w:sz w:val="24"/>
          <w:szCs w:val="24"/>
        </w:rPr>
        <w:t xml:space="preserve"> Island. Proceedings of the 10th National Convention on Statistics, 1-2 October 2007, EDSA Shangri-La Hotel.</w:t>
      </w:r>
    </w:p>
    <w:p w14:paraId="782A2DCE"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Dehghani</w:t>
      </w:r>
      <w:proofErr w:type="spellEnd"/>
      <w:r w:rsidRPr="00C1140C">
        <w:rPr>
          <w:rFonts w:ascii="Cambria" w:hAnsi="Cambria"/>
          <w:sz w:val="24"/>
          <w:szCs w:val="24"/>
        </w:rPr>
        <w:t xml:space="preserve">, M., </w:t>
      </w:r>
      <w:proofErr w:type="spellStart"/>
      <w:r w:rsidRPr="00C1140C">
        <w:rPr>
          <w:rFonts w:ascii="Cambria" w:hAnsi="Cambria"/>
          <w:sz w:val="24"/>
          <w:szCs w:val="24"/>
        </w:rPr>
        <w:t>Farshchi</w:t>
      </w:r>
      <w:proofErr w:type="spellEnd"/>
      <w:r w:rsidRPr="00C1140C">
        <w:rPr>
          <w:rFonts w:ascii="Cambria" w:hAnsi="Cambria"/>
          <w:sz w:val="24"/>
          <w:szCs w:val="24"/>
        </w:rPr>
        <w:t xml:space="preserve">, P., </w:t>
      </w:r>
      <w:proofErr w:type="spellStart"/>
      <w:r w:rsidRPr="00C1140C">
        <w:rPr>
          <w:rFonts w:ascii="Cambria" w:hAnsi="Cambria"/>
          <w:sz w:val="24"/>
          <w:szCs w:val="24"/>
        </w:rPr>
        <w:t>Danekar</w:t>
      </w:r>
      <w:proofErr w:type="spellEnd"/>
      <w:r w:rsidRPr="00C1140C">
        <w:rPr>
          <w:rFonts w:ascii="Cambria" w:hAnsi="Cambria"/>
          <w:sz w:val="24"/>
          <w:szCs w:val="24"/>
        </w:rPr>
        <w:t xml:space="preserve">, A., </w:t>
      </w:r>
      <w:proofErr w:type="spellStart"/>
      <w:r w:rsidRPr="00C1140C">
        <w:rPr>
          <w:rFonts w:ascii="Cambria" w:hAnsi="Cambria"/>
          <w:sz w:val="24"/>
          <w:szCs w:val="24"/>
        </w:rPr>
        <w:t>Karami</w:t>
      </w:r>
      <w:proofErr w:type="spellEnd"/>
      <w:r w:rsidRPr="00C1140C">
        <w:rPr>
          <w:rFonts w:ascii="Cambria" w:hAnsi="Cambria"/>
          <w:sz w:val="24"/>
          <w:szCs w:val="24"/>
        </w:rPr>
        <w:t xml:space="preserve">, M., &amp; </w:t>
      </w:r>
      <w:proofErr w:type="spellStart"/>
      <w:r w:rsidRPr="00C1140C">
        <w:rPr>
          <w:rFonts w:ascii="Cambria" w:hAnsi="Cambria"/>
          <w:sz w:val="24"/>
          <w:szCs w:val="24"/>
        </w:rPr>
        <w:t>Aleshikh</w:t>
      </w:r>
      <w:proofErr w:type="spellEnd"/>
      <w:r w:rsidRPr="00C1140C">
        <w:rPr>
          <w:rFonts w:ascii="Cambria" w:hAnsi="Cambria"/>
          <w:sz w:val="24"/>
          <w:szCs w:val="24"/>
        </w:rPr>
        <w:t xml:space="preserve">, A. A. A. (2010). Recreation Value of Hara Biosphere Reserve using Willingness-to-pay method. International </w:t>
      </w:r>
      <w:r w:rsidRPr="00C1140C">
        <w:rPr>
          <w:rFonts w:ascii="Cambria" w:hAnsi="Cambria"/>
          <w:i/>
          <w:sz w:val="24"/>
          <w:szCs w:val="24"/>
        </w:rPr>
        <w:t>Journal of Environmental Research</w:t>
      </w:r>
      <w:r w:rsidRPr="00C1140C">
        <w:rPr>
          <w:rFonts w:ascii="Cambria" w:hAnsi="Cambria"/>
          <w:sz w:val="24"/>
          <w:szCs w:val="24"/>
        </w:rPr>
        <w:t xml:space="preserve">, 4(2), 271–280. </w:t>
      </w:r>
    </w:p>
    <w:p w14:paraId="052C26CF"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Emerton, L., &amp; Aung, Y. M. (2013). The Economic Value of Forest Ecosystem Services in Myanmar and Options for Sustainable Financing. IMG, Yangon and Ministry of Environmental Conservation and Forests: Nay </w:t>
      </w:r>
      <w:proofErr w:type="spellStart"/>
      <w:r w:rsidRPr="00C1140C">
        <w:rPr>
          <w:rFonts w:ascii="Cambria" w:hAnsi="Cambria"/>
          <w:sz w:val="24"/>
          <w:szCs w:val="24"/>
        </w:rPr>
        <w:t>Pyi</w:t>
      </w:r>
      <w:proofErr w:type="spellEnd"/>
      <w:r w:rsidRPr="00C1140C">
        <w:rPr>
          <w:rFonts w:ascii="Cambria" w:hAnsi="Cambria"/>
          <w:sz w:val="24"/>
          <w:szCs w:val="24"/>
        </w:rPr>
        <w:t xml:space="preserve"> </w:t>
      </w:r>
      <w:proofErr w:type="spellStart"/>
      <w:r w:rsidRPr="00C1140C">
        <w:rPr>
          <w:rFonts w:ascii="Cambria" w:hAnsi="Cambria"/>
          <w:sz w:val="24"/>
          <w:szCs w:val="24"/>
        </w:rPr>
        <w:t>Daw</w:t>
      </w:r>
      <w:proofErr w:type="spellEnd"/>
      <w:r w:rsidRPr="00C1140C">
        <w:rPr>
          <w:rFonts w:ascii="Cambria" w:hAnsi="Cambria"/>
          <w:sz w:val="24"/>
          <w:szCs w:val="24"/>
        </w:rPr>
        <w:t>.</w:t>
      </w:r>
    </w:p>
    <w:p w14:paraId="09D98721"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Engeman</w:t>
      </w:r>
      <w:proofErr w:type="spellEnd"/>
      <w:r w:rsidRPr="00C1140C">
        <w:rPr>
          <w:rFonts w:ascii="Cambria" w:hAnsi="Cambria"/>
          <w:sz w:val="24"/>
          <w:szCs w:val="24"/>
        </w:rPr>
        <w:t xml:space="preserve">, R. M., </w:t>
      </w:r>
      <w:proofErr w:type="spellStart"/>
      <w:r w:rsidRPr="00C1140C">
        <w:rPr>
          <w:rFonts w:ascii="Cambria" w:hAnsi="Cambria"/>
          <w:sz w:val="24"/>
          <w:szCs w:val="24"/>
        </w:rPr>
        <w:t>Duquesnel</w:t>
      </w:r>
      <w:proofErr w:type="spellEnd"/>
      <w:r w:rsidRPr="00C1140C">
        <w:rPr>
          <w:rFonts w:ascii="Cambria" w:hAnsi="Cambria"/>
          <w:sz w:val="24"/>
          <w:szCs w:val="24"/>
        </w:rPr>
        <w:t xml:space="preserve">, J. a., Cowan, E. M., Smith, H. T., </w:t>
      </w:r>
      <w:proofErr w:type="spellStart"/>
      <w:r w:rsidRPr="00C1140C">
        <w:rPr>
          <w:rFonts w:ascii="Cambria" w:hAnsi="Cambria"/>
          <w:sz w:val="24"/>
          <w:szCs w:val="24"/>
        </w:rPr>
        <w:t>Shwiff</w:t>
      </w:r>
      <w:proofErr w:type="spellEnd"/>
      <w:r w:rsidRPr="00C1140C">
        <w:rPr>
          <w:rFonts w:ascii="Cambria" w:hAnsi="Cambria"/>
          <w:sz w:val="24"/>
          <w:szCs w:val="24"/>
        </w:rPr>
        <w:t xml:space="preserve">, S. a., &amp; </w:t>
      </w:r>
      <w:proofErr w:type="spellStart"/>
      <w:r w:rsidRPr="00C1140C">
        <w:rPr>
          <w:rFonts w:ascii="Cambria" w:hAnsi="Cambria"/>
          <w:sz w:val="24"/>
          <w:szCs w:val="24"/>
        </w:rPr>
        <w:t>Karlin</w:t>
      </w:r>
      <w:proofErr w:type="spellEnd"/>
      <w:r w:rsidRPr="00C1140C">
        <w:rPr>
          <w:rFonts w:ascii="Cambria" w:hAnsi="Cambria"/>
          <w:sz w:val="24"/>
          <w:szCs w:val="24"/>
        </w:rPr>
        <w:t xml:space="preserve">, M. (2008). Assessing Boat Damage to Seagrass Bed Habitat in a Florida Park from a </w:t>
      </w:r>
      <w:proofErr w:type="spellStart"/>
      <w:r w:rsidRPr="00C1140C">
        <w:rPr>
          <w:rFonts w:ascii="Cambria" w:hAnsi="Cambria"/>
          <w:sz w:val="24"/>
          <w:szCs w:val="24"/>
        </w:rPr>
        <w:t>Bioeconomics</w:t>
      </w:r>
      <w:proofErr w:type="spellEnd"/>
      <w:r w:rsidRPr="00C1140C">
        <w:rPr>
          <w:rFonts w:ascii="Cambria" w:hAnsi="Cambria"/>
          <w:sz w:val="24"/>
          <w:szCs w:val="24"/>
        </w:rPr>
        <w:t xml:space="preserve"> Perspective. </w:t>
      </w:r>
      <w:r w:rsidRPr="00C1140C">
        <w:rPr>
          <w:rFonts w:ascii="Cambria" w:hAnsi="Cambria"/>
          <w:i/>
          <w:sz w:val="24"/>
          <w:szCs w:val="24"/>
        </w:rPr>
        <w:t>Journal of Coastal Research</w:t>
      </w:r>
      <w:r w:rsidRPr="00C1140C">
        <w:rPr>
          <w:rFonts w:ascii="Cambria" w:hAnsi="Cambria"/>
          <w:sz w:val="24"/>
          <w:szCs w:val="24"/>
        </w:rPr>
        <w:t>, 242, 527–532.</w:t>
      </w:r>
    </w:p>
    <w:p w14:paraId="7921ABBE"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Eppink</w:t>
      </w:r>
      <w:proofErr w:type="spellEnd"/>
      <w:r w:rsidRPr="00C1140C">
        <w:rPr>
          <w:rFonts w:ascii="Cambria" w:hAnsi="Cambria"/>
          <w:sz w:val="24"/>
          <w:szCs w:val="24"/>
        </w:rPr>
        <w:t xml:space="preserve">, F., Brander, L., &amp; </w:t>
      </w:r>
      <w:proofErr w:type="spellStart"/>
      <w:r w:rsidRPr="00C1140C">
        <w:rPr>
          <w:rFonts w:ascii="Cambria" w:hAnsi="Cambria"/>
          <w:sz w:val="24"/>
          <w:szCs w:val="24"/>
        </w:rPr>
        <w:t>Wagtendonk</w:t>
      </w:r>
      <w:proofErr w:type="spellEnd"/>
      <w:r w:rsidRPr="00C1140C">
        <w:rPr>
          <w:rFonts w:ascii="Cambria" w:hAnsi="Cambria"/>
          <w:sz w:val="24"/>
          <w:szCs w:val="24"/>
        </w:rPr>
        <w:t xml:space="preserve">, A. (2014). An Initial Assessment of the Economic Value of Coastal and Freshwater Wetlands in West Asia. </w:t>
      </w:r>
      <w:r w:rsidRPr="00C1140C">
        <w:rPr>
          <w:rFonts w:ascii="Cambria" w:hAnsi="Cambria"/>
          <w:i/>
          <w:sz w:val="24"/>
          <w:szCs w:val="24"/>
        </w:rPr>
        <w:t>Land</w:t>
      </w:r>
      <w:r w:rsidRPr="00C1140C">
        <w:rPr>
          <w:rFonts w:ascii="Cambria" w:hAnsi="Cambria"/>
          <w:sz w:val="24"/>
          <w:szCs w:val="24"/>
        </w:rPr>
        <w:t xml:space="preserve">, 3(3), 557–573. </w:t>
      </w:r>
    </w:p>
    <w:p w14:paraId="1BC67F0D" w14:textId="77777777" w:rsidR="00CA3614" w:rsidRPr="00C1140C" w:rsidRDefault="00CA3614" w:rsidP="00CA3614">
      <w:pPr>
        <w:ind w:left="360" w:hanging="360"/>
        <w:rPr>
          <w:rFonts w:ascii="Cambria" w:hAnsi="Cambria"/>
          <w:sz w:val="24"/>
          <w:szCs w:val="24"/>
        </w:rPr>
      </w:pPr>
      <w:proofErr w:type="spellStart"/>
      <w:r w:rsidRPr="00CA3614">
        <w:rPr>
          <w:rFonts w:ascii="Cambria" w:hAnsi="Cambria"/>
          <w:sz w:val="24"/>
          <w:szCs w:val="24"/>
        </w:rPr>
        <w:t>Everard</w:t>
      </w:r>
      <w:proofErr w:type="spellEnd"/>
      <w:r w:rsidRPr="00CA3614">
        <w:rPr>
          <w:rFonts w:ascii="Cambria" w:hAnsi="Cambria"/>
          <w:sz w:val="24"/>
          <w:szCs w:val="24"/>
        </w:rPr>
        <w:t xml:space="preserve">, M., </w:t>
      </w:r>
      <w:proofErr w:type="spellStart"/>
      <w:r w:rsidRPr="00CA3614">
        <w:rPr>
          <w:rFonts w:ascii="Cambria" w:hAnsi="Cambria"/>
          <w:sz w:val="24"/>
          <w:szCs w:val="24"/>
        </w:rPr>
        <w:t>Jha</w:t>
      </w:r>
      <w:proofErr w:type="spellEnd"/>
      <w:r w:rsidRPr="00CA3614">
        <w:rPr>
          <w:rFonts w:ascii="Cambria" w:hAnsi="Cambria"/>
          <w:sz w:val="24"/>
          <w:szCs w:val="24"/>
        </w:rPr>
        <w:t xml:space="preserve">, R. R., &amp; Russell, S. (2014). </w:t>
      </w:r>
      <w:r w:rsidRPr="00C1140C">
        <w:rPr>
          <w:rFonts w:ascii="Cambria" w:hAnsi="Cambria"/>
          <w:sz w:val="24"/>
          <w:szCs w:val="24"/>
        </w:rPr>
        <w:t xml:space="preserve">The benefits of fringing mangrove systems to Mumbai. </w:t>
      </w:r>
      <w:r w:rsidRPr="00C1140C">
        <w:rPr>
          <w:rFonts w:ascii="Cambria" w:hAnsi="Cambria"/>
          <w:i/>
          <w:sz w:val="24"/>
          <w:szCs w:val="24"/>
        </w:rPr>
        <w:t>Aquatic Conservation: Marine and Freshwater Ecosystems</w:t>
      </w:r>
      <w:r w:rsidRPr="00C1140C">
        <w:rPr>
          <w:rFonts w:ascii="Cambria" w:hAnsi="Cambria"/>
          <w:sz w:val="24"/>
          <w:szCs w:val="24"/>
        </w:rPr>
        <w:t xml:space="preserve">, 24(2), 256–274. </w:t>
      </w:r>
    </w:p>
    <w:p w14:paraId="2904E646" w14:textId="77777777" w:rsidR="00CA3614" w:rsidRPr="00C1140C" w:rsidRDefault="00CA3614" w:rsidP="00CA3614">
      <w:pPr>
        <w:ind w:left="360" w:hanging="360"/>
        <w:rPr>
          <w:rFonts w:ascii="Cambria" w:hAnsi="Cambria"/>
          <w:sz w:val="24"/>
          <w:szCs w:val="24"/>
        </w:rPr>
      </w:pPr>
      <w:proofErr w:type="spellStart"/>
      <w:r w:rsidRPr="00CA3614">
        <w:rPr>
          <w:rFonts w:ascii="Cambria" w:hAnsi="Cambria"/>
          <w:sz w:val="24"/>
          <w:szCs w:val="24"/>
        </w:rPr>
        <w:t>Failler</w:t>
      </w:r>
      <w:proofErr w:type="spellEnd"/>
      <w:r w:rsidRPr="00CA3614">
        <w:rPr>
          <w:rFonts w:ascii="Cambria" w:hAnsi="Cambria"/>
          <w:sz w:val="24"/>
          <w:szCs w:val="24"/>
        </w:rPr>
        <w:t xml:space="preserve">, P., </w:t>
      </w:r>
      <w:proofErr w:type="spellStart"/>
      <w:r w:rsidRPr="00CA3614">
        <w:rPr>
          <w:rFonts w:ascii="Cambria" w:hAnsi="Cambria"/>
          <w:sz w:val="24"/>
          <w:szCs w:val="24"/>
        </w:rPr>
        <w:t>Petre</w:t>
      </w:r>
      <w:proofErr w:type="spellEnd"/>
      <w:r w:rsidRPr="00CA3614">
        <w:rPr>
          <w:rFonts w:ascii="Cambria" w:hAnsi="Cambria"/>
          <w:sz w:val="24"/>
          <w:szCs w:val="24"/>
        </w:rPr>
        <w:t xml:space="preserve">, E., </w:t>
      </w:r>
      <w:proofErr w:type="spellStart"/>
      <w:r w:rsidRPr="00CA3614">
        <w:rPr>
          <w:rFonts w:ascii="Cambria" w:hAnsi="Cambria"/>
          <w:sz w:val="24"/>
          <w:szCs w:val="24"/>
        </w:rPr>
        <w:t>Binet</w:t>
      </w:r>
      <w:proofErr w:type="spellEnd"/>
      <w:r w:rsidRPr="00CA3614">
        <w:rPr>
          <w:rFonts w:ascii="Cambria" w:hAnsi="Cambria"/>
          <w:sz w:val="24"/>
          <w:szCs w:val="24"/>
        </w:rPr>
        <w:t xml:space="preserve">, T., &amp; </w:t>
      </w:r>
      <w:proofErr w:type="spellStart"/>
      <w:r w:rsidRPr="00CA3614">
        <w:rPr>
          <w:rFonts w:ascii="Cambria" w:hAnsi="Cambria"/>
          <w:sz w:val="24"/>
          <w:szCs w:val="24"/>
        </w:rPr>
        <w:t>Marechal</w:t>
      </w:r>
      <w:proofErr w:type="spellEnd"/>
      <w:r w:rsidRPr="00CA3614">
        <w:rPr>
          <w:rFonts w:ascii="Cambria" w:hAnsi="Cambria"/>
          <w:sz w:val="24"/>
          <w:szCs w:val="24"/>
        </w:rPr>
        <w:t xml:space="preserve">, J.-P. (2015). </w:t>
      </w:r>
      <w:r w:rsidRPr="00C1140C">
        <w:rPr>
          <w:rFonts w:ascii="Cambria" w:hAnsi="Cambria"/>
          <w:sz w:val="24"/>
          <w:szCs w:val="24"/>
        </w:rPr>
        <w:t xml:space="preserve">Valuation of marine and coastal ecosystem services as a tool for conservation: The case of Martinique in the Caribbean. </w:t>
      </w:r>
      <w:r w:rsidRPr="00C1140C">
        <w:rPr>
          <w:rFonts w:ascii="Cambria" w:hAnsi="Cambria"/>
          <w:i/>
          <w:sz w:val="24"/>
          <w:szCs w:val="24"/>
        </w:rPr>
        <w:t>Ecosystem Services</w:t>
      </w:r>
      <w:r w:rsidRPr="00C1140C">
        <w:rPr>
          <w:rFonts w:ascii="Cambria" w:hAnsi="Cambria"/>
          <w:sz w:val="24"/>
          <w:szCs w:val="24"/>
        </w:rPr>
        <w:t xml:space="preserve">, 11, 67–75. </w:t>
      </w:r>
    </w:p>
    <w:p w14:paraId="3C02C905"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Feagin</w:t>
      </w:r>
      <w:proofErr w:type="spellEnd"/>
      <w:r w:rsidRPr="00C1140C">
        <w:rPr>
          <w:rFonts w:ascii="Cambria" w:hAnsi="Cambria"/>
          <w:sz w:val="24"/>
          <w:szCs w:val="24"/>
        </w:rPr>
        <w:t xml:space="preserve">, R. A., Martinez, M. L., Mendoza-Gonzalez, G., &amp; </w:t>
      </w:r>
      <w:proofErr w:type="spellStart"/>
      <w:r w:rsidRPr="00C1140C">
        <w:rPr>
          <w:rFonts w:ascii="Cambria" w:hAnsi="Cambria"/>
          <w:sz w:val="24"/>
          <w:szCs w:val="24"/>
        </w:rPr>
        <w:t>Costanza</w:t>
      </w:r>
      <w:proofErr w:type="spellEnd"/>
      <w:r w:rsidRPr="00C1140C">
        <w:rPr>
          <w:rFonts w:ascii="Cambria" w:hAnsi="Cambria"/>
          <w:sz w:val="24"/>
          <w:szCs w:val="24"/>
        </w:rPr>
        <w:t xml:space="preserve">, R. (2010). Salt marsh zonal migration and ecosystem service change in response to global sea level rise: A case study from an urban region. </w:t>
      </w:r>
      <w:r w:rsidRPr="00C1140C">
        <w:rPr>
          <w:rFonts w:ascii="Cambria" w:hAnsi="Cambria"/>
          <w:i/>
          <w:sz w:val="24"/>
          <w:szCs w:val="24"/>
        </w:rPr>
        <w:t>Ecology &amp; Society</w:t>
      </w:r>
      <w:r w:rsidRPr="00C1140C">
        <w:rPr>
          <w:rFonts w:ascii="Cambria" w:hAnsi="Cambria"/>
          <w:sz w:val="24"/>
          <w:szCs w:val="24"/>
        </w:rPr>
        <w:t xml:space="preserve">, 15(4), 1–15.  </w:t>
      </w:r>
    </w:p>
    <w:p w14:paraId="51E6AA7E"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Flores, L. P. (2012). Ecosystem Service Valuation: Opportunities for Increased Protection and Conservation in Clallam County, WA. Master’s thesis, The Evergreen State College: Olympia, Washington, USA. Retrieved June 20, 2017 from </w:t>
      </w:r>
      <w:r w:rsidRPr="00C1140C">
        <w:rPr>
          <w:rFonts w:ascii="Cambria" w:hAnsi="Cambria"/>
          <w:sz w:val="24"/>
          <w:szCs w:val="24"/>
        </w:rPr>
        <w:lastRenderedPageBreak/>
        <w:t>http://archives.evergreen.edu/masterstheses/Accession86-10MES/Flores_L-thesis2012.pdf</w:t>
      </w:r>
    </w:p>
    <w:p w14:paraId="19279046"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Fulford</w:t>
      </w:r>
      <w:proofErr w:type="spellEnd"/>
      <w:r w:rsidRPr="00C1140C">
        <w:rPr>
          <w:rFonts w:ascii="Cambria" w:hAnsi="Cambria"/>
          <w:sz w:val="24"/>
          <w:szCs w:val="24"/>
        </w:rPr>
        <w:t xml:space="preserve">, R., </w:t>
      </w:r>
      <w:proofErr w:type="spellStart"/>
      <w:r w:rsidRPr="00C1140C">
        <w:rPr>
          <w:rFonts w:ascii="Cambria" w:hAnsi="Cambria"/>
          <w:sz w:val="24"/>
          <w:szCs w:val="24"/>
        </w:rPr>
        <w:t>Yoskowitz</w:t>
      </w:r>
      <w:proofErr w:type="spellEnd"/>
      <w:r w:rsidRPr="00C1140C">
        <w:rPr>
          <w:rFonts w:ascii="Cambria" w:hAnsi="Cambria"/>
          <w:sz w:val="24"/>
          <w:szCs w:val="24"/>
        </w:rPr>
        <w:t xml:space="preserve">, D., Russell, M., </w:t>
      </w:r>
      <w:proofErr w:type="spellStart"/>
      <w:r w:rsidRPr="00C1140C">
        <w:rPr>
          <w:rFonts w:ascii="Cambria" w:hAnsi="Cambria"/>
          <w:sz w:val="24"/>
          <w:szCs w:val="24"/>
        </w:rPr>
        <w:t>Dantin</w:t>
      </w:r>
      <w:proofErr w:type="spellEnd"/>
      <w:r w:rsidRPr="00C1140C">
        <w:rPr>
          <w:rFonts w:ascii="Cambria" w:hAnsi="Cambria"/>
          <w:sz w:val="24"/>
          <w:szCs w:val="24"/>
        </w:rPr>
        <w:t xml:space="preserve">, D., &amp; Rogers, J. (2016). Habitat and recreational fishing opportunity in Tampa Bay: Linking ecological and ecosystem services to human beneficiaries. </w:t>
      </w:r>
      <w:r w:rsidRPr="00C1140C">
        <w:rPr>
          <w:rFonts w:ascii="Cambria" w:hAnsi="Cambria"/>
          <w:i/>
          <w:sz w:val="24"/>
          <w:szCs w:val="24"/>
        </w:rPr>
        <w:t>Ecosystem Services</w:t>
      </w:r>
      <w:r w:rsidRPr="00C1140C">
        <w:rPr>
          <w:rFonts w:ascii="Cambria" w:hAnsi="Cambria"/>
          <w:sz w:val="24"/>
          <w:szCs w:val="24"/>
        </w:rPr>
        <w:t xml:space="preserve">, 17, 64–74. </w:t>
      </w:r>
    </w:p>
    <w:p w14:paraId="1DD68182" w14:textId="77777777" w:rsidR="00CA3614" w:rsidRPr="00CA3614" w:rsidRDefault="00CA3614" w:rsidP="00CA3614">
      <w:pPr>
        <w:ind w:left="360" w:hanging="360"/>
        <w:rPr>
          <w:rFonts w:ascii="Cambria" w:hAnsi="Cambria"/>
          <w:sz w:val="24"/>
          <w:szCs w:val="24"/>
        </w:rPr>
      </w:pPr>
      <w:r w:rsidRPr="00C1140C">
        <w:rPr>
          <w:rFonts w:ascii="Cambria" w:hAnsi="Cambria"/>
          <w:sz w:val="24"/>
          <w:szCs w:val="24"/>
        </w:rPr>
        <w:t xml:space="preserve">Garrard, S. L., &amp; Beaumont, N. J. (2014). The effect of ocean acidification on carbon storage and sequestration in seagrass beds; a global and UK context. </w:t>
      </w:r>
      <w:r w:rsidRPr="00CA3614">
        <w:rPr>
          <w:rFonts w:ascii="Cambria" w:hAnsi="Cambria"/>
          <w:i/>
          <w:sz w:val="24"/>
          <w:szCs w:val="24"/>
        </w:rPr>
        <w:t>Marine Pollution Bulletin</w:t>
      </w:r>
      <w:r w:rsidRPr="00CA3614">
        <w:rPr>
          <w:rFonts w:ascii="Cambria" w:hAnsi="Cambria"/>
          <w:sz w:val="24"/>
          <w:szCs w:val="24"/>
        </w:rPr>
        <w:t xml:space="preserve">, 86(1–2), 138–146. </w:t>
      </w:r>
    </w:p>
    <w:p w14:paraId="493314EB"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Gunawardena</w:t>
      </w:r>
      <w:proofErr w:type="spellEnd"/>
      <w:r w:rsidRPr="00C1140C">
        <w:rPr>
          <w:rFonts w:ascii="Cambria" w:hAnsi="Cambria"/>
          <w:sz w:val="24"/>
          <w:szCs w:val="24"/>
        </w:rPr>
        <w:t xml:space="preserve">, U. P. (2009). Valuation of Ecosystem Services of Kala </w:t>
      </w:r>
      <w:proofErr w:type="spellStart"/>
      <w:r w:rsidRPr="00C1140C">
        <w:rPr>
          <w:rFonts w:ascii="Cambria" w:hAnsi="Cambria"/>
          <w:sz w:val="24"/>
          <w:szCs w:val="24"/>
        </w:rPr>
        <w:t>Oya</w:t>
      </w:r>
      <w:proofErr w:type="spellEnd"/>
      <w:r w:rsidRPr="00C1140C">
        <w:rPr>
          <w:rFonts w:ascii="Cambria" w:hAnsi="Cambria"/>
          <w:sz w:val="24"/>
          <w:szCs w:val="24"/>
        </w:rPr>
        <w:t xml:space="preserve"> River Basin: Implications for River Basin Management. </w:t>
      </w:r>
      <w:proofErr w:type="spellStart"/>
      <w:r w:rsidRPr="00C1140C">
        <w:rPr>
          <w:rFonts w:ascii="Cambria" w:hAnsi="Cambria"/>
          <w:i/>
          <w:sz w:val="24"/>
          <w:szCs w:val="24"/>
        </w:rPr>
        <w:t>Vidyodaya</w:t>
      </w:r>
      <w:proofErr w:type="spellEnd"/>
      <w:r w:rsidRPr="00C1140C">
        <w:rPr>
          <w:rFonts w:ascii="Cambria" w:hAnsi="Cambria"/>
          <w:i/>
          <w:sz w:val="24"/>
          <w:szCs w:val="24"/>
        </w:rPr>
        <w:t xml:space="preserve"> </w:t>
      </w:r>
      <w:proofErr w:type="spellStart"/>
      <w:r w:rsidRPr="00C1140C">
        <w:rPr>
          <w:rFonts w:ascii="Cambria" w:hAnsi="Cambria"/>
          <w:i/>
          <w:sz w:val="24"/>
          <w:szCs w:val="24"/>
        </w:rPr>
        <w:t>Jounal</w:t>
      </w:r>
      <w:proofErr w:type="spellEnd"/>
      <w:r w:rsidRPr="00C1140C">
        <w:rPr>
          <w:rFonts w:ascii="Cambria" w:hAnsi="Cambria"/>
          <w:i/>
          <w:sz w:val="24"/>
          <w:szCs w:val="24"/>
        </w:rPr>
        <w:t xml:space="preserve"> of Humanities and Social Science</w:t>
      </w:r>
      <w:r w:rsidRPr="00C1140C">
        <w:rPr>
          <w:rFonts w:ascii="Cambria" w:hAnsi="Cambria"/>
          <w:sz w:val="24"/>
          <w:szCs w:val="24"/>
        </w:rPr>
        <w:t xml:space="preserve">, Joint Golden Jubilee Issue of </w:t>
      </w:r>
      <w:proofErr w:type="spellStart"/>
      <w:r w:rsidRPr="00C1140C">
        <w:rPr>
          <w:rFonts w:ascii="Cambria" w:hAnsi="Cambria"/>
          <w:sz w:val="24"/>
          <w:szCs w:val="24"/>
        </w:rPr>
        <w:t>Vidyodaya</w:t>
      </w:r>
      <w:proofErr w:type="spellEnd"/>
      <w:r w:rsidRPr="00C1140C">
        <w:rPr>
          <w:rFonts w:ascii="Cambria" w:hAnsi="Cambria"/>
          <w:sz w:val="24"/>
          <w:szCs w:val="24"/>
        </w:rPr>
        <w:t>, 239–266. Retrieved June 20, 2017 from hdl.handle.net/123456789/938.</w:t>
      </w:r>
    </w:p>
    <w:p w14:paraId="47B65A28"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Han, Q., Huang, X., Shi, P., &amp; Zhang, J. (2008). Seagrass Bed Ecosystem Service Valuation: A Case Research on </w:t>
      </w:r>
      <w:proofErr w:type="spellStart"/>
      <w:r w:rsidRPr="00C1140C">
        <w:rPr>
          <w:rFonts w:ascii="Cambria" w:hAnsi="Cambria"/>
          <w:sz w:val="24"/>
          <w:szCs w:val="24"/>
        </w:rPr>
        <w:t>Hepu</w:t>
      </w:r>
      <w:proofErr w:type="spellEnd"/>
      <w:r w:rsidRPr="00C1140C">
        <w:rPr>
          <w:rFonts w:ascii="Cambria" w:hAnsi="Cambria"/>
          <w:sz w:val="24"/>
          <w:szCs w:val="24"/>
        </w:rPr>
        <w:t xml:space="preserve"> Seagrass Bed in Guangxi Province. </w:t>
      </w:r>
      <w:r w:rsidRPr="00C1140C">
        <w:rPr>
          <w:rFonts w:ascii="Cambria" w:hAnsi="Cambria"/>
          <w:i/>
          <w:sz w:val="24"/>
          <w:szCs w:val="24"/>
        </w:rPr>
        <w:t>Marine Science Bulletin</w:t>
      </w:r>
      <w:r w:rsidRPr="00C1140C">
        <w:rPr>
          <w:rFonts w:ascii="Cambria" w:hAnsi="Cambria"/>
          <w:sz w:val="24"/>
          <w:szCs w:val="24"/>
        </w:rPr>
        <w:t xml:space="preserve">, 10(1), 87–96. </w:t>
      </w:r>
    </w:p>
    <w:p w14:paraId="39AD81C1"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Hoberg</w:t>
      </w:r>
      <w:proofErr w:type="spellEnd"/>
      <w:r w:rsidRPr="00C1140C">
        <w:rPr>
          <w:rFonts w:ascii="Cambria" w:hAnsi="Cambria"/>
          <w:sz w:val="24"/>
          <w:szCs w:val="24"/>
        </w:rPr>
        <w:t xml:space="preserve">, J. (2011). Economic Analysis of Mangrove Forests: A case study in </w:t>
      </w:r>
      <w:proofErr w:type="spellStart"/>
      <w:r w:rsidRPr="00C1140C">
        <w:rPr>
          <w:rFonts w:ascii="Cambria" w:hAnsi="Cambria"/>
          <w:sz w:val="24"/>
          <w:szCs w:val="24"/>
        </w:rPr>
        <w:t>Gazi</w:t>
      </w:r>
      <w:proofErr w:type="spellEnd"/>
      <w:r w:rsidRPr="00C1140C">
        <w:rPr>
          <w:rFonts w:ascii="Cambria" w:hAnsi="Cambria"/>
          <w:sz w:val="24"/>
          <w:szCs w:val="24"/>
        </w:rPr>
        <w:t xml:space="preserve"> Bay, Kenya. UNEP. Retrieved June 20, 2017 from http://bluecarbonportal.org/wp-content/uploads/downloads/2012/09/UNEP_Economic-Analysis-of-Mangrove-Forests_Case-Study-in-Gazi-Bay_Sept2011.pdf</w:t>
      </w:r>
    </w:p>
    <w:p w14:paraId="50579F0E"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Huang, X. (2008). National report on seagrass in the South China Sea-China. South China Sea Institute of Oceanology, </w:t>
      </w:r>
      <w:r w:rsidRPr="00C1140C">
        <w:rPr>
          <w:rFonts w:ascii="Cambria" w:hAnsi="Cambria"/>
          <w:i/>
          <w:sz w:val="24"/>
          <w:szCs w:val="24"/>
        </w:rPr>
        <w:t>Chinese Academy of Sciences</w:t>
      </w:r>
      <w:r w:rsidRPr="00C1140C">
        <w:rPr>
          <w:rFonts w:ascii="Cambria" w:hAnsi="Cambria"/>
          <w:sz w:val="24"/>
          <w:szCs w:val="24"/>
        </w:rPr>
        <w:t>, Guangzhou, China, 37.</w:t>
      </w:r>
    </w:p>
    <w:p w14:paraId="4C7DC309"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Hussain, S. A., &amp; </w:t>
      </w:r>
      <w:proofErr w:type="spellStart"/>
      <w:r w:rsidRPr="00C1140C">
        <w:rPr>
          <w:rFonts w:ascii="Cambria" w:hAnsi="Cambria"/>
          <w:sz w:val="24"/>
          <w:szCs w:val="24"/>
        </w:rPr>
        <w:t>Badola</w:t>
      </w:r>
      <w:proofErr w:type="spellEnd"/>
      <w:r w:rsidRPr="00C1140C">
        <w:rPr>
          <w:rFonts w:ascii="Cambria" w:hAnsi="Cambria"/>
          <w:sz w:val="24"/>
          <w:szCs w:val="24"/>
        </w:rPr>
        <w:t xml:space="preserve">, R. (2008). Valuing mangrove ecosystem services: Linking nutrient retention function of mangrove forests to enhanced agroecosystem production. Wetlands Ecology and Management, 16(6), 441–450. </w:t>
      </w:r>
    </w:p>
    <w:p w14:paraId="0FB02024"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Hussain, S. A., &amp; </w:t>
      </w:r>
      <w:proofErr w:type="spellStart"/>
      <w:r w:rsidRPr="00C1140C">
        <w:rPr>
          <w:rFonts w:ascii="Cambria" w:hAnsi="Cambria"/>
          <w:sz w:val="24"/>
          <w:szCs w:val="24"/>
        </w:rPr>
        <w:t>Badola</w:t>
      </w:r>
      <w:proofErr w:type="spellEnd"/>
      <w:r w:rsidRPr="00C1140C">
        <w:rPr>
          <w:rFonts w:ascii="Cambria" w:hAnsi="Cambria"/>
          <w:sz w:val="24"/>
          <w:szCs w:val="24"/>
        </w:rPr>
        <w:t xml:space="preserve">, R. (2010). Valuing mangrove benefits: Contribution of mangrove forests to local livelihoods in </w:t>
      </w:r>
      <w:proofErr w:type="spellStart"/>
      <w:r w:rsidRPr="00C1140C">
        <w:rPr>
          <w:rFonts w:ascii="Cambria" w:hAnsi="Cambria"/>
          <w:sz w:val="24"/>
          <w:szCs w:val="24"/>
        </w:rPr>
        <w:t>Bhitarkanika</w:t>
      </w:r>
      <w:proofErr w:type="spellEnd"/>
      <w:r w:rsidRPr="00C1140C">
        <w:rPr>
          <w:rFonts w:ascii="Cambria" w:hAnsi="Cambria"/>
          <w:sz w:val="24"/>
          <w:szCs w:val="24"/>
        </w:rPr>
        <w:t xml:space="preserve"> Conservation Area, East Coast of India. </w:t>
      </w:r>
      <w:r w:rsidRPr="00C1140C">
        <w:rPr>
          <w:rFonts w:ascii="Cambria" w:hAnsi="Cambria"/>
          <w:i/>
          <w:sz w:val="24"/>
          <w:szCs w:val="24"/>
        </w:rPr>
        <w:t>Wetlands Ecology and Management</w:t>
      </w:r>
      <w:r w:rsidRPr="00C1140C">
        <w:rPr>
          <w:rFonts w:ascii="Cambria" w:hAnsi="Cambria"/>
          <w:sz w:val="24"/>
          <w:szCs w:val="24"/>
        </w:rPr>
        <w:t xml:space="preserve">, 18(3), 321–331. </w:t>
      </w:r>
    </w:p>
    <w:p w14:paraId="72CDBFD2"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Huxham</w:t>
      </w:r>
      <w:proofErr w:type="spellEnd"/>
      <w:r w:rsidRPr="00C1140C">
        <w:rPr>
          <w:rFonts w:ascii="Cambria" w:hAnsi="Cambria"/>
          <w:sz w:val="24"/>
          <w:szCs w:val="24"/>
        </w:rPr>
        <w:t xml:space="preserve">, M., Emerton, L., </w:t>
      </w:r>
      <w:proofErr w:type="spellStart"/>
      <w:r w:rsidRPr="00C1140C">
        <w:rPr>
          <w:rFonts w:ascii="Cambria" w:hAnsi="Cambria"/>
          <w:sz w:val="24"/>
          <w:szCs w:val="24"/>
        </w:rPr>
        <w:t>Kairo</w:t>
      </w:r>
      <w:proofErr w:type="spellEnd"/>
      <w:r w:rsidRPr="00C1140C">
        <w:rPr>
          <w:rFonts w:ascii="Cambria" w:hAnsi="Cambria"/>
          <w:sz w:val="24"/>
          <w:szCs w:val="24"/>
        </w:rPr>
        <w:t xml:space="preserve">, J., </w:t>
      </w:r>
      <w:proofErr w:type="spellStart"/>
      <w:r w:rsidRPr="00C1140C">
        <w:rPr>
          <w:rFonts w:ascii="Cambria" w:hAnsi="Cambria"/>
          <w:sz w:val="24"/>
          <w:szCs w:val="24"/>
        </w:rPr>
        <w:t>Munyi</w:t>
      </w:r>
      <w:proofErr w:type="spellEnd"/>
      <w:r w:rsidRPr="00C1140C">
        <w:rPr>
          <w:rFonts w:ascii="Cambria" w:hAnsi="Cambria"/>
          <w:sz w:val="24"/>
          <w:szCs w:val="24"/>
        </w:rPr>
        <w:t xml:space="preserve">, F., </w:t>
      </w:r>
      <w:proofErr w:type="spellStart"/>
      <w:r w:rsidRPr="00C1140C">
        <w:rPr>
          <w:rFonts w:ascii="Cambria" w:hAnsi="Cambria"/>
          <w:sz w:val="24"/>
          <w:szCs w:val="24"/>
        </w:rPr>
        <w:t>Abdirizak</w:t>
      </w:r>
      <w:proofErr w:type="spellEnd"/>
      <w:r w:rsidRPr="00C1140C">
        <w:rPr>
          <w:rFonts w:ascii="Cambria" w:hAnsi="Cambria"/>
          <w:sz w:val="24"/>
          <w:szCs w:val="24"/>
        </w:rPr>
        <w:t xml:space="preserve">, H., </w:t>
      </w:r>
      <w:proofErr w:type="spellStart"/>
      <w:r w:rsidRPr="00C1140C">
        <w:rPr>
          <w:rFonts w:ascii="Cambria" w:hAnsi="Cambria"/>
          <w:sz w:val="24"/>
          <w:szCs w:val="24"/>
        </w:rPr>
        <w:t>Muriuki</w:t>
      </w:r>
      <w:proofErr w:type="spellEnd"/>
      <w:r w:rsidRPr="00C1140C">
        <w:rPr>
          <w:rFonts w:ascii="Cambria" w:hAnsi="Cambria"/>
          <w:sz w:val="24"/>
          <w:szCs w:val="24"/>
        </w:rPr>
        <w:t xml:space="preserve">, T., </w:t>
      </w:r>
      <w:proofErr w:type="spellStart"/>
      <w:r w:rsidRPr="00C1140C">
        <w:rPr>
          <w:rFonts w:ascii="Cambria" w:hAnsi="Cambria"/>
          <w:sz w:val="24"/>
          <w:szCs w:val="24"/>
        </w:rPr>
        <w:t>Nunan</w:t>
      </w:r>
      <w:proofErr w:type="spellEnd"/>
      <w:r w:rsidRPr="00C1140C">
        <w:rPr>
          <w:rFonts w:ascii="Cambria" w:hAnsi="Cambria"/>
          <w:sz w:val="24"/>
          <w:szCs w:val="24"/>
        </w:rPr>
        <w:t xml:space="preserve">, F., and Briers, R. A. (2015). Applying Climate Compatible Development and economic valuation to coastal management: A case study of Kenya’s mangrove forests. </w:t>
      </w:r>
      <w:r w:rsidRPr="00C1140C">
        <w:rPr>
          <w:rFonts w:ascii="Cambria" w:hAnsi="Cambria"/>
          <w:i/>
          <w:sz w:val="24"/>
          <w:szCs w:val="24"/>
        </w:rPr>
        <w:t>Journal of Environmental Management</w:t>
      </w:r>
      <w:r w:rsidRPr="00C1140C">
        <w:rPr>
          <w:rFonts w:ascii="Cambria" w:hAnsi="Cambria"/>
          <w:sz w:val="24"/>
          <w:szCs w:val="24"/>
        </w:rPr>
        <w:t xml:space="preserve">, 157, 168–181. </w:t>
      </w:r>
    </w:p>
    <w:p w14:paraId="5A44C4B6"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Hynes, S., Norton, D., &amp; Hanley, N. (2012). Accounting for Cultural Dimensions in Estimating the Value of Coastal Zone Ecosystem Services using International Benefit Transfer. No. Working Paper 12-WP-SEMRU-01, Socio-Economic Marine Research Unit, National University of Ireland: Galway, Ireland.</w:t>
      </w:r>
    </w:p>
    <w:p w14:paraId="1B3B69D6"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lastRenderedPageBreak/>
        <w:t>Interwies</w:t>
      </w:r>
      <w:proofErr w:type="spellEnd"/>
      <w:r w:rsidRPr="00C1140C">
        <w:rPr>
          <w:rFonts w:ascii="Cambria" w:hAnsi="Cambria"/>
          <w:sz w:val="24"/>
          <w:szCs w:val="24"/>
        </w:rPr>
        <w:t>, E., &amp; Gorlitz, S. (2013). Economic and social valuation of the CCLME ecosystem services. Protection of the Canary Current Large Marine Ecosystem (CCLME) Project – GCP/INT/023/GFF.</w:t>
      </w:r>
    </w:p>
    <w:p w14:paraId="515809E9"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Islam, M. S., &amp; </w:t>
      </w:r>
      <w:proofErr w:type="spellStart"/>
      <w:r w:rsidRPr="00C1140C">
        <w:rPr>
          <w:rFonts w:ascii="Cambria" w:hAnsi="Cambria"/>
          <w:sz w:val="24"/>
          <w:szCs w:val="24"/>
        </w:rPr>
        <w:t>Ikejima</w:t>
      </w:r>
      <w:proofErr w:type="spellEnd"/>
      <w:r w:rsidRPr="00C1140C">
        <w:rPr>
          <w:rFonts w:ascii="Cambria" w:hAnsi="Cambria"/>
          <w:sz w:val="24"/>
          <w:szCs w:val="24"/>
        </w:rPr>
        <w:t xml:space="preserve">, K. (2010). Gear type, species composition and economic value of fisheries in the mangroves of Pak </w:t>
      </w:r>
      <w:proofErr w:type="spellStart"/>
      <w:r w:rsidRPr="00C1140C">
        <w:rPr>
          <w:rFonts w:ascii="Cambria" w:hAnsi="Cambria"/>
          <w:sz w:val="24"/>
          <w:szCs w:val="24"/>
        </w:rPr>
        <w:t>Phanang</w:t>
      </w:r>
      <w:proofErr w:type="spellEnd"/>
      <w:r w:rsidRPr="00C1140C">
        <w:rPr>
          <w:rFonts w:ascii="Cambria" w:hAnsi="Cambria"/>
          <w:sz w:val="24"/>
          <w:szCs w:val="24"/>
        </w:rPr>
        <w:t xml:space="preserve">, Thailand. </w:t>
      </w:r>
      <w:r w:rsidRPr="00C1140C">
        <w:rPr>
          <w:rFonts w:ascii="Cambria" w:hAnsi="Cambria"/>
          <w:i/>
          <w:sz w:val="24"/>
          <w:szCs w:val="24"/>
        </w:rPr>
        <w:t>Wetlands Ecology and Management</w:t>
      </w:r>
      <w:r w:rsidRPr="00C1140C">
        <w:rPr>
          <w:rFonts w:ascii="Cambria" w:hAnsi="Cambria"/>
          <w:sz w:val="24"/>
          <w:szCs w:val="24"/>
        </w:rPr>
        <w:t xml:space="preserve">, 18(1), 27–36. </w:t>
      </w:r>
    </w:p>
    <w:p w14:paraId="39812150"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Jackson, E. L., Rees, S. E., Wilding, C., &amp; </w:t>
      </w:r>
      <w:proofErr w:type="spellStart"/>
      <w:r w:rsidRPr="00C1140C">
        <w:rPr>
          <w:rFonts w:ascii="Cambria" w:hAnsi="Cambria"/>
          <w:sz w:val="24"/>
          <w:szCs w:val="24"/>
        </w:rPr>
        <w:t>Attrill</w:t>
      </w:r>
      <w:proofErr w:type="spellEnd"/>
      <w:r w:rsidRPr="00C1140C">
        <w:rPr>
          <w:rFonts w:ascii="Cambria" w:hAnsi="Cambria"/>
          <w:sz w:val="24"/>
          <w:szCs w:val="24"/>
        </w:rPr>
        <w:t xml:space="preserve">, M. J. (2015). Use of a seagrass residency index to apportion commercial fishery landing values and recreation fisheries expenditure to seagrass habitat service. </w:t>
      </w:r>
      <w:r w:rsidRPr="00C1140C">
        <w:rPr>
          <w:rFonts w:ascii="Cambria" w:hAnsi="Cambria"/>
          <w:i/>
          <w:sz w:val="24"/>
          <w:szCs w:val="24"/>
        </w:rPr>
        <w:t>Conservation Biology</w:t>
      </w:r>
      <w:r w:rsidRPr="00C1140C">
        <w:rPr>
          <w:rFonts w:ascii="Cambria" w:hAnsi="Cambria"/>
          <w:sz w:val="24"/>
          <w:szCs w:val="24"/>
        </w:rPr>
        <w:t xml:space="preserve">, 29(3), 899–909. </w:t>
      </w:r>
    </w:p>
    <w:p w14:paraId="29E7C298"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Janekarnkij</w:t>
      </w:r>
      <w:proofErr w:type="spellEnd"/>
      <w:r w:rsidRPr="00C1140C">
        <w:rPr>
          <w:rFonts w:ascii="Cambria" w:hAnsi="Cambria"/>
          <w:sz w:val="24"/>
          <w:szCs w:val="24"/>
        </w:rPr>
        <w:t xml:space="preserve">, P. (2010). Assessing the value of </w:t>
      </w:r>
      <w:proofErr w:type="spellStart"/>
      <w:r w:rsidRPr="00C1140C">
        <w:rPr>
          <w:rFonts w:ascii="Cambria" w:hAnsi="Cambria"/>
          <w:sz w:val="24"/>
          <w:szCs w:val="24"/>
        </w:rPr>
        <w:t>Krabi</w:t>
      </w:r>
      <w:proofErr w:type="spellEnd"/>
      <w:r w:rsidRPr="00C1140C">
        <w:rPr>
          <w:rFonts w:ascii="Cambria" w:hAnsi="Cambria"/>
          <w:sz w:val="24"/>
          <w:szCs w:val="24"/>
        </w:rPr>
        <w:t xml:space="preserve"> River Estuary </w:t>
      </w:r>
      <w:proofErr w:type="spellStart"/>
      <w:r w:rsidRPr="00C1140C">
        <w:rPr>
          <w:rFonts w:ascii="Cambria" w:hAnsi="Cambria"/>
          <w:sz w:val="24"/>
          <w:szCs w:val="24"/>
        </w:rPr>
        <w:t>Ramsar</w:t>
      </w:r>
      <w:proofErr w:type="spellEnd"/>
      <w:r w:rsidRPr="00C1140C">
        <w:rPr>
          <w:rFonts w:ascii="Cambria" w:hAnsi="Cambria"/>
          <w:sz w:val="24"/>
          <w:szCs w:val="24"/>
        </w:rPr>
        <w:t xml:space="preserve"> Site conservation and development. ARE Working Paper No. No. 2553/4, Department of Agricultural and Resource Economics, Faculty of Economics, </w:t>
      </w:r>
      <w:proofErr w:type="spellStart"/>
      <w:r w:rsidRPr="00C1140C">
        <w:rPr>
          <w:rFonts w:ascii="Cambria" w:hAnsi="Cambria"/>
          <w:sz w:val="24"/>
          <w:szCs w:val="24"/>
        </w:rPr>
        <w:t>Kasetsart</w:t>
      </w:r>
      <w:proofErr w:type="spellEnd"/>
      <w:r w:rsidRPr="00C1140C">
        <w:rPr>
          <w:rFonts w:ascii="Cambria" w:hAnsi="Cambria"/>
          <w:sz w:val="24"/>
          <w:szCs w:val="24"/>
        </w:rPr>
        <w:t xml:space="preserve"> University: Bangkok, Thailand. Retrieved from http://agri.eco.ku.ac.th/RePEc/kau/wpaper/are201004.pdf.</w:t>
      </w:r>
    </w:p>
    <w:p w14:paraId="3B211477"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Jerath</w:t>
      </w:r>
      <w:proofErr w:type="spellEnd"/>
      <w:r w:rsidRPr="00C1140C">
        <w:rPr>
          <w:rFonts w:ascii="Cambria" w:hAnsi="Cambria"/>
          <w:sz w:val="24"/>
          <w:szCs w:val="24"/>
        </w:rPr>
        <w:t>, M. (2012). An Economic Analysis of Carbon Sequestration and Storage Service by Mangrove Forests in Everglades National Park, Florida. FIU Electronic Theses and Dissertations, 702. Florida International University: Miami, Florida. Retrieved June 20, 2017 from http://digitalcommons.fiu.edu/etd/702.</w:t>
      </w:r>
    </w:p>
    <w:p w14:paraId="7F1AEB80"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Jerath</w:t>
      </w:r>
      <w:proofErr w:type="spellEnd"/>
      <w:r w:rsidRPr="00C1140C">
        <w:rPr>
          <w:rFonts w:ascii="Cambria" w:hAnsi="Cambria"/>
          <w:sz w:val="24"/>
          <w:szCs w:val="24"/>
        </w:rPr>
        <w:t xml:space="preserve">, M., Bhat, M., Rivera-Monroy, V. H., Castaneda-Moya, E., Simard, M., &amp; </w:t>
      </w:r>
      <w:proofErr w:type="spellStart"/>
      <w:r w:rsidRPr="00C1140C">
        <w:rPr>
          <w:rFonts w:ascii="Cambria" w:hAnsi="Cambria"/>
          <w:sz w:val="24"/>
          <w:szCs w:val="24"/>
        </w:rPr>
        <w:t>Twilley</w:t>
      </w:r>
      <w:proofErr w:type="spellEnd"/>
      <w:r w:rsidRPr="00C1140C">
        <w:rPr>
          <w:rFonts w:ascii="Cambria" w:hAnsi="Cambria"/>
          <w:sz w:val="24"/>
          <w:szCs w:val="24"/>
        </w:rPr>
        <w:t xml:space="preserve">, R. R. (2016). The role of economic, policy, and ecological factors in estimating the value of carbon stocks in Everglades mangrove forests, South Florida, USA. </w:t>
      </w:r>
      <w:r w:rsidRPr="00C1140C">
        <w:rPr>
          <w:rFonts w:ascii="Cambria" w:hAnsi="Cambria"/>
          <w:i/>
          <w:sz w:val="24"/>
          <w:szCs w:val="24"/>
        </w:rPr>
        <w:t>Environmental Science &amp; Policy</w:t>
      </w:r>
      <w:r w:rsidRPr="00C1140C">
        <w:rPr>
          <w:rFonts w:ascii="Cambria" w:hAnsi="Cambria"/>
          <w:sz w:val="24"/>
          <w:szCs w:val="24"/>
        </w:rPr>
        <w:t xml:space="preserve">, 66, 160-169. </w:t>
      </w:r>
    </w:p>
    <w:p w14:paraId="46C97846"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Jordan, S. J., O’Higgins, T., &amp; </w:t>
      </w:r>
      <w:proofErr w:type="spellStart"/>
      <w:r w:rsidRPr="00C1140C">
        <w:rPr>
          <w:rFonts w:ascii="Cambria" w:hAnsi="Cambria"/>
          <w:sz w:val="24"/>
          <w:szCs w:val="24"/>
        </w:rPr>
        <w:t>Dittmar</w:t>
      </w:r>
      <w:proofErr w:type="spellEnd"/>
      <w:r w:rsidRPr="00C1140C">
        <w:rPr>
          <w:rFonts w:ascii="Cambria" w:hAnsi="Cambria"/>
          <w:sz w:val="24"/>
          <w:szCs w:val="24"/>
        </w:rPr>
        <w:t xml:space="preserve">, J. A. (2012). Ecosystem Services of Coastal Habitats and Fisheries: Multiscale Ecological and Economic Models in Support of Ecosystem-Based Management. </w:t>
      </w:r>
      <w:r w:rsidRPr="00C1140C">
        <w:rPr>
          <w:rFonts w:ascii="Cambria" w:hAnsi="Cambria"/>
          <w:i/>
          <w:sz w:val="24"/>
          <w:szCs w:val="24"/>
        </w:rPr>
        <w:t>Marine and Coastal Fisheries</w:t>
      </w:r>
      <w:r w:rsidRPr="00C1140C">
        <w:rPr>
          <w:rFonts w:ascii="Cambria" w:hAnsi="Cambria"/>
          <w:sz w:val="24"/>
          <w:szCs w:val="24"/>
        </w:rPr>
        <w:t xml:space="preserve">, 4(February 2015), 573–586. </w:t>
      </w:r>
    </w:p>
    <w:p w14:paraId="3A17E920"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Kairo</w:t>
      </w:r>
      <w:proofErr w:type="spellEnd"/>
      <w:r w:rsidRPr="00C1140C">
        <w:rPr>
          <w:rFonts w:ascii="Cambria" w:hAnsi="Cambria"/>
          <w:sz w:val="24"/>
          <w:szCs w:val="24"/>
        </w:rPr>
        <w:t xml:space="preserve">, J. G., </w:t>
      </w:r>
      <w:proofErr w:type="spellStart"/>
      <w:r w:rsidRPr="00C1140C">
        <w:rPr>
          <w:rFonts w:ascii="Cambria" w:hAnsi="Cambria"/>
          <w:sz w:val="24"/>
          <w:szCs w:val="24"/>
        </w:rPr>
        <w:t>Wanjiru</w:t>
      </w:r>
      <w:proofErr w:type="spellEnd"/>
      <w:r w:rsidRPr="00C1140C">
        <w:rPr>
          <w:rFonts w:ascii="Cambria" w:hAnsi="Cambria"/>
          <w:sz w:val="24"/>
          <w:szCs w:val="24"/>
        </w:rPr>
        <w:t xml:space="preserve">, C., &amp; </w:t>
      </w:r>
      <w:proofErr w:type="spellStart"/>
      <w:r w:rsidRPr="00C1140C">
        <w:rPr>
          <w:rFonts w:ascii="Cambria" w:hAnsi="Cambria"/>
          <w:sz w:val="24"/>
          <w:szCs w:val="24"/>
        </w:rPr>
        <w:t>Ochiewo</w:t>
      </w:r>
      <w:proofErr w:type="spellEnd"/>
      <w:r w:rsidRPr="00C1140C">
        <w:rPr>
          <w:rFonts w:ascii="Cambria" w:hAnsi="Cambria"/>
          <w:sz w:val="24"/>
          <w:szCs w:val="24"/>
        </w:rPr>
        <w:t xml:space="preserve">, J. (2009). Net Pay: Economic Analysis of a Replanted Mangrove Plantation in Kenya. </w:t>
      </w:r>
      <w:r w:rsidRPr="00C1140C">
        <w:rPr>
          <w:rFonts w:ascii="Cambria" w:hAnsi="Cambria"/>
          <w:i/>
          <w:sz w:val="24"/>
          <w:szCs w:val="24"/>
        </w:rPr>
        <w:t>Journal of Sustainable Forestry</w:t>
      </w:r>
      <w:r w:rsidRPr="00C1140C">
        <w:rPr>
          <w:rFonts w:ascii="Cambria" w:hAnsi="Cambria"/>
          <w:sz w:val="24"/>
          <w:szCs w:val="24"/>
        </w:rPr>
        <w:t xml:space="preserve">, 28(November), 395–414. </w:t>
      </w:r>
    </w:p>
    <w:p w14:paraId="42574658"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Kallesoe</w:t>
      </w:r>
      <w:proofErr w:type="spellEnd"/>
      <w:r w:rsidRPr="00C1140C">
        <w:rPr>
          <w:rFonts w:ascii="Cambria" w:hAnsi="Cambria"/>
          <w:sz w:val="24"/>
          <w:szCs w:val="24"/>
        </w:rPr>
        <w:t xml:space="preserve">, M., </w:t>
      </w:r>
      <w:proofErr w:type="spellStart"/>
      <w:r w:rsidRPr="00C1140C">
        <w:rPr>
          <w:rFonts w:ascii="Cambria" w:hAnsi="Cambria"/>
          <w:sz w:val="24"/>
          <w:szCs w:val="24"/>
        </w:rPr>
        <w:t>Bambaradeniya</w:t>
      </w:r>
      <w:proofErr w:type="spellEnd"/>
      <w:r w:rsidRPr="00C1140C">
        <w:rPr>
          <w:rFonts w:ascii="Cambria" w:hAnsi="Cambria"/>
          <w:sz w:val="24"/>
          <w:szCs w:val="24"/>
        </w:rPr>
        <w:t xml:space="preserve">, C., Ali </w:t>
      </w:r>
      <w:proofErr w:type="spellStart"/>
      <w:r w:rsidRPr="00C1140C">
        <w:rPr>
          <w:rFonts w:ascii="Cambria" w:hAnsi="Cambria"/>
          <w:sz w:val="24"/>
          <w:szCs w:val="24"/>
        </w:rPr>
        <w:t>Iftikhar</w:t>
      </w:r>
      <w:proofErr w:type="spellEnd"/>
      <w:r w:rsidRPr="00C1140C">
        <w:rPr>
          <w:rFonts w:ascii="Cambria" w:hAnsi="Cambria"/>
          <w:sz w:val="24"/>
          <w:szCs w:val="24"/>
        </w:rPr>
        <w:t xml:space="preserve">, U., </w:t>
      </w:r>
      <w:proofErr w:type="spellStart"/>
      <w:r w:rsidRPr="00C1140C">
        <w:rPr>
          <w:rFonts w:ascii="Cambria" w:hAnsi="Cambria"/>
          <w:sz w:val="24"/>
          <w:szCs w:val="24"/>
        </w:rPr>
        <w:t>Ranasinghe</w:t>
      </w:r>
      <w:proofErr w:type="spellEnd"/>
      <w:r w:rsidRPr="00C1140C">
        <w:rPr>
          <w:rFonts w:ascii="Cambria" w:hAnsi="Cambria"/>
          <w:sz w:val="24"/>
          <w:szCs w:val="24"/>
        </w:rPr>
        <w:t xml:space="preserve">, T., and </w:t>
      </w:r>
      <w:proofErr w:type="spellStart"/>
      <w:r w:rsidRPr="00C1140C">
        <w:rPr>
          <w:rFonts w:ascii="Cambria" w:hAnsi="Cambria"/>
          <w:sz w:val="24"/>
          <w:szCs w:val="24"/>
        </w:rPr>
        <w:t>Miththapala</w:t>
      </w:r>
      <w:proofErr w:type="spellEnd"/>
      <w:r w:rsidRPr="00C1140C">
        <w:rPr>
          <w:rFonts w:ascii="Cambria" w:hAnsi="Cambria"/>
          <w:sz w:val="24"/>
          <w:szCs w:val="24"/>
        </w:rPr>
        <w:t xml:space="preserve">, S. (2008). Linking coastal ecosystems and human well-being: Learning from conceptual frameworks and empirical results. Gland, Switzerland: IUCN. </w:t>
      </w:r>
    </w:p>
    <w:p w14:paraId="29327004"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Kamimura</w:t>
      </w:r>
      <w:proofErr w:type="spellEnd"/>
      <w:r w:rsidRPr="00C1140C">
        <w:rPr>
          <w:rFonts w:ascii="Cambria" w:hAnsi="Cambria"/>
          <w:sz w:val="24"/>
          <w:szCs w:val="24"/>
        </w:rPr>
        <w:t xml:space="preserve">, Y., Kasai, A., &amp; Shoji, J. (2011). Production and prey source of juvenile black rockfish </w:t>
      </w:r>
      <w:r w:rsidRPr="00C1140C">
        <w:rPr>
          <w:rFonts w:ascii="Cambria" w:hAnsi="Cambria"/>
          <w:i/>
          <w:sz w:val="24"/>
          <w:szCs w:val="24"/>
        </w:rPr>
        <w:t xml:space="preserve">Sebastes </w:t>
      </w:r>
      <w:proofErr w:type="spellStart"/>
      <w:r w:rsidRPr="00C1140C">
        <w:rPr>
          <w:rFonts w:ascii="Cambria" w:hAnsi="Cambria"/>
          <w:i/>
          <w:sz w:val="24"/>
          <w:szCs w:val="24"/>
        </w:rPr>
        <w:t>cheni</w:t>
      </w:r>
      <w:proofErr w:type="spellEnd"/>
      <w:r w:rsidRPr="00C1140C">
        <w:rPr>
          <w:rFonts w:ascii="Cambria" w:hAnsi="Cambria"/>
          <w:sz w:val="24"/>
          <w:szCs w:val="24"/>
        </w:rPr>
        <w:t xml:space="preserve"> in a seagrass and </w:t>
      </w:r>
      <w:proofErr w:type="spellStart"/>
      <w:r w:rsidRPr="00C1140C">
        <w:rPr>
          <w:rFonts w:ascii="Cambria" w:hAnsi="Cambria"/>
          <w:sz w:val="24"/>
          <w:szCs w:val="24"/>
        </w:rPr>
        <w:t>macroalgal</w:t>
      </w:r>
      <w:proofErr w:type="spellEnd"/>
      <w:r w:rsidRPr="00C1140C">
        <w:rPr>
          <w:rFonts w:ascii="Cambria" w:hAnsi="Cambria"/>
          <w:sz w:val="24"/>
          <w:szCs w:val="24"/>
        </w:rPr>
        <w:t xml:space="preserve"> bed in the </w:t>
      </w:r>
      <w:proofErr w:type="spellStart"/>
      <w:r w:rsidRPr="00C1140C">
        <w:rPr>
          <w:rFonts w:ascii="Cambria" w:hAnsi="Cambria"/>
          <w:sz w:val="24"/>
          <w:szCs w:val="24"/>
        </w:rPr>
        <w:t>Seto</w:t>
      </w:r>
      <w:proofErr w:type="spellEnd"/>
      <w:r w:rsidRPr="00C1140C">
        <w:rPr>
          <w:rFonts w:ascii="Cambria" w:hAnsi="Cambria"/>
          <w:sz w:val="24"/>
          <w:szCs w:val="24"/>
        </w:rPr>
        <w:t xml:space="preserve"> Inland Sea, Japan: estimation of the economic value of a nursery. </w:t>
      </w:r>
      <w:r w:rsidRPr="00C1140C">
        <w:rPr>
          <w:rFonts w:ascii="Cambria" w:hAnsi="Cambria"/>
          <w:i/>
          <w:sz w:val="24"/>
          <w:szCs w:val="24"/>
        </w:rPr>
        <w:t>Aquatic Ecology</w:t>
      </w:r>
      <w:r w:rsidRPr="00C1140C">
        <w:rPr>
          <w:rFonts w:ascii="Cambria" w:hAnsi="Cambria"/>
          <w:sz w:val="24"/>
          <w:szCs w:val="24"/>
        </w:rPr>
        <w:t xml:space="preserve">, 45(3), 367–376. </w:t>
      </w:r>
    </w:p>
    <w:p w14:paraId="0F001F53"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Khaleel</w:t>
      </w:r>
      <w:proofErr w:type="spellEnd"/>
      <w:r w:rsidRPr="00C1140C">
        <w:rPr>
          <w:rFonts w:ascii="Cambria" w:hAnsi="Cambria"/>
          <w:sz w:val="24"/>
          <w:szCs w:val="24"/>
        </w:rPr>
        <w:t xml:space="preserve">, K. M. (2012). Study on the Socio-Economic Influence of the Mangrove Wetlands of North Malabar (Kerala), India. </w:t>
      </w:r>
      <w:r w:rsidRPr="00C1140C">
        <w:rPr>
          <w:rFonts w:ascii="Cambria" w:hAnsi="Cambria"/>
          <w:i/>
          <w:sz w:val="24"/>
          <w:szCs w:val="24"/>
        </w:rPr>
        <w:t>European Journal of Applied Sciences</w:t>
      </w:r>
      <w:r w:rsidRPr="00C1140C">
        <w:rPr>
          <w:rFonts w:ascii="Cambria" w:hAnsi="Cambria"/>
          <w:sz w:val="24"/>
          <w:szCs w:val="24"/>
        </w:rPr>
        <w:t>, 4(6), 253–256.</w:t>
      </w:r>
    </w:p>
    <w:p w14:paraId="12BE6CC6"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lastRenderedPageBreak/>
        <w:t>Khaleel</w:t>
      </w:r>
      <w:proofErr w:type="spellEnd"/>
      <w:r w:rsidRPr="00C1140C">
        <w:rPr>
          <w:rFonts w:ascii="Cambria" w:hAnsi="Cambria"/>
          <w:sz w:val="24"/>
          <w:szCs w:val="24"/>
        </w:rPr>
        <w:t xml:space="preserve">, K. M., Jaleel, C. A., &amp; Jaleel, C. A. (2009). Environmental challenges to the mangrove wetlands of North Malabar (Kerala), India: Their sustainable development and influence on local people. </w:t>
      </w:r>
      <w:r w:rsidRPr="00C1140C">
        <w:rPr>
          <w:rFonts w:ascii="Cambria" w:hAnsi="Cambria"/>
          <w:i/>
          <w:sz w:val="24"/>
          <w:szCs w:val="24"/>
        </w:rPr>
        <w:t>Knowledge and Management of Aquatic Ecosystems</w:t>
      </w:r>
      <w:r w:rsidRPr="00C1140C">
        <w:rPr>
          <w:rFonts w:ascii="Cambria" w:hAnsi="Cambria"/>
          <w:sz w:val="24"/>
          <w:szCs w:val="24"/>
        </w:rPr>
        <w:t xml:space="preserve">, (392), 3. </w:t>
      </w:r>
    </w:p>
    <w:p w14:paraId="2E5FB58F"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Korovulavula</w:t>
      </w:r>
      <w:proofErr w:type="spellEnd"/>
      <w:r w:rsidRPr="00C1140C">
        <w:rPr>
          <w:rFonts w:ascii="Cambria" w:hAnsi="Cambria"/>
          <w:sz w:val="24"/>
          <w:szCs w:val="24"/>
        </w:rPr>
        <w:t>, I., O ’</w:t>
      </w:r>
      <w:proofErr w:type="spellStart"/>
      <w:r w:rsidRPr="00C1140C">
        <w:rPr>
          <w:rFonts w:ascii="Cambria" w:hAnsi="Cambria"/>
          <w:sz w:val="24"/>
          <w:szCs w:val="24"/>
        </w:rPr>
        <w:t>garra</w:t>
      </w:r>
      <w:proofErr w:type="spellEnd"/>
      <w:r w:rsidRPr="00C1140C">
        <w:rPr>
          <w:rFonts w:ascii="Cambria" w:hAnsi="Cambria"/>
          <w:sz w:val="24"/>
          <w:szCs w:val="24"/>
        </w:rPr>
        <w:t xml:space="preserve">, T., Fong, P., </w:t>
      </w:r>
      <w:proofErr w:type="spellStart"/>
      <w:r w:rsidRPr="00C1140C">
        <w:rPr>
          <w:rFonts w:ascii="Cambria" w:hAnsi="Cambria"/>
          <w:sz w:val="24"/>
          <w:szCs w:val="24"/>
        </w:rPr>
        <w:t>Ratuniata</w:t>
      </w:r>
      <w:proofErr w:type="spellEnd"/>
      <w:r w:rsidRPr="00C1140C">
        <w:rPr>
          <w:rFonts w:ascii="Cambria" w:hAnsi="Cambria"/>
          <w:sz w:val="24"/>
          <w:szCs w:val="24"/>
        </w:rPr>
        <w:t xml:space="preserve">, R., &amp; </w:t>
      </w:r>
      <w:proofErr w:type="spellStart"/>
      <w:r w:rsidRPr="00C1140C">
        <w:rPr>
          <w:rFonts w:ascii="Cambria" w:hAnsi="Cambria"/>
          <w:sz w:val="24"/>
          <w:szCs w:val="24"/>
        </w:rPr>
        <w:t>Mckay</w:t>
      </w:r>
      <w:proofErr w:type="spellEnd"/>
      <w:r w:rsidRPr="00C1140C">
        <w:rPr>
          <w:rFonts w:ascii="Cambria" w:hAnsi="Cambria"/>
          <w:sz w:val="24"/>
          <w:szCs w:val="24"/>
        </w:rPr>
        <w:t xml:space="preserve">, K. (2008). Final Report Economic Valuation </w:t>
      </w:r>
      <w:proofErr w:type="spellStart"/>
      <w:r w:rsidRPr="00C1140C">
        <w:rPr>
          <w:rFonts w:ascii="Cambria" w:hAnsi="Cambria"/>
          <w:sz w:val="24"/>
          <w:szCs w:val="24"/>
        </w:rPr>
        <w:t>Iqoliqoli</w:t>
      </w:r>
      <w:proofErr w:type="spellEnd"/>
      <w:r w:rsidRPr="00C1140C">
        <w:rPr>
          <w:rFonts w:ascii="Cambria" w:hAnsi="Cambria"/>
          <w:sz w:val="24"/>
          <w:szCs w:val="24"/>
        </w:rPr>
        <w:t xml:space="preserve"> - Tourism Study Support (COMPONENT 2A - Project 2A2 Knowledge, monitoring, management and beneficial use of coral reef ecosystems No. Coral Reef Initiatives for the Pacific). </w:t>
      </w:r>
      <w:proofErr w:type="spellStart"/>
      <w:r w:rsidRPr="00C1140C">
        <w:rPr>
          <w:rFonts w:ascii="Cambria" w:hAnsi="Cambria"/>
          <w:sz w:val="24"/>
          <w:szCs w:val="24"/>
        </w:rPr>
        <w:t>Noumea</w:t>
      </w:r>
      <w:proofErr w:type="spellEnd"/>
      <w:r w:rsidRPr="00C1140C">
        <w:rPr>
          <w:rFonts w:ascii="Cambria" w:hAnsi="Cambria"/>
          <w:sz w:val="24"/>
          <w:szCs w:val="24"/>
        </w:rPr>
        <w:t>, New Caledonia: Coral Reef Initiatives for the Pacific. Retrieved June 20, 2017 from https://spccfpstore1.blob.core.windows.net/digitallibrary-docs/files/ab/ab57e3a4f53da3feb0a0fa273d949057.pdf?sv=2015-04-05&amp;sr=b&amp;sig=%2FvYCYECioc3zdYqh77hgX3MdBZHYXo17CHCg5uDqaTc%3D&amp;se=2016-06-27T11%3A58%3A33Z&amp;sp=r&amp;rscc=public%2C max-age%3D864000%2C max-</w:t>
      </w:r>
      <w:proofErr w:type="spellStart"/>
      <w:r w:rsidRPr="00C1140C">
        <w:rPr>
          <w:rFonts w:ascii="Cambria" w:hAnsi="Cambria"/>
          <w:sz w:val="24"/>
          <w:szCs w:val="24"/>
        </w:rPr>
        <w:t>st</w:t>
      </w:r>
      <w:proofErr w:type="spellEnd"/>
    </w:p>
    <w:p w14:paraId="28C4E952"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Kuenzer</w:t>
      </w:r>
      <w:proofErr w:type="spellEnd"/>
      <w:r w:rsidRPr="00C1140C">
        <w:rPr>
          <w:rFonts w:ascii="Cambria" w:hAnsi="Cambria"/>
          <w:sz w:val="24"/>
          <w:szCs w:val="24"/>
        </w:rPr>
        <w:t xml:space="preserve">, C., &amp; Tuan, V. Q. (2013). Assessing the ecosystem services value of Can </w:t>
      </w:r>
      <w:proofErr w:type="spellStart"/>
      <w:r w:rsidRPr="00C1140C">
        <w:rPr>
          <w:rFonts w:ascii="Cambria" w:hAnsi="Cambria"/>
          <w:sz w:val="24"/>
          <w:szCs w:val="24"/>
        </w:rPr>
        <w:t>Gio</w:t>
      </w:r>
      <w:proofErr w:type="spellEnd"/>
      <w:r w:rsidRPr="00C1140C">
        <w:rPr>
          <w:rFonts w:ascii="Cambria" w:hAnsi="Cambria"/>
          <w:sz w:val="24"/>
          <w:szCs w:val="24"/>
        </w:rPr>
        <w:t xml:space="preserve"> Mangrove Biosphere Reserve: Combining earth observation and household survey based analyses. </w:t>
      </w:r>
      <w:r w:rsidRPr="00C1140C">
        <w:rPr>
          <w:rFonts w:ascii="Cambria" w:hAnsi="Cambria"/>
          <w:i/>
          <w:sz w:val="24"/>
          <w:szCs w:val="24"/>
        </w:rPr>
        <w:t>Applied Geography</w:t>
      </w:r>
      <w:r w:rsidRPr="00C1140C">
        <w:rPr>
          <w:rFonts w:ascii="Cambria" w:hAnsi="Cambria"/>
          <w:sz w:val="24"/>
          <w:szCs w:val="24"/>
        </w:rPr>
        <w:t xml:space="preserve">, 45, 167–184. </w:t>
      </w:r>
    </w:p>
    <w:p w14:paraId="2537B560"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Lavery</w:t>
      </w:r>
      <w:proofErr w:type="spellEnd"/>
      <w:r w:rsidRPr="00C1140C">
        <w:rPr>
          <w:rFonts w:ascii="Cambria" w:hAnsi="Cambria"/>
          <w:sz w:val="24"/>
          <w:szCs w:val="24"/>
        </w:rPr>
        <w:t xml:space="preserve">, P. S., Mateo, M.-N. M.-A., Serrano, O., &amp; </w:t>
      </w:r>
      <w:proofErr w:type="spellStart"/>
      <w:r w:rsidRPr="00C1140C">
        <w:rPr>
          <w:rFonts w:ascii="Cambria" w:hAnsi="Cambria"/>
          <w:sz w:val="24"/>
          <w:szCs w:val="24"/>
        </w:rPr>
        <w:t>Rozaimi</w:t>
      </w:r>
      <w:proofErr w:type="spellEnd"/>
      <w:r w:rsidRPr="00C1140C">
        <w:rPr>
          <w:rFonts w:ascii="Cambria" w:hAnsi="Cambria"/>
          <w:sz w:val="24"/>
          <w:szCs w:val="24"/>
        </w:rPr>
        <w:t xml:space="preserve">, M. (2013). Variability in the Carbon Storage of Seagrass Habitats and Its Implications for Global Estimates of Blue Carbon Ecosystem Service. </w:t>
      </w:r>
      <w:r w:rsidRPr="00C1140C">
        <w:rPr>
          <w:rFonts w:ascii="Cambria" w:hAnsi="Cambria"/>
          <w:i/>
          <w:sz w:val="24"/>
          <w:szCs w:val="24"/>
        </w:rPr>
        <w:t>PLOS ONE</w:t>
      </w:r>
      <w:r w:rsidRPr="00C1140C">
        <w:rPr>
          <w:rFonts w:ascii="Cambria" w:hAnsi="Cambria"/>
          <w:sz w:val="24"/>
          <w:szCs w:val="24"/>
        </w:rPr>
        <w:t xml:space="preserve">, 8(9). </w:t>
      </w:r>
    </w:p>
    <w:p w14:paraId="6535DB65"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Lavery</w:t>
      </w:r>
      <w:proofErr w:type="spellEnd"/>
      <w:r w:rsidRPr="00C1140C">
        <w:rPr>
          <w:rFonts w:ascii="Cambria" w:hAnsi="Cambria"/>
          <w:sz w:val="24"/>
          <w:szCs w:val="24"/>
        </w:rPr>
        <w:t xml:space="preserve">, P. S., Mateo, M.-N. M.-A., Serrano, O., &amp; </w:t>
      </w:r>
      <w:proofErr w:type="spellStart"/>
      <w:r w:rsidRPr="00C1140C">
        <w:rPr>
          <w:rFonts w:ascii="Cambria" w:hAnsi="Cambria"/>
          <w:sz w:val="24"/>
          <w:szCs w:val="24"/>
        </w:rPr>
        <w:t>Rozaimi</w:t>
      </w:r>
      <w:proofErr w:type="spellEnd"/>
      <w:r w:rsidRPr="00C1140C">
        <w:rPr>
          <w:rFonts w:ascii="Cambria" w:hAnsi="Cambria"/>
          <w:sz w:val="24"/>
          <w:szCs w:val="24"/>
        </w:rPr>
        <w:t xml:space="preserve">, M. (2013). Variability in the Carbon Storage of Seagrass Habitats and Its Implications for Global Estimates of Blue Carbon Ecosystem Service. </w:t>
      </w:r>
      <w:r w:rsidRPr="00C1140C">
        <w:rPr>
          <w:rFonts w:ascii="Cambria" w:hAnsi="Cambria"/>
          <w:i/>
          <w:sz w:val="24"/>
          <w:szCs w:val="24"/>
        </w:rPr>
        <w:t>PLOS ONE</w:t>
      </w:r>
      <w:r w:rsidRPr="00C1140C">
        <w:rPr>
          <w:rFonts w:ascii="Cambria" w:hAnsi="Cambria"/>
          <w:sz w:val="24"/>
          <w:szCs w:val="24"/>
        </w:rPr>
        <w:t xml:space="preserve">, 8(9). </w:t>
      </w:r>
    </w:p>
    <w:p w14:paraId="5E2EA262"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MacDonald, D. H., </w:t>
      </w:r>
      <w:proofErr w:type="spellStart"/>
      <w:r w:rsidRPr="00C1140C">
        <w:rPr>
          <w:rFonts w:ascii="Cambria" w:hAnsi="Cambria"/>
          <w:sz w:val="24"/>
          <w:szCs w:val="24"/>
        </w:rPr>
        <w:t>Ardeshiri</w:t>
      </w:r>
      <w:proofErr w:type="spellEnd"/>
      <w:r w:rsidRPr="00C1140C">
        <w:rPr>
          <w:rFonts w:ascii="Cambria" w:hAnsi="Cambria"/>
          <w:sz w:val="24"/>
          <w:szCs w:val="24"/>
        </w:rPr>
        <w:t xml:space="preserve">, A., Rose, J. M., Russell, B. D., &amp; Connell, S. D. (2015). Valuing coastal water quality: Adelaide, South Australia metropolitan area. </w:t>
      </w:r>
      <w:r w:rsidRPr="00C1140C">
        <w:rPr>
          <w:rFonts w:ascii="Cambria" w:hAnsi="Cambria"/>
          <w:i/>
          <w:sz w:val="24"/>
          <w:szCs w:val="24"/>
        </w:rPr>
        <w:t>Marine Policy</w:t>
      </w:r>
      <w:r w:rsidRPr="00C1140C">
        <w:rPr>
          <w:rFonts w:ascii="Cambria" w:hAnsi="Cambria"/>
          <w:sz w:val="24"/>
          <w:szCs w:val="24"/>
        </w:rPr>
        <w:t xml:space="preserve">, 52, 116–124. </w:t>
      </w:r>
    </w:p>
    <w:p w14:paraId="3E186AA2"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Malik, A., </w:t>
      </w:r>
      <w:proofErr w:type="spellStart"/>
      <w:r w:rsidRPr="00C1140C">
        <w:rPr>
          <w:rFonts w:ascii="Cambria" w:hAnsi="Cambria"/>
          <w:sz w:val="24"/>
          <w:szCs w:val="24"/>
        </w:rPr>
        <w:t>Fensholt</w:t>
      </w:r>
      <w:proofErr w:type="spellEnd"/>
      <w:r w:rsidRPr="00C1140C">
        <w:rPr>
          <w:rFonts w:ascii="Cambria" w:hAnsi="Cambria"/>
          <w:sz w:val="24"/>
          <w:szCs w:val="24"/>
        </w:rPr>
        <w:t xml:space="preserve">, R., &amp; Mertz, O. (2015). Economic Valuation of Mangroves for Comparison with Commercial Aquaculture in South Sulawesi, Indonesia. </w:t>
      </w:r>
      <w:r w:rsidRPr="00C1140C">
        <w:rPr>
          <w:rFonts w:ascii="Cambria" w:hAnsi="Cambria"/>
          <w:i/>
          <w:sz w:val="24"/>
          <w:szCs w:val="24"/>
        </w:rPr>
        <w:t>Forests</w:t>
      </w:r>
      <w:r w:rsidRPr="00C1140C">
        <w:rPr>
          <w:rFonts w:ascii="Cambria" w:hAnsi="Cambria"/>
          <w:sz w:val="24"/>
          <w:szCs w:val="24"/>
        </w:rPr>
        <w:t xml:space="preserve">, 6(9), 3028–3044. </w:t>
      </w:r>
    </w:p>
    <w:p w14:paraId="49BFAB4F"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Mashayekhi</w:t>
      </w:r>
      <w:proofErr w:type="spellEnd"/>
      <w:r w:rsidRPr="00C1140C">
        <w:rPr>
          <w:rFonts w:ascii="Cambria" w:hAnsi="Cambria"/>
          <w:sz w:val="24"/>
          <w:szCs w:val="24"/>
        </w:rPr>
        <w:t xml:space="preserve">, Z., </w:t>
      </w:r>
      <w:proofErr w:type="spellStart"/>
      <w:r w:rsidRPr="00C1140C">
        <w:rPr>
          <w:rFonts w:ascii="Cambria" w:hAnsi="Cambria"/>
          <w:sz w:val="24"/>
          <w:szCs w:val="24"/>
        </w:rPr>
        <w:t>Danehkar</w:t>
      </w:r>
      <w:proofErr w:type="spellEnd"/>
      <w:r w:rsidRPr="00C1140C">
        <w:rPr>
          <w:rFonts w:ascii="Cambria" w:hAnsi="Cambria"/>
          <w:sz w:val="24"/>
          <w:szCs w:val="24"/>
        </w:rPr>
        <w:t xml:space="preserve">, A., </w:t>
      </w:r>
      <w:proofErr w:type="spellStart"/>
      <w:r w:rsidRPr="00C1140C">
        <w:rPr>
          <w:rFonts w:ascii="Cambria" w:hAnsi="Cambria"/>
          <w:sz w:val="24"/>
          <w:szCs w:val="24"/>
        </w:rPr>
        <w:t>Sharzehi</w:t>
      </w:r>
      <w:proofErr w:type="spellEnd"/>
      <w:r w:rsidRPr="00C1140C">
        <w:rPr>
          <w:rFonts w:ascii="Cambria" w:hAnsi="Cambria"/>
          <w:sz w:val="24"/>
          <w:szCs w:val="24"/>
        </w:rPr>
        <w:t xml:space="preserve">, G. A., &amp; </w:t>
      </w:r>
      <w:proofErr w:type="spellStart"/>
      <w:r w:rsidRPr="00C1140C">
        <w:rPr>
          <w:rFonts w:ascii="Cambria" w:hAnsi="Cambria"/>
          <w:sz w:val="24"/>
          <w:szCs w:val="24"/>
        </w:rPr>
        <w:t>Majed</w:t>
      </w:r>
      <w:proofErr w:type="spellEnd"/>
      <w:r w:rsidRPr="00C1140C">
        <w:rPr>
          <w:rFonts w:ascii="Cambria" w:hAnsi="Cambria"/>
          <w:sz w:val="24"/>
          <w:szCs w:val="24"/>
        </w:rPr>
        <w:t>, V. (2016). Coastal Communities WTA Compensation for conservation of mangrove forests: a choice experiment approach. Knowledge and Management of Aquatic Ecosystems 417</w:t>
      </w:r>
      <w:proofErr w:type="gramStart"/>
      <w:r w:rsidRPr="00C1140C">
        <w:rPr>
          <w:rFonts w:ascii="Cambria" w:hAnsi="Cambria"/>
          <w:sz w:val="24"/>
          <w:szCs w:val="24"/>
        </w:rPr>
        <w:t>,20</w:t>
      </w:r>
      <w:proofErr w:type="gramEnd"/>
      <w:r w:rsidRPr="00C1140C">
        <w:rPr>
          <w:rFonts w:ascii="Cambria" w:hAnsi="Cambria"/>
          <w:sz w:val="24"/>
          <w:szCs w:val="24"/>
        </w:rPr>
        <w:t>.</w:t>
      </w:r>
    </w:p>
    <w:p w14:paraId="591BC319"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Mendoza-González, G., </w:t>
      </w:r>
      <w:proofErr w:type="spellStart"/>
      <w:r w:rsidRPr="00C1140C">
        <w:rPr>
          <w:rFonts w:ascii="Cambria" w:hAnsi="Cambria"/>
          <w:sz w:val="24"/>
          <w:szCs w:val="24"/>
        </w:rPr>
        <w:t>Martínez</w:t>
      </w:r>
      <w:proofErr w:type="spellEnd"/>
      <w:r w:rsidRPr="00C1140C">
        <w:rPr>
          <w:rFonts w:ascii="Cambria" w:hAnsi="Cambria"/>
          <w:sz w:val="24"/>
          <w:szCs w:val="24"/>
        </w:rPr>
        <w:t>, M.L., Lithgow, D., Pérez-</w:t>
      </w:r>
      <w:proofErr w:type="spellStart"/>
      <w:r w:rsidRPr="00C1140C">
        <w:rPr>
          <w:rFonts w:ascii="Cambria" w:hAnsi="Cambria"/>
          <w:sz w:val="24"/>
          <w:szCs w:val="24"/>
        </w:rPr>
        <w:t>Maqueo</w:t>
      </w:r>
      <w:proofErr w:type="spellEnd"/>
      <w:r w:rsidRPr="00C1140C">
        <w:rPr>
          <w:rFonts w:ascii="Cambria" w:hAnsi="Cambria"/>
          <w:sz w:val="24"/>
          <w:szCs w:val="24"/>
        </w:rPr>
        <w:t xml:space="preserve">, O. and </w:t>
      </w:r>
      <w:proofErr w:type="spellStart"/>
      <w:r w:rsidRPr="00C1140C">
        <w:rPr>
          <w:rFonts w:ascii="Cambria" w:hAnsi="Cambria"/>
          <w:sz w:val="24"/>
          <w:szCs w:val="24"/>
        </w:rPr>
        <w:t>Simonin</w:t>
      </w:r>
      <w:proofErr w:type="spellEnd"/>
      <w:r w:rsidRPr="00C1140C">
        <w:rPr>
          <w:rFonts w:ascii="Cambria" w:hAnsi="Cambria"/>
          <w:sz w:val="24"/>
          <w:szCs w:val="24"/>
        </w:rPr>
        <w:t xml:space="preserve">, P. (2012). Land use change and its effects on the value of ecosystem services along the coast of the Gulf of Mexico. </w:t>
      </w:r>
      <w:r w:rsidRPr="00C1140C">
        <w:rPr>
          <w:rFonts w:ascii="Cambria" w:hAnsi="Cambria"/>
          <w:i/>
          <w:sz w:val="24"/>
          <w:szCs w:val="24"/>
        </w:rPr>
        <w:t>Ecological Economics</w:t>
      </w:r>
      <w:r w:rsidRPr="00C1140C">
        <w:rPr>
          <w:rFonts w:ascii="Cambria" w:hAnsi="Cambria"/>
          <w:sz w:val="24"/>
          <w:szCs w:val="24"/>
        </w:rPr>
        <w:t>, 82, pp.23-32.</w:t>
      </w:r>
    </w:p>
    <w:p w14:paraId="19188847"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Minello</w:t>
      </w:r>
      <w:proofErr w:type="spellEnd"/>
      <w:r w:rsidRPr="00C1140C">
        <w:rPr>
          <w:rFonts w:ascii="Cambria" w:hAnsi="Cambria"/>
          <w:sz w:val="24"/>
          <w:szCs w:val="24"/>
        </w:rPr>
        <w:t xml:space="preserve">, T. J., </w:t>
      </w:r>
      <w:proofErr w:type="spellStart"/>
      <w:r w:rsidRPr="00C1140C">
        <w:rPr>
          <w:rFonts w:ascii="Cambria" w:hAnsi="Cambria"/>
          <w:sz w:val="24"/>
          <w:szCs w:val="24"/>
        </w:rPr>
        <w:t>Rozas</w:t>
      </w:r>
      <w:proofErr w:type="spellEnd"/>
      <w:r w:rsidRPr="00C1140C">
        <w:rPr>
          <w:rFonts w:ascii="Cambria" w:hAnsi="Cambria"/>
          <w:sz w:val="24"/>
          <w:szCs w:val="24"/>
        </w:rPr>
        <w:t xml:space="preserve">, L. P., Caldwell, P. A., &amp; </w:t>
      </w:r>
      <w:proofErr w:type="spellStart"/>
      <w:r w:rsidRPr="00C1140C">
        <w:rPr>
          <w:rFonts w:ascii="Cambria" w:hAnsi="Cambria"/>
          <w:sz w:val="24"/>
          <w:szCs w:val="24"/>
        </w:rPr>
        <w:t>Liese</w:t>
      </w:r>
      <w:proofErr w:type="spellEnd"/>
      <w:r w:rsidRPr="00C1140C">
        <w:rPr>
          <w:rFonts w:ascii="Cambria" w:hAnsi="Cambria"/>
          <w:sz w:val="24"/>
          <w:szCs w:val="24"/>
        </w:rPr>
        <w:t xml:space="preserve">, C. (2012). A comparison of salt marsh construction costs with the value of exported shrimp production. </w:t>
      </w:r>
      <w:r w:rsidRPr="00C1140C">
        <w:rPr>
          <w:rFonts w:ascii="Cambria" w:hAnsi="Cambria"/>
          <w:i/>
          <w:sz w:val="24"/>
          <w:szCs w:val="24"/>
        </w:rPr>
        <w:t>Wetlands</w:t>
      </w:r>
      <w:r w:rsidRPr="00C1140C">
        <w:rPr>
          <w:rFonts w:ascii="Cambria" w:hAnsi="Cambria"/>
          <w:sz w:val="24"/>
          <w:szCs w:val="24"/>
        </w:rPr>
        <w:t xml:space="preserve">, 32(5), 791–799. </w:t>
      </w:r>
    </w:p>
    <w:p w14:paraId="5D30B860"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lastRenderedPageBreak/>
        <w:t>Mojiol</w:t>
      </w:r>
      <w:proofErr w:type="spellEnd"/>
      <w:r w:rsidRPr="00C1140C">
        <w:rPr>
          <w:rFonts w:ascii="Cambria" w:hAnsi="Cambria"/>
          <w:sz w:val="24"/>
          <w:szCs w:val="24"/>
        </w:rPr>
        <w:t xml:space="preserve">, A. R., </w:t>
      </w:r>
      <w:proofErr w:type="spellStart"/>
      <w:r w:rsidRPr="00C1140C">
        <w:rPr>
          <w:rFonts w:ascii="Cambria" w:hAnsi="Cambria"/>
          <w:sz w:val="24"/>
          <w:szCs w:val="24"/>
        </w:rPr>
        <w:t>Guntabid</w:t>
      </w:r>
      <w:proofErr w:type="spellEnd"/>
      <w:r w:rsidRPr="00C1140C">
        <w:rPr>
          <w:rFonts w:ascii="Cambria" w:hAnsi="Cambria"/>
          <w:sz w:val="24"/>
          <w:szCs w:val="24"/>
        </w:rPr>
        <w:t xml:space="preserve">, J., </w:t>
      </w:r>
      <w:proofErr w:type="spellStart"/>
      <w:r w:rsidRPr="00C1140C">
        <w:rPr>
          <w:rFonts w:ascii="Cambria" w:hAnsi="Cambria"/>
          <w:sz w:val="24"/>
          <w:szCs w:val="24"/>
        </w:rPr>
        <w:t>Lintangah</w:t>
      </w:r>
      <w:proofErr w:type="spellEnd"/>
      <w:r w:rsidRPr="00C1140C">
        <w:rPr>
          <w:rFonts w:ascii="Cambria" w:hAnsi="Cambria"/>
          <w:sz w:val="24"/>
          <w:szCs w:val="24"/>
        </w:rPr>
        <w:t xml:space="preserve">, W., </w:t>
      </w:r>
      <w:proofErr w:type="spellStart"/>
      <w:r w:rsidRPr="00C1140C">
        <w:rPr>
          <w:rFonts w:ascii="Cambria" w:hAnsi="Cambria"/>
          <w:sz w:val="24"/>
          <w:szCs w:val="24"/>
        </w:rPr>
        <w:t>Ismenyah</w:t>
      </w:r>
      <w:proofErr w:type="spellEnd"/>
      <w:r w:rsidRPr="00C1140C">
        <w:rPr>
          <w:rFonts w:ascii="Cambria" w:hAnsi="Cambria"/>
          <w:sz w:val="24"/>
          <w:szCs w:val="24"/>
        </w:rPr>
        <w:t xml:space="preserve">, M., </w:t>
      </w:r>
      <w:proofErr w:type="spellStart"/>
      <w:r w:rsidRPr="00C1140C">
        <w:rPr>
          <w:rFonts w:ascii="Cambria" w:hAnsi="Cambria"/>
          <w:sz w:val="24"/>
          <w:szCs w:val="24"/>
        </w:rPr>
        <w:t>Kodoh</w:t>
      </w:r>
      <w:proofErr w:type="spellEnd"/>
      <w:r w:rsidRPr="00C1140C">
        <w:rPr>
          <w:rFonts w:ascii="Cambria" w:hAnsi="Cambria"/>
          <w:sz w:val="24"/>
          <w:szCs w:val="24"/>
        </w:rPr>
        <w:t xml:space="preserve">, J., Chiang, L. K., &amp; </w:t>
      </w:r>
      <w:proofErr w:type="spellStart"/>
      <w:r w:rsidRPr="00C1140C">
        <w:rPr>
          <w:rFonts w:ascii="Cambria" w:hAnsi="Cambria"/>
          <w:sz w:val="24"/>
          <w:szCs w:val="24"/>
        </w:rPr>
        <w:t>Sompud</w:t>
      </w:r>
      <w:proofErr w:type="spellEnd"/>
      <w:r w:rsidRPr="00C1140C">
        <w:rPr>
          <w:rFonts w:ascii="Cambria" w:hAnsi="Cambria"/>
          <w:sz w:val="24"/>
          <w:szCs w:val="24"/>
        </w:rPr>
        <w:t xml:space="preserve">, J. (2016). Contribution of Mangrove Forest and Socio-Economic Development of Local Communities in </w:t>
      </w:r>
      <w:proofErr w:type="spellStart"/>
      <w:r w:rsidRPr="00C1140C">
        <w:rPr>
          <w:rFonts w:ascii="Cambria" w:hAnsi="Cambria"/>
          <w:sz w:val="24"/>
          <w:szCs w:val="24"/>
        </w:rPr>
        <w:t>Kudat</w:t>
      </w:r>
      <w:proofErr w:type="spellEnd"/>
      <w:r w:rsidRPr="00C1140C">
        <w:rPr>
          <w:rFonts w:ascii="Cambria" w:hAnsi="Cambria"/>
          <w:sz w:val="24"/>
          <w:szCs w:val="24"/>
        </w:rPr>
        <w:t xml:space="preserve"> District, Sabah Malaysia. </w:t>
      </w:r>
      <w:r w:rsidRPr="00C1140C">
        <w:rPr>
          <w:rFonts w:ascii="Cambria" w:hAnsi="Cambria"/>
          <w:i/>
          <w:sz w:val="24"/>
          <w:szCs w:val="24"/>
        </w:rPr>
        <w:t>International Journal of Agriculture, Forestry and Plantation</w:t>
      </w:r>
      <w:r w:rsidRPr="00C1140C">
        <w:rPr>
          <w:rFonts w:ascii="Cambria" w:hAnsi="Cambria"/>
          <w:sz w:val="24"/>
          <w:szCs w:val="24"/>
        </w:rPr>
        <w:t>, 2(2), 122–129.</w:t>
      </w:r>
    </w:p>
    <w:p w14:paraId="311E17A3"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Mubarak Bin </w:t>
      </w:r>
      <w:proofErr w:type="spellStart"/>
      <w:r w:rsidRPr="00C1140C">
        <w:rPr>
          <w:rFonts w:ascii="Cambria" w:hAnsi="Cambria"/>
          <w:sz w:val="24"/>
          <w:szCs w:val="24"/>
        </w:rPr>
        <w:t>Daina</w:t>
      </w:r>
      <w:proofErr w:type="spellEnd"/>
      <w:r w:rsidRPr="00C1140C">
        <w:rPr>
          <w:rFonts w:ascii="Cambria" w:hAnsi="Cambria"/>
          <w:sz w:val="24"/>
          <w:szCs w:val="24"/>
        </w:rPr>
        <w:t xml:space="preserve">, M., </w:t>
      </w:r>
      <w:proofErr w:type="spellStart"/>
      <w:r w:rsidRPr="00C1140C">
        <w:rPr>
          <w:rFonts w:ascii="Cambria" w:hAnsi="Cambria"/>
          <w:sz w:val="24"/>
          <w:szCs w:val="24"/>
        </w:rPr>
        <w:t>Khamis</w:t>
      </w:r>
      <w:proofErr w:type="spellEnd"/>
      <w:r w:rsidRPr="00C1140C">
        <w:rPr>
          <w:rFonts w:ascii="Cambria" w:hAnsi="Cambria"/>
          <w:sz w:val="24"/>
          <w:szCs w:val="24"/>
        </w:rPr>
        <w:t xml:space="preserve">, A., </w:t>
      </w:r>
      <w:proofErr w:type="spellStart"/>
      <w:r w:rsidRPr="00C1140C">
        <w:rPr>
          <w:rFonts w:ascii="Cambria" w:hAnsi="Cambria"/>
          <w:sz w:val="24"/>
          <w:szCs w:val="24"/>
        </w:rPr>
        <w:t>Alqassim</w:t>
      </w:r>
      <w:proofErr w:type="spellEnd"/>
      <w:r w:rsidRPr="00C1140C">
        <w:rPr>
          <w:rFonts w:ascii="Cambria" w:hAnsi="Cambria"/>
          <w:sz w:val="24"/>
          <w:szCs w:val="24"/>
        </w:rPr>
        <w:t xml:space="preserve"> </w:t>
      </w:r>
      <w:proofErr w:type="spellStart"/>
      <w:r w:rsidRPr="00C1140C">
        <w:rPr>
          <w:rFonts w:ascii="Cambria" w:hAnsi="Cambria"/>
          <w:sz w:val="24"/>
          <w:szCs w:val="24"/>
        </w:rPr>
        <w:t>Abdulrazzaq</w:t>
      </w:r>
      <w:proofErr w:type="spellEnd"/>
      <w:r w:rsidRPr="00C1140C">
        <w:rPr>
          <w:rFonts w:ascii="Cambria" w:hAnsi="Cambria"/>
          <w:sz w:val="24"/>
          <w:szCs w:val="24"/>
        </w:rPr>
        <w:t xml:space="preserve">, M., </w:t>
      </w:r>
      <w:proofErr w:type="spellStart"/>
      <w:r w:rsidRPr="00C1140C">
        <w:rPr>
          <w:rFonts w:ascii="Cambria" w:hAnsi="Cambria"/>
          <w:sz w:val="24"/>
          <w:szCs w:val="24"/>
        </w:rPr>
        <w:t>Sattout</w:t>
      </w:r>
      <w:proofErr w:type="spellEnd"/>
      <w:r w:rsidRPr="00C1140C">
        <w:rPr>
          <w:rFonts w:ascii="Cambria" w:hAnsi="Cambria"/>
          <w:sz w:val="24"/>
          <w:szCs w:val="24"/>
        </w:rPr>
        <w:t xml:space="preserve">, E., </w:t>
      </w:r>
      <w:proofErr w:type="spellStart"/>
      <w:r w:rsidRPr="00C1140C">
        <w:rPr>
          <w:rFonts w:ascii="Cambria" w:hAnsi="Cambria"/>
          <w:sz w:val="24"/>
          <w:szCs w:val="24"/>
        </w:rPr>
        <w:t>Alkhuzai</w:t>
      </w:r>
      <w:proofErr w:type="spellEnd"/>
      <w:r w:rsidRPr="00C1140C">
        <w:rPr>
          <w:rFonts w:ascii="Cambria" w:hAnsi="Cambria"/>
          <w:sz w:val="24"/>
          <w:szCs w:val="24"/>
        </w:rPr>
        <w:t xml:space="preserve">, J., </w:t>
      </w:r>
      <w:proofErr w:type="spellStart"/>
      <w:r w:rsidRPr="00C1140C">
        <w:rPr>
          <w:rFonts w:ascii="Cambria" w:hAnsi="Cambria"/>
          <w:sz w:val="24"/>
          <w:szCs w:val="24"/>
        </w:rPr>
        <w:t>Alhusseini</w:t>
      </w:r>
      <w:proofErr w:type="spellEnd"/>
      <w:r w:rsidRPr="00C1140C">
        <w:rPr>
          <w:rFonts w:ascii="Cambria" w:hAnsi="Cambria"/>
          <w:sz w:val="24"/>
          <w:szCs w:val="24"/>
        </w:rPr>
        <w:t>, M. T., &amp; Husain, E. (2015). An Assessment and Mapping of the Potential Values of Ecosystem Services in the Kingdom of Bahrain (Project report for the UNEP and GEF project “</w:t>
      </w:r>
      <w:r w:rsidRPr="00C1140C">
        <w:rPr>
          <w:rFonts w:ascii="Cambria" w:hAnsi="Cambria"/>
          <w:i/>
          <w:sz w:val="24"/>
          <w:szCs w:val="24"/>
        </w:rPr>
        <w:t>Updating the National Biodiversity Strategy and Action Plan of the Kingdom of Bahrain</w:t>
      </w:r>
      <w:r w:rsidRPr="00C1140C">
        <w:rPr>
          <w:rFonts w:ascii="Cambria" w:hAnsi="Cambria"/>
          <w:sz w:val="24"/>
          <w:szCs w:val="24"/>
        </w:rPr>
        <w:t xml:space="preserve">”). Retrieved June 20, 2017 from http://www.biodiv.be/bahrain/implementation/bahrain-nbsap/bahrain-nbsap-2015/assessment-and-mapping-potential-value-ecosystem-services-kingdom-bahrain-dr/download/en/1/An Assessment and Mapping of </w:t>
      </w:r>
      <w:proofErr w:type="spellStart"/>
      <w:r w:rsidRPr="00C1140C">
        <w:rPr>
          <w:rFonts w:ascii="Cambria" w:hAnsi="Cambria"/>
          <w:sz w:val="24"/>
          <w:szCs w:val="24"/>
        </w:rPr>
        <w:t>Potenital</w:t>
      </w:r>
      <w:proofErr w:type="spellEnd"/>
      <w:r w:rsidRPr="00C1140C">
        <w:rPr>
          <w:rFonts w:ascii="Cambria" w:hAnsi="Cambria"/>
          <w:sz w:val="24"/>
          <w:szCs w:val="24"/>
        </w:rPr>
        <w:t xml:space="preserve"> Values of Ecosystem Services in Bahrain Final_v6_Abdulla_20151125 (Received 201215).pdf</w:t>
      </w:r>
    </w:p>
    <w:p w14:paraId="6A7D9D1B"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O’Garra</w:t>
      </w:r>
      <w:proofErr w:type="spellEnd"/>
      <w:r w:rsidRPr="00C1140C">
        <w:rPr>
          <w:rFonts w:ascii="Cambria" w:hAnsi="Cambria"/>
          <w:sz w:val="24"/>
          <w:szCs w:val="24"/>
        </w:rPr>
        <w:t xml:space="preserve">, T. (2012). Economic valuation of a traditional fishing ground on the coral coast in Fiji. </w:t>
      </w:r>
      <w:r w:rsidRPr="00C1140C">
        <w:rPr>
          <w:rFonts w:ascii="Cambria" w:hAnsi="Cambria"/>
          <w:i/>
          <w:sz w:val="24"/>
          <w:szCs w:val="24"/>
        </w:rPr>
        <w:t>Ocean &amp; Coastal Management</w:t>
      </w:r>
      <w:r w:rsidRPr="00C1140C">
        <w:rPr>
          <w:rFonts w:ascii="Cambria" w:hAnsi="Cambria"/>
          <w:sz w:val="24"/>
          <w:szCs w:val="24"/>
        </w:rPr>
        <w:t xml:space="preserve">, 56, 44–55. </w:t>
      </w:r>
    </w:p>
    <w:p w14:paraId="70010D4A"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O’Higgins, Timothy G.; Ferraro, Steven P.; </w:t>
      </w:r>
      <w:proofErr w:type="spellStart"/>
      <w:r w:rsidRPr="00C1140C">
        <w:rPr>
          <w:rFonts w:ascii="Cambria" w:hAnsi="Cambria"/>
          <w:sz w:val="24"/>
          <w:szCs w:val="24"/>
        </w:rPr>
        <w:t>Dantin</w:t>
      </w:r>
      <w:proofErr w:type="spellEnd"/>
      <w:r w:rsidRPr="00C1140C">
        <w:rPr>
          <w:rFonts w:ascii="Cambria" w:hAnsi="Cambria"/>
          <w:sz w:val="24"/>
          <w:szCs w:val="24"/>
        </w:rPr>
        <w:t xml:space="preserve">, Darrin D.; Jordan, Stephen J.; </w:t>
      </w:r>
      <w:proofErr w:type="spellStart"/>
      <w:r w:rsidRPr="00C1140C">
        <w:rPr>
          <w:rFonts w:ascii="Cambria" w:hAnsi="Cambria"/>
          <w:sz w:val="24"/>
          <w:szCs w:val="24"/>
        </w:rPr>
        <w:t>Chintala</w:t>
      </w:r>
      <w:proofErr w:type="spellEnd"/>
      <w:r w:rsidRPr="00C1140C">
        <w:rPr>
          <w:rFonts w:ascii="Cambria" w:hAnsi="Cambria"/>
          <w:sz w:val="24"/>
          <w:szCs w:val="24"/>
        </w:rPr>
        <w:t xml:space="preserve">, M. M. (2010). Habitat Scale Mapping of Fisheries Ecosystem Service Values in Estuaries. </w:t>
      </w:r>
      <w:r w:rsidRPr="00C1140C">
        <w:rPr>
          <w:rFonts w:ascii="Cambria" w:hAnsi="Cambria"/>
          <w:i/>
          <w:sz w:val="24"/>
          <w:szCs w:val="24"/>
        </w:rPr>
        <w:t>Ecology and Society</w:t>
      </w:r>
      <w:r w:rsidRPr="00C1140C">
        <w:rPr>
          <w:rFonts w:ascii="Cambria" w:hAnsi="Cambria"/>
          <w:sz w:val="24"/>
          <w:szCs w:val="24"/>
        </w:rPr>
        <w:t xml:space="preserve">, 15. </w:t>
      </w:r>
    </w:p>
    <w:p w14:paraId="7367D314"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Oleson</w:t>
      </w:r>
      <w:proofErr w:type="spellEnd"/>
      <w:r w:rsidRPr="00C1140C">
        <w:rPr>
          <w:rFonts w:ascii="Cambria" w:hAnsi="Cambria"/>
          <w:sz w:val="24"/>
          <w:szCs w:val="24"/>
        </w:rPr>
        <w:t xml:space="preserve">, K. L. L., Barnes, M., Brander, L. M., Oliver, T. A., van </w:t>
      </w:r>
      <w:proofErr w:type="spellStart"/>
      <w:r w:rsidRPr="00C1140C">
        <w:rPr>
          <w:rFonts w:ascii="Cambria" w:hAnsi="Cambria"/>
          <w:sz w:val="24"/>
          <w:szCs w:val="24"/>
        </w:rPr>
        <w:t>Beek</w:t>
      </w:r>
      <w:proofErr w:type="spellEnd"/>
      <w:r w:rsidRPr="00C1140C">
        <w:rPr>
          <w:rFonts w:ascii="Cambria" w:hAnsi="Cambria"/>
          <w:sz w:val="24"/>
          <w:szCs w:val="24"/>
        </w:rPr>
        <w:t xml:space="preserve">, I., </w:t>
      </w:r>
      <w:proofErr w:type="spellStart"/>
      <w:r w:rsidRPr="00C1140C">
        <w:rPr>
          <w:rFonts w:ascii="Cambria" w:hAnsi="Cambria"/>
          <w:sz w:val="24"/>
          <w:szCs w:val="24"/>
        </w:rPr>
        <w:t>Zafindrasilivonona</w:t>
      </w:r>
      <w:proofErr w:type="spellEnd"/>
      <w:r w:rsidRPr="00C1140C">
        <w:rPr>
          <w:rFonts w:ascii="Cambria" w:hAnsi="Cambria"/>
          <w:sz w:val="24"/>
          <w:szCs w:val="24"/>
        </w:rPr>
        <w:t xml:space="preserve">, B., &amp; van </w:t>
      </w:r>
      <w:proofErr w:type="spellStart"/>
      <w:r w:rsidRPr="00C1140C">
        <w:rPr>
          <w:rFonts w:ascii="Cambria" w:hAnsi="Cambria"/>
          <w:sz w:val="24"/>
          <w:szCs w:val="24"/>
        </w:rPr>
        <w:t>Beukering</w:t>
      </w:r>
      <w:proofErr w:type="spellEnd"/>
      <w:r w:rsidRPr="00C1140C">
        <w:rPr>
          <w:rFonts w:ascii="Cambria" w:hAnsi="Cambria"/>
          <w:sz w:val="24"/>
          <w:szCs w:val="24"/>
        </w:rPr>
        <w:t xml:space="preserve">, P. (2015). Cultural bequest values for ecosystem service flows among indigenous fishers: A discrete choice experiment validated with mixed methods. </w:t>
      </w:r>
      <w:r w:rsidRPr="00C1140C">
        <w:rPr>
          <w:rFonts w:ascii="Cambria" w:hAnsi="Cambria"/>
          <w:i/>
          <w:sz w:val="24"/>
          <w:szCs w:val="24"/>
        </w:rPr>
        <w:t>Ecological Economics</w:t>
      </w:r>
      <w:r w:rsidRPr="00C1140C">
        <w:rPr>
          <w:rFonts w:ascii="Cambria" w:hAnsi="Cambria"/>
          <w:sz w:val="24"/>
          <w:szCs w:val="24"/>
        </w:rPr>
        <w:t>, 114, 104–116.</w:t>
      </w:r>
    </w:p>
    <w:p w14:paraId="7119A890"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Otieno</w:t>
      </w:r>
      <w:proofErr w:type="spellEnd"/>
      <w:r w:rsidRPr="00C1140C">
        <w:rPr>
          <w:rFonts w:ascii="Cambria" w:hAnsi="Cambria"/>
          <w:sz w:val="24"/>
          <w:szCs w:val="24"/>
        </w:rPr>
        <w:t xml:space="preserve">, P. (2015). Linking economic values of mangrove ecosystems with the governing institutional framework for sustainable management of the Tana Delta, Kenya. Ph.D. dissertation, Advanced Studies in Environmental Law and Policy (CASELAP), University of Nairobi. Retrieved June 20, 2017 from http://erepository.uonbi.ac.ke/bitstream/handle/11295/93545/Otieno_linking economic values of mangrove </w:t>
      </w:r>
      <w:proofErr w:type="spellStart"/>
      <w:r w:rsidRPr="00C1140C">
        <w:rPr>
          <w:rFonts w:ascii="Cambria" w:hAnsi="Cambria"/>
          <w:sz w:val="24"/>
          <w:szCs w:val="24"/>
        </w:rPr>
        <w:t>ecosystems.pdf</w:t>
      </w:r>
      <w:proofErr w:type="gramStart"/>
      <w:r w:rsidRPr="00C1140C">
        <w:rPr>
          <w:rFonts w:ascii="Cambria" w:hAnsi="Cambria"/>
          <w:sz w:val="24"/>
          <w:szCs w:val="24"/>
        </w:rPr>
        <w:t>?sequence</w:t>
      </w:r>
      <w:proofErr w:type="spellEnd"/>
      <w:proofErr w:type="gramEnd"/>
      <w:r w:rsidRPr="00C1140C">
        <w:rPr>
          <w:rFonts w:ascii="Cambria" w:hAnsi="Cambria"/>
          <w:sz w:val="24"/>
          <w:szCs w:val="24"/>
        </w:rPr>
        <w:t>=3&amp;isAllowed=y</w:t>
      </w:r>
    </w:p>
    <w:p w14:paraId="006497B9"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Padilla, J. (2008). Chapter 5: Coastal and Marine Resources. In W. Bank (Ed.), </w:t>
      </w:r>
      <w:r w:rsidRPr="00C1140C">
        <w:rPr>
          <w:rFonts w:ascii="Cambria" w:hAnsi="Cambria"/>
          <w:i/>
          <w:sz w:val="24"/>
          <w:szCs w:val="24"/>
        </w:rPr>
        <w:t>The Philippines: Country Environmental Analysis</w:t>
      </w:r>
      <w:r w:rsidRPr="00C1140C">
        <w:rPr>
          <w:rFonts w:ascii="Cambria" w:hAnsi="Cambria"/>
          <w:sz w:val="24"/>
          <w:szCs w:val="24"/>
        </w:rPr>
        <w:t xml:space="preserve"> (pp. 66-80). Washington, D.C.: World Bank, Sustainable Development Department, East Asia and Pacific Region. Retrieved June 20, 2017 from http://documents.worldbank.org/curated/en/381381468092951045/pdf/523890PH0white101OFFICIAL0USE0ONLY1.pdf.</w:t>
      </w:r>
    </w:p>
    <w:p w14:paraId="2E1D4DFA"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Pandey, A. (2015). Diagnostic assessment of select environmental challenges: Valuation of biodiversity and ecosystem services in India. </w:t>
      </w:r>
      <w:r w:rsidRPr="00C1140C">
        <w:rPr>
          <w:rFonts w:ascii="Cambria" w:hAnsi="Cambria"/>
          <w:i/>
          <w:sz w:val="24"/>
          <w:szCs w:val="24"/>
        </w:rPr>
        <w:t>Journal of Innovative Research and Solutions</w:t>
      </w:r>
      <w:r w:rsidRPr="00C1140C">
        <w:rPr>
          <w:rFonts w:ascii="Cambria" w:hAnsi="Cambria"/>
          <w:sz w:val="24"/>
          <w:szCs w:val="24"/>
        </w:rPr>
        <w:t>, 1(1), 77–88.</w:t>
      </w:r>
    </w:p>
    <w:p w14:paraId="35454B63"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lastRenderedPageBreak/>
        <w:t xml:space="preserve">Pascal, N., &amp; </w:t>
      </w:r>
      <w:proofErr w:type="spellStart"/>
      <w:r w:rsidRPr="00C1140C">
        <w:rPr>
          <w:rFonts w:ascii="Cambria" w:hAnsi="Cambria"/>
          <w:sz w:val="24"/>
          <w:szCs w:val="24"/>
        </w:rPr>
        <w:t>Bulu</w:t>
      </w:r>
      <w:proofErr w:type="spellEnd"/>
      <w:r w:rsidRPr="00C1140C">
        <w:rPr>
          <w:rFonts w:ascii="Cambria" w:hAnsi="Cambria"/>
          <w:sz w:val="24"/>
          <w:szCs w:val="24"/>
        </w:rPr>
        <w:t>, M. (2013). Economic valuation of mangrove ecosystem services, Vanuatu: Case study of Crab Bay (</w:t>
      </w:r>
      <w:proofErr w:type="spellStart"/>
      <w:r w:rsidRPr="00C1140C">
        <w:rPr>
          <w:rFonts w:ascii="Cambria" w:hAnsi="Cambria"/>
          <w:sz w:val="24"/>
          <w:szCs w:val="24"/>
        </w:rPr>
        <w:t>Malekula</w:t>
      </w:r>
      <w:proofErr w:type="spellEnd"/>
      <w:r w:rsidRPr="00C1140C">
        <w:rPr>
          <w:rFonts w:ascii="Cambria" w:hAnsi="Cambria"/>
          <w:sz w:val="24"/>
          <w:szCs w:val="24"/>
        </w:rPr>
        <w:t xml:space="preserve"> Is.) and </w:t>
      </w:r>
      <w:proofErr w:type="spellStart"/>
      <w:r w:rsidRPr="00C1140C">
        <w:rPr>
          <w:rFonts w:ascii="Cambria" w:hAnsi="Cambria"/>
          <w:sz w:val="24"/>
          <w:szCs w:val="24"/>
        </w:rPr>
        <w:t>Eratap</w:t>
      </w:r>
      <w:proofErr w:type="spellEnd"/>
      <w:r w:rsidRPr="00C1140C">
        <w:rPr>
          <w:rFonts w:ascii="Cambria" w:hAnsi="Cambria"/>
          <w:sz w:val="24"/>
          <w:szCs w:val="24"/>
        </w:rPr>
        <w:t xml:space="preserve"> (Efate Is.). Technical Report for Project Mescal, Mangrove </w:t>
      </w:r>
      <w:proofErr w:type="spellStart"/>
      <w:r w:rsidRPr="00C1140C">
        <w:rPr>
          <w:rFonts w:ascii="Cambria" w:hAnsi="Cambria"/>
          <w:sz w:val="24"/>
          <w:szCs w:val="24"/>
        </w:rPr>
        <w:t>EcoSystems</w:t>
      </w:r>
      <w:proofErr w:type="spellEnd"/>
      <w:r w:rsidRPr="00C1140C">
        <w:rPr>
          <w:rFonts w:ascii="Cambria" w:hAnsi="Cambria"/>
          <w:sz w:val="24"/>
          <w:szCs w:val="24"/>
        </w:rPr>
        <w:t xml:space="preserve"> for Climate Change Adaptation &amp; Livelihoods. Suva, Fiji.</w:t>
      </w:r>
    </w:p>
    <w:p w14:paraId="3E69D57B"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Patterson, M. G., &amp; Cole, A. (2013). “Total economic value” of New Zealand’s land-based ecosystems and their services. In J. R. </w:t>
      </w:r>
      <w:proofErr w:type="spellStart"/>
      <w:r w:rsidRPr="00C1140C">
        <w:rPr>
          <w:rFonts w:ascii="Cambria" w:hAnsi="Cambria"/>
          <w:sz w:val="24"/>
          <w:szCs w:val="24"/>
        </w:rPr>
        <w:t>Dymond</w:t>
      </w:r>
      <w:proofErr w:type="spellEnd"/>
      <w:r w:rsidRPr="00C1140C">
        <w:rPr>
          <w:rFonts w:ascii="Cambria" w:hAnsi="Cambria"/>
          <w:sz w:val="24"/>
          <w:szCs w:val="24"/>
        </w:rPr>
        <w:t xml:space="preserve"> (Ed.), </w:t>
      </w:r>
      <w:r w:rsidRPr="00C1140C">
        <w:rPr>
          <w:rFonts w:ascii="Cambria" w:hAnsi="Cambria"/>
          <w:i/>
          <w:sz w:val="24"/>
          <w:szCs w:val="24"/>
        </w:rPr>
        <w:t>Ecosystem services in New Zealand – conditions and trends</w:t>
      </w:r>
      <w:r w:rsidRPr="00C1140C">
        <w:rPr>
          <w:rFonts w:ascii="Cambria" w:hAnsi="Cambria"/>
          <w:sz w:val="24"/>
          <w:szCs w:val="24"/>
        </w:rPr>
        <w:t>. Lincoln, New Zealand: Manaaki Whenua Press. Retrieved June 20, 2017 from https://www.landcareresearch.co.nz/__data/assets/pdf_file/0004/77062/3_2_Patterson.pdf.</w:t>
      </w:r>
    </w:p>
    <w:p w14:paraId="7D2F9237" w14:textId="77777777" w:rsidR="00CA3614" w:rsidRPr="00C1140C" w:rsidRDefault="00CA3614" w:rsidP="00CA3614">
      <w:pPr>
        <w:ind w:left="360" w:hanging="360"/>
        <w:rPr>
          <w:rFonts w:ascii="Cambria" w:hAnsi="Cambria"/>
          <w:sz w:val="24"/>
          <w:szCs w:val="24"/>
          <w:lang w:val="fr-FR"/>
        </w:rPr>
      </w:pPr>
      <w:proofErr w:type="spellStart"/>
      <w:r w:rsidRPr="00C1140C">
        <w:rPr>
          <w:rFonts w:ascii="Cambria" w:hAnsi="Cambria"/>
          <w:sz w:val="24"/>
          <w:szCs w:val="24"/>
        </w:rPr>
        <w:t>Pernetta</w:t>
      </w:r>
      <w:proofErr w:type="spellEnd"/>
      <w:r w:rsidRPr="00C1140C">
        <w:rPr>
          <w:rFonts w:ascii="Cambria" w:hAnsi="Cambria"/>
          <w:sz w:val="24"/>
          <w:szCs w:val="24"/>
        </w:rPr>
        <w:t xml:space="preserve">, J. C., Ong, J.-E., Padilla, N. E. O., Rahim, K. A., &amp; </w:t>
      </w:r>
      <w:proofErr w:type="spellStart"/>
      <w:r w:rsidRPr="00C1140C">
        <w:rPr>
          <w:rFonts w:ascii="Cambria" w:hAnsi="Cambria"/>
          <w:sz w:val="24"/>
          <w:szCs w:val="24"/>
        </w:rPr>
        <w:t>Chinh</w:t>
      </w:r>
      <w:proofErr w:type="spellEnd"/>
      <w:r w:rsidRPr="00C1140C">
        <w:rPr>
          <w:rFonts w:ascii="Cambria" w:hAnsi="Cambria"/>
          <w:sz w:val="24"/>
          <w:szCs w:val="24"/>
        </w:rPr>
        <w:t xml:space="preserve">, N. T. (2013). Determining regionally applicable economic values for coastal habitats and their use in evaluating the cost effectiveness of regional conservation actions: the example of mangroves, in the South China Sea. </w:t>
      </w:r>
      <w:proofErr w:type="spellStart"/>
      <w:r w:rsidRPr="00C1140C">
        <w:rPr>
          <w:rFonts w:ascii="Cambria" w:hAnsi="Cambria"/>
          <w:i/>
          <w:sz w:val="24"/>
          <w:szCs w:val="24"/>
          <w:lang w:val="fr-FR"/>
        </w:rPr>
        <w:t>Ocean</w:t>
      </w:r>
      <w:proofErr w:type="spellEnd"/>
      <w:r w:rsidRPr="00C1140C">
        <w:rPr>
          <w:rFonts w:ascii="Cambria" w:hAnsi="Cambria"/>
          <w:i/>
          <w:sz w:val="24"/>
          <w:szCs w:val="24"/>
          <w:lang w:val="fr-FR"/>
        </w:rPr>
        <w:t xml:space="preserve"> &amp; </w:t>
      </w:r>
      <w:proofErr w:type="spellStart"/>
      <w:r w:rsidRPr="00C1140C">
        <w:rPr>
          <w:rFonts w:ascii="Cambria" w:hAnsi="Cambria"/>
          <w:i/>
          <w:sz w:val="24"/>
          <w:szCs w:val="24"/>
          <w:lang w:val="fr-FR"/>
        </w:rPr>
        <w:t>Coastal</w:t>
      </w:r>
      <w:proofErr w:type="spellEnd"/>
      <w:r w:rsidRPr="00C1140C">
        <w:rPr>
          <w:rFonts w:ascii="Cambria" w:hAnsi="Cambria"/>
          <w:i/>
          <w:sz w:val="24"/>
          <w:szCs w:val="24"/>
          <w:lang w:val="fr-FR"/>
        </w:rPr>
        <w:t xml:space="preserve"> Management</w:t>
      </w:r>
      <w:r w:rsidRPr="00C1140C">
        <w:rPr>
          <w:rFonts w:ascii="Cambria" w:hAnsi="Cambria"/>
          <w:sz w:val="24"/>
          <w:szCs w:val="24"/>
          <w:lang w:val="fr-FR"/>
        </w:rPr>
        <w:t xml:space="preserve">, 85(B, SI), 177–185. </w:t>
      </w:r>
    </w:p>
    <w:p w14:paraId="25095393" w14:textId="77777777" w:rsidR="00CA3614" w:rsidRPr="00C1140C" w:rsidRDefault="00CA3614" w:rsidP="00CA3614">
      <w:pPr>
        <w:ind w:left="360" w:hanging="360"/>
        <w:rPr>
          <w:rFonts w:ascii="Cambria" w:hAnsi="Cambria"/>
          <w:sz w:val="24"/>
          <w:szCs w:val="24"/>
        </w:rPr>
      </w:pPr>
      <w:proofErr w:type="spellStart"/>
      <w:r w:rsidRPr="00CA3614">
        <w:rPr>
          <w:rFonts w:ascii="Cambria" w:hAnsi="Cambria"/>
          <w:sz w:val="24"/>
          <w:szCs w:val="24"/>
          <w:lang w:val="fr-FR"/>
        </w:rPr>
        <w:t>Quoc</w:t>
      </w:r>
      <w:proofErr w:type="spellEnd"/>
      <w:r w:rsidRPr="00CA3614">
        <w:rPr>
          <w:rFonts w:ascii="Cambria" w:hAnsi="Cambria"/>
          <w:sz w:val="24"/>
          <w:szCs w:val="24"/>
          <w:lang w:val="fr-FR"/>
        </w:rPr>
        <w:t xml:space="preserve"> Vo, T., </w:t>
      </w:r>
      <w:proofErr w:type="spellStart"/>
      <w:r w:rsidRPr="00CA3614">
        <w:rPr>
          <w:rFonts w:ascii="Cambria" w:hAnsi="Cambria"/>
          <w:sz w:val="24"/>
          <w:szCs w:val="24"/>
          <w:lang w:val="fr-FR"/>
        </w:rPr>
        <w:t>Kuenzer</w:t>
      </w:r>
      <w:proofErr w:type="spellEnd"/>
      <w:r w:rsidRPr="00CA3614">
        <w:rPr>
          <w:rFonts w:ascii="Cambria" w:hAnsi="Cambria"/>
          <w:sz w:val="24"/>
          <w:szCs w:val="24"/>
          <w:lang w:val="fr-FR"/>
        </w:rPr>
        <w:t xml:space="preserve">, C., </w:t>
      </w:r>
      <w:proofErr w:type="spellStart"/>
      <w:r w:rsidRPr="00CA3614">
        <w:rPr>
          <w:rFonts w:ascii="Cambria" w:hAnsi="Cambria"/>
          <w:sz w:val="24"/>
          <w:szCs w:val="24"/>
          <w:lang w:val="fr-FR"/>
        </w:rPr>
        <w:t>Oppelt</w:t>
      </w:r>
      <w:proofErr w:type="spellEnd"/>
      <w:r w:rsidRPr="00CA3614">
        <w:rPr>
          <w:rFonts w:ascii="Cambria" w:hAnsi="Cambria"/>
          <w:sz w:val="24"/>
          <w:szCs w:val="24"/>
          <w:lang w:val="fr-FR"/>
        </w:rPr>
        <w:t xml:space="preserve">, N., Vo, T. Q., </w:t>
      </w:r>
      <w:proofErr w:type="spellStart"/>
      <w:r w:rsidRPr="00CA3614">
        <w:rPr>
          <w:rFonts w:ascii="Cambria" w:hAnsi="Cambria"/>
          <w:sz w:val="24"/>
          <w:szCs w:val="24"/>
          <w:lang w:val="fr-FR"/>
        </w:rPr>
        <w:t>Kuenzer</w:t>
      </w:r>
      <w:proofErr w:type="spellEnd"/>
      <w:r w:rsidRPr="00CA3614">
        <w:rPr>
          <w:rFonts w:ascii="Cambria" w:hAnsi="Cambria"/>
          <w:sz w:val="24"/>
          <w:szCs w:val="24"/>
          <w:lang w:val="fr-FR"/>
        </w:rPr>
        <w:t xml:space="preserve">, C., &amp; </w:t>
      </w:r>
      <w:proofErr w:type="spellStart"/>
      <w:r w:rsidRPr="00CA3614">
        <w:rPr>
          <w:rFonts w:ascii="Cambria" w:hAnsi="Cambria"/>
          <w:sz w:val="24"/>
          <w:szCs w:val="24"/>
          <w:lang w:val="fr-FR"/>
        </w:rPr>
        <w:t>Oppelt</w:t>
      </w:r>
      <w:proofErr w:type="spellEnd"/>
      <w:r w:rsidRPr="00CA3614">
        <w:rPr>
          <w:rFonts w:ascii="Cambria" w:hAnsi="Cambria"/>
          <w:sz w:val="24"/>
          <w:szCs w:val="24"/>
          <w:lang w:val="fr-FR"/>
        </w:rPr>
        <w:t xml:space="preserve">, N. (2015). </w:t>
      </w:r>
      <w:r w:rsidRPr="00C1140C">
        <w:rPr>
          <w:rFonts w:ascii="Cambria" w:hAnsi="Cambria"/>
          <w:sz w:val="24"/>
          <w:szCs w:val="24"/>
        </w:rPr>
        <w:t xml:space="preserve">How remote sensing supports mangrove ecosystem service valuation: A case study in Ca Mau province, Vietnam. </w:t>
      </w:r>
      <w:r w:rsidRPr="00C1140C">
        <w:rPr>
          <w:rFonts w:ascii="Cambria" w:hAnsi="Cambria"/>
          <w:i/>
          <w:sz w:val="24"/>
          <w:szCs w:val="24"/>
        </w:rPr>
        <w:t>Ecosystem Services</w:t>
      </w:r>
      <w:r w:rsidRPr="00C1140C">
        <w:rPr>
          <w:rFonts w:ascii="Cambria" w:hAnsi="Cambria"/>
          <w:sz w:val="24"/>
          <w:szCs w:val="24"/>
        </w:rPr>
        <w:t xml:space="preserve">, 14, 67–75. </w:t>
      </w:r>
    </w:p>
    <w:p w14:paraId="71D7F129"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Reddy, S.M., </w:t>
      </w:r>
      <w:proofErr w:type="spellStart"/>
      <w:r w:rsidRPr="00C1140C">
        <w:rPr>
          <w:rFonts w:ascii="Cambria" w:hAnsi="Cambria"/>
          <w:sz w:val="24"/>
          <w:szCs w:val="24"/>
        </w:rPr>
        <w:t>Guannel</w:t>
      </w:r>
      <w:proofErr w:type="spellEnd"/>
      <w:r w:rsidRPr="00C1140C">
        <w:rPr>
          <w:rFonts w:ascii="Cambria" w:hAnsi="Cambria"/>
          <w:sz w:val="24"/>
          <w:szCs w:val="24"/>
        </w:rPr>
        <w:t xml:space="preserve">, G., Griffin, R., </w:t>
      </w:r>
      <w:proofErr w:type="spellStart"/>
      <w:r w:rsidRPr="00C1140C">
        <w:rPr>
          <w:rFonts w:ascii="Cambria" w:hAnsi="Cambria"/>
          <w:sz w:val="24"/>
          <w:szCs w:val="24"/>
        </w:rPr>
        <w:t>Faries</w:t>
      </w:r>
      <w:proofErr w:type="spellEnd"/>
      <w:r w:rsidRPr="00C1140C">
        <w:rPr>
          <w:rFonts w:ascii="Cambria" w:hAnsi="Cambria"/>
          <w:sz w:val="24"/>
          <w:szCs w:val="24"/>
        </w:rPr>
        <w:t xml:space="preserve">, J., Boucher, T., Thompson, M., Brenner, J., Bernhardt, J., </w:t>
      </w:r>
      <w:proofErr w:type="spellStart"/>
      <w:r w:rsidRPr="00C1140C">
        <w:rPr>
          <w:rFonts w:ascii="Cambria" w:hAnsi="Cambria"/>
          <w:sz w:val="24"/>
          <w:szCs w:val="24"/>
        </w:rPr>
        <w:t>Verutes</w:t>
      </w:r>
      <w:proofErr w:type="spellEnd"/>
      <w:r w:rsidRPr="00C1140C">
        <w:rPr>
          <w:rFonts w:ascii="Cambria" w:hAnsi="Cambria"/>
          <w:sz w:val="24"/>
          <w:szCs w:val="24"/>
        </w:rPr>
        <w:t xml:space="preserve">, G., Wood, S.A. and Silver, J.A. (2016). Evaluating the role of coastal habitats and sea-level rise in hurricane risk mitigation: An ecological economic assessment method and application to a business decision. </w:t>
      </w:r>
      <w:r w:rsidRPr="00C1140C">
        <w:rPr>
          <w:rFonts w:ascii="Cambria" w:hAnsi="Cambria"/>
          <w:i/>
          <w:sz w:val="24"/>
          <w:szCs w:val="24"/>
        </w:rPr>
        <w:t>Integrated Environmental Assessment and Management</w:t>
      </w:r>
      <w:r w:rsidRPr="00C1140C">
        <w:rPr>
          <w:rFonts w:ascii="Cambria" w:hAnsi="Cambria"/>
          <w:sz w:val="24"/>
          <w:szCs w:val="24"/>
        </w:rPr>
        <w:t xml:space="preserve">, 12(2), 328–344. </w:t>
      </w:r>
    </w:p>
    <w:p w14:paraId="044BAC08"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Russell, M., &amp; Greening, H. (2015). Estimating Benefits in a Recovering Estuary: Tampa Bay, Florida. </w:t>
      </w:r>
      <w:r w:rsidRPr="00C1140C">
        <w:rPr>
          <w:rFonts w:ascii="Cambria" w:hAnsi="Cambria"/>
          <w:i/>
          <w:sz w:val="24"/>
          <w:szCs w:val="24"/>
        </w:rPr>
        <w:t>Estuaries and Coasts</w:t>
      </w:r>
      <w:r w:rsidRPr="00C1140C">
        <w:rPr>
          <w:rFonts w:ascii="Cambria" w:hAnsi="Cambria"/>
          <w:sz w:val="24"/>
          <w:szCs w:val="24"/>
        </w:rPr>
        <w:t xml:space="preserve">, 38(1), S9–S18. </w:t>
      </w:r>
    </w:p>
    <w:p w14:paraId="66136561"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Samonte</w:t>
      </w:r>
      <w:proofErr w:type="spellEnd"/>
      <w:r w:rsidRPr="00C1140C">
        <w:rPr>
          <w:rFonts w:ascii="Cambria" w:hAnsi="Cambria"/>
          <w:sz w:val="24"/>
          <w:szCs w:val="24"/>
        </w:rPr>
        <w:t xml:space="preserve">-Tan, G. P. B., White, A. T., </w:t>
      </w:r>
      <w:proofErr w:type="spellStart"/>
      <w:r w:rsidRPr="00C1140C">
        <w:rPr>
          <w:rFonts w:ascii="Cambria" w:hAnsi="Cambria"/>
          <w:sz w:val="24"/>
          <w:szCs w:val="24"/>
        </w:rPr>
        <w:t>Tercero</w:t>
      </w:r>
      <w:proofErr w:type="spellEnd"/>
      <w:r w:rsidRPr="00C1140C">
        <w:rPr>
          <w:rFonts w:ascii="Cambria" w:hAnsi="Cambria"/>
          <w:sz w:val="24"/>
          <w:szCs w:val="24"/>
        </w:rPr>
        <w:t xml:space="preserve">, M. A., </w:t>
      </w:r>
      <w:proofErr w:type="spellStart"/>
      <w:r w:rsidRPr="00C1140C">
        <w:rPr>
          <w:rFonts w:ascii="Cambria" w:hAnsi="Cambria"/>
          <w:sz w:val="24"/>
          <w:szCs w:val="24"/>
        </w:rPr>
        <w:t>Diviva</w:t>
      </w:r>
      <w:proofErr w:type="spellEnd"/>
      <w:r w:rsidRPr="00C1140C">
        <w:rPr>
          <w:rFonts w:ascii="Cambria" w:hAnsi="Cambria"/>
          <w:sz w:val="24"/>
          <w:szCs w:val="24"/>
        </w:rPr>
        <w:t xml:space="preserve">, J., </w:t>
      </w:r>
      <w:proofErr w:type="spellStart"/>
      <w:r w:rsidRPr="00C1140C">
        <w:rPr>
          <w:rFonts w:ascii="Cambria" w:hAnsi="Cambria"/>
          <w:sz w:val="24"/>
          <w:szCs w:val="24"/>
        </w:rPr>
        <w:t>Tabara</w:t>
      </w:r>
      <w:proofErr w:type="spellEnd"/>
      <w:r w:rsidRPr="00C1140C">
        <w:rPr>
          <w:rFonts w:ascii="Cambria" w:hAnsi="Cambria"/>
          <w:sz w:val="24"/>
          <w:szCs w:val="24"/>
        </w:rPr>
        <w:t xml:space="preserve">, E., &amp; </w:t>
      </w:r>
      <w:proofErr w:type="spellStart"/>
      <w:r w:rsidRPr="00C1140C">
        <w:rPr>
          <w:rFonts w:ascii="Cambria" w:hAnsi="Cambria"/>
          <w:sz w:val="24"/>
          <w:szCs w:val="24"/>
        </w:rPr>
        <w:t>Caballes</w:t>
      </w:r>
      <w:proofErr w:type="spellEnd"/>
      <w:r w:rsidRPr="00C1140C">
        <w:rPr>
          <w:rFonts w:ascii="Cambria" w:hAnsi="Cambria"/>
          <w:sz w:val="24"/>
          <w:szCs w:val="24"/>
        </w:rPr>
        <w:t xml:space="preserve">, C. (2007). Economic Valuation of Coastal and Marine Resources: Bohol Marine Triangle, Philippines. </w:t>
      </w:r>
      <w:r w:rsidRPr="00C1140C">
        <w:rPr>
          <w:rFonts w:ascii="Cambria" w:hAnsi="Cambria"/>
          <w:i/>
          <w:sz w:val="24"/>
          <w:szCs w:val="24"/>
        </w:rPr>
        <w:t>Coastal Management</w:t>
      </w:r>
      <w:r w:rsidRPr="00C1140C">
        <w:rPr>
          <w:rFonts w:ascii="Cambria" w:hAnsi="Cambria"/>
          <w:sz w:val="24"/>
          <w:szCs w:val="24"/>
        </w:rPr>
        <w:t xml:space="preserve">, 35(2–3), 319–338. </w:t>
      </w:r>
    </w:p>
    <w:p w14:paraId="1125161B"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Schmidt, J. P., Moore, R., &amp; </w:t>
      </w:r>
      <w:proofErr w:type="spellStart"/>
      <w:r w:rsidRPr="00C1140C">
        <w:rPr>
          <w:rFonts w:ascii="Cambria" w:hAnsi="Cambria"/>
          <w:sz w:val="24"/>
          <w:szCs w:val="24"/>
        </w:rPr>
        <w:t>Alber</w:t>
      </w:r>
      <w:proofErr w:type="spellEnd"/>
      <w:r w:rsidRPr="00C1140C">
        <w:rPr>
          <w:rFonts w:ascii="Cambria" w:hAnsi="Cambria"/>
          <w:sz w:val="24"/>
          <w:szCs w:val="24"/>
        </w:rPr>
        <w:t xml:space="preserve">, M. (2014). Integrating ecosystem services and local government finances into land use planning: A case study from coastal Georgia. </w:t>
      </w:r>
      <w:r w:rsidRPr="00C1140C">
        <w:rPr>
          <w:rFonts w:ascii="Cambria" w:hAnsi="Cambria"/>
          <w:i/>
          <w:sz w:val="24"/>
          <w:szCs w:val="24"/>
        </w:rPr>
        <w:t>Landscape and Urban Planning</w:t>
      </w:r>
      <w:r w:rsidRPr="00C1140C">
        <w:rPr>
          <w:rFonts w:ascii="Cambria" w:hAnsi="Cambria"/>
          <w:sz w:val="24"/>
          <w:szCs w:val="24"/>
        </w:rPr>
        <w:t xml:space="preserve">, 122, 56–67. </w:t>
      </w:r>
    </w:p>
    <w:p w14:paraId="56CDB172"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Sopheak</w:t>
      </w:r>
      <w:proofErr w:type="spellEnd"/>
      <w:r w:rsidRPr="00C1140C">
        <w:rPr>
          <w:rFonts w:ascii="Cambria" w:hAnsi="Cambria"/>
          <w:sz w:val="24"/>
          <w:szCs w:val="24"/>
        </w:rPr>
        <w:t xml:space="preserve">, K., &amp; </w:t>
      </w:r>
      <w:proofErr w:type="spellStart"/>
      <w:r w:rsidRPr="00C1140C">
        <w:rPr>
          <w:rFonts w:ascii="Cambria" w:hAnsi="Cambria"/>
          <w:sz w:val="24"/>
          <w:szCs w:val="24"/>
        </w:rPr>
        <w:t>Hoeurn</w:t>
      </w:r>
      <w:proofErr w:type="spellEnd"/>
      <w:r w:rsidRPr="00C1140C">
        <w:rPr>
          <w:rFonts w:ascii="Cambria" w:hAnsi="Cambria"/>
          <w:sz w:val="24"/>
          <w:szCs w:val="24"/>
        </w:rPr>
        <w:t xml:space="preserve">, C. (2016). An estimation of the production function of fisheries in </w:t>
      </w:r>
      <w:proofErr w:type="spellStart"/>
      <w:r w:rsidRPr="00C1140C">
        <w:rPr>
          <w:rFonts w:ascii="Cambria" w:hAnsi="Cambria"/>
          <w:sz w:val="24"/>
          <w:szCs w:val="24"/>
        </w:rPr>
        <w:t>Peam</w:t>
      </w:r>
      <w:proofErr w:type="spellEnd"/>
      <w:r w:rsidRPr="00C1140C">
        <w:rPr>
          <w:rFonts w:ascii="Cambria" w:hAnsi="Cambria"/>
          <w:sz w:val="24"/>
          <w:szCs w:val="24"/>
        </w:rPr>
        <w:t xml:space="preserve"> </w:t>
      </w:r>
      <w:proofErr w:type="spellStart"/>
      <w:r w:rsidRPr="00C1140C">
        <w:rPr>
          <w:rFonts w:ascii="Cambria" w:hAnsi="Cambria"/>
          <w:sz w:val="24"/>
          <w:szCs w:val="24"/>
        </w:rPr>
        <w:t>Krasaob</w:t>
      </w:r>
      <w:proofErr w:type="spellEnd"/>
      <w:r w:rsidRPr="00C1140C">
        <w:rPr>
          <w:rFonts w:ascii="Cambria" w:hAnsi="Cambria"/>
          <w:sz w:val="24"/>
          <w:szCs w:val="24"/>
        </w:rPr>
        <w:t xml:space="preserve"> wildlife sanctuary in </w:t>
      </w:r>
      <w:proofErr w:type="spellStart"/>
      <w:r w:rsidRPr="00C1140C">
        <w:rPr>
          <w:rFonts w:ascii="Cambria" w:hAnsi="Cambria"/>
          <w:sz w:val="24"/>
          <w:szCs w:val="24"/>
        </w:rPr>
        <w:t>Koh</w:t>
      </w:r>
      <w:proofErr w:type="spellEnd"/>
      <w:r w:rsidRPr="00C1140C">
        <w:rPr>
          <w:rFonts w:ascii="Cambria" w:hAnsi="Cambria"/>
          <w:sz w:val="24"/>
          <w:szCs w:val="24"/>
        </w:rPr>
        <w:t xml:space="preserve"> Kong province, Cambodia. EEPSEA Research Report, (No.2016-RR5). Retrieved June 20, 2017 from https://www.cabdirect.org/cabdirect/abstract/20163271875.</w:t>
      </w:r>
    </w:p>
    <w:p w14:paraId="2C1D3FA0" w14:textId="77777777" w:rsidR="00CA3614" w:rsidRPr="00C1140C" w:rsidRDefault="00CA3614" w:rsidP="00CA3614">
      <w:pPr>
        <w:ind w:left="360" w:hanging="360"/>
        <w:rPr>
          <w:rFonts w:ascii="Cambria" w:hAnsi="Cambria"/>
          <w:sz w:val="24"/>
          <w:szCs w:val="24"/>
        </w:rPr>
      </w:pPr>
      <w:proofErr w:type="spellStart"/>
      <w:r w:rsidRPr="00CA3614">
        <w:rPr>
          <w:rFonts w:ascii="Cambria" w:hAnsi="Cambria"/>
          <w:sz w:val="24"/>
          <w:szCs w:val="24"/>
          <w:lang w:val="fr-FR"/>
        </w:rPr>
        <w:t>Souza</w:t>
      </w:r>
      <w:proofErr w:type="spellEnd"/>
      <w:r w:rsidRPr="00CA3614">
        <w:rPr>
          <w:rFonts w:ascii="Cambria" w:hAnsi="Cambria"/>
          <w:sz w:val="24"/>
          <w:szCs w:val="24"/>
          <w:lang w:val="fr-FR"/>
        </w:rPr>
        <w:t xml:space="preserve">, F. E. S., &amp; e Silva, C. A. (2011). </w:t>
      </w:r>
      <w:r w:rsidRPr="00C1140C">
        <w:rPr>
          <w:rFonts w:ascii="Cambria" w:hAnsi="Cambria"/>
          <w:sz w:val="24"/>
          <w:szCs w:val="24"/>
        </w:rPr>
        <w:t xml:space="preserve">Ecological and economic valuation of the </w:t>
      </w:r>
      <w:proofErr w:type="spellStart"/>
      <w:r w:rsidRPr="00C1140C">
        <w:rPr>
          <w:rFonts w:ascii="Cambria" w:hAnsi="Cambria"/>
          <w:sz w:val="24"/>
          <w:szCs w:val="24"/>
        </w:rPr>
        <w:t>Potengi</w:t>
      </w:r>
      <w:proofErr w:type="spellEnd"/>
      <w:r w:rsidRPr="00C1140C">
        <w:rPr>
          <w:rFonts w:ascii="Cambria" w:hAnsi="Cambria"/>
          <w:sz w:val="24"/>
          <w:szCs w:val="24"/>
        </w:rPr>
        <w:t xml:space="preserve"> estuary mangrove wetlands (NE, Brazil) using ancillary spatial data. </w:t>
      </w:r>
      <w:r w:rsidRPr="00C1140C">
        <w:rPr>
          <w:rFonts w:ascii="Cambria" w:hAnsi="Cambria"/>
          <w:i/>
          <w:sz w:val="24"/>
          <w:szCs w:val="24"/>
        </w:rPr>
        <w:t>Journal of Coastal Conservation</w:t>
      </w:r>
      <w:r w:rsidRPr="00C1140C">
        <w:rPr>
          <w:rFonts w:ascii="Cambria" w:hAnsi="Cambria"/>
          <w:sz w:val="24"/>
          <w:szCs w:val="24"/>
        </w:rPr>
        <w:t xml:space="preserve">, 15(1), 195–206. </w:t>
      </w:r>
    </w:p>
    <w:p w14:paraId="791EB576"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lastRenderedPageBreak/>
        <w:t xml:space="preserve">Sun, X., Li, Y., Zhu, X., Cao, K., &amp; Feng, L. (2015). Integrative assessment and management implications on ecosystem services loss of coastal wetlands due to reclamation. </w:t>
      </w:r>
      <w:r w:rsidRPr="00C1140C">
        <w:rPr>
          <w:rFonts w:ascii="Cambria" w:hAnsi="Cambria"/>
          <w:i/>
          <w:sz w:val="24"/>
          <w:szCs w:val="24"/>
        </w:rPr>
        <w:t>Journal of Cleaner Production</w:t>
      </w:r>
      <w:r w:rsidRPr="00C1140C">
        <w:rPr>
          <w:rFonts w:ascii="Cambria" w:hAnsi="Cambria"/>
          <w:sz w:val="24"/>
          <w:szCs w:val="24"/>
        </w:rPr>
        <w:t xml:space="preserve">. </w:t>
      </w:r>
    </w:p>
    <w:p w14:paraId="2A2475FE"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Susilo</w:t>
      </w:r>
      <w:proofErr w:type="spellEnd"/>
      <w:r w:rsidRPr="00C1140C">
        <w:rPr>
          <w:rFonts w:ascii="Cambria" w:hAnsi="Cambria"/>
          <w:sz w:val="24"/>
          <w:szCs w:val="24"/>
        </w:rPr>
        <w:t xml:space="preserve">, E., </w:t>
      </w:r>
      <w:proofErr w:type="spellStart"/>
      <w:r w:rsidRPr="00C1140C">
        <w:rPr>
          <w:rFonts w:ascii="Cambria" w:hAnsi="Cambria"/>
          <w:sz w:val="24"/>
          <w:szCs w:val="24"/>
        </w:rPr>
        <w:t>Purwanti</w:t>
      </w:r>
      <w:proofErr w:type="spellEnd"/>
      <w:r w:rsidRPr="00C1140C">
        <w:rPr>
          <w:rFonts w:ascii="Cambria" w:hAnsi="Cambria"/>
          <w:sz w:val="24"/>
          <w:szCs w:val="24"/>
        </w:rPr>
        <w:t xml:space="preserve">, P., &amp; </w:t>
      </w:r>
      <w:proofErr w:type="spellStart"/>
      <w:r w:rsidRPr="00C1140C">
        <w:rPr>
          <w:rFonts w:ascii="Cambria" w:hAnsi="Cambria"/>
          <w:sz w:val="24"/>
          <w:szCs w:val="24"/>
        </w:rPr>
        <w:t>Agung</w:t>
      </w:r>
      <w:proofErr w:type="spellEnd"/>
      <w:r w:rsidRPr="00C1140C">
        <w:rPr>
          <w:rFonts w:ascii="Cambria" w:hAnsi="Cambria"/>
          <w:sz w:val="24"/>
          <w:szCs w:val="24"/>
        </w:rPr>
        <w:t xml:space="preserve"> </w:t>
      </w:r>
      <w:proofErr w:type="spellStart"/>
      <w:r w:rsidRPr="00C1140C">
        <w:rPr>
          <w:rFonts w:ascii="Cambria" w:hAnsi="Cambria"/>
          <w:sz w:val="24"/>
          <w:szCs w:val="24"/>
        </w:rPr>
        <w:t>Lestariadi</w:t>
      </w:r>
      <w:proofErr w:type="spellEnd"/>
      <w:r w:rsidRPr="00C1140C">
        <w:rPr>
          <w:rFonts w:ascii="Cambria" w:hAnsi="Cambria"/>
          <w:sz w:val="24"/>
          <w:szCs w:val="24"/>
        </w:rPr>
        <w:t>, R. (</w:t>
      </w:r>
      <w:proofErr w:type="spellStart"/>
      <w:r w:rsidRPr="00C1140C">
        <w:rPr>
          <w:rFonts w:ascii="Cambria" w:hAnsi="Cambria"/>
          <w:sz w:val="24"/>
          <w:szCs w:val="24"/>
        </w:rPr>
        <w:t>n.d.</w:t>
      </w:r>
      <w:proofErr w:type="spellEnd"/>
      <w:r w:rsidRPr="00C1140C">
        <w:rPr>
          <w:rFonts w:ascii="Cambria" w:hAnsi="Cambria"/>
          <w:sz w:val="24"/>
          <w:szCs w:val="24"/>
        </w:rPr>
        <w:t xml:space="preserve">). Mangrove management in </w:t>
      </w:r>
      <w:proofErr w:type="spellStart"/>
      <w:r w:rsidRPr="00C1140C">
        <w:rPr>
          <w:rFonts w:ascii="Cambria" w:hAnsi="Cambria"/>
          <w:sz w:val="24"/>
          <w:szCs w:val="24"/>
        </w:rPr>
        <w:t>Damas</w:t>
      </w:r>
      <w:proofErr w:type="spellEnd"/>
      <w:r w:rsidRPr="00C1140C">
        <w:rPr>
          <w:rFonts w:ascii="Cambria" w:hAnsi="Cambria"/>
          <w:sz w:val="24"/>
          <w:szCs w:val="24"/>
        </w:rPr>
        <w:t xml:space="preserve"> beach: Economic and institutional analysis. </w:t>
      </w:r>
      <w:r w:rsidRPr="00C1140C">
        <w:rPr>
          <w:rFonts w:ascii="Cambria" w:hAnsi="Cambria"/>
          <w:i/>
          <w:sz w:val="24"/>
          <w:szCs w:val="24"/>
        </w:rPr>
        <w:t>International Journal of Management and Administrative Sciences</w:t>
      </w:r>
      <w:r w:rsidRPr="00C1140C">
        <w:rPr>
          <w:rFonts w:ascii="Cambria" w:hAnsi="Cambria"/>
          <w:sz w:val="24"/>
          <w:szCs w:val="24"/>
        </w:rPr>
        <w:t xml:space="preserve">, 3(8), 2225-722511. </w:t>
      </w:r>
    </w:p>
    <w:p w14:paraId="53CF4A25"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Tuan, T. H., My, N. H. D., Anh, L. T. Q., &amp; </w:t>
      </w:r>
      <w:proofErr w:type="spellStart"/>
      <w:r w:rsidRPr="00C1140C">
        <w:rPr>
          <w:rFonts w:ascii="Cambria" w:hAnsi="Cambria"/>
          <w:sz w:val="24"/>
          <w:szCs w:val="24"/>
        </w:rPr>
        <w:t>Toan</w:t>
      </w:r>
      <w:proofErr w:type="spellEnd"/>
      <w:r w:rsidRPr="00C1140C">
        <w:rPr>
          <w:rFonts w:ascii="Cambria" w:hAnsi="Cambria"/>
          <w:sz w:val="24"/>
          <w:szCs w:val="24"/>
        </w:rPr>
        <w:t xml:space="preserve">, N. Van. (2014). </w:t>
      </w:r>
      <w:proofErr w:type="gramStart"/>
      <w:r w:rsidRPr="00C1140C">
        <w:rPr>
          <w:rFonts w:ascii="Cambria" w:hAnsi="Cambria"/>
          <w:sz w:val="24"/>
          <w:szCs w:val="24"/>
        </w:rPr>
        <w:t>Using</w:t>
      </w:r>
      <w:proofErr w:type="gramEnd"/>
      <w:r w:rsidRPr="00C1140C">
        <w:rPr>
          <w:rFonts w:ascii="Cambria" w:hAnsi="Cambria"/>
          <w:sz w:val="24"/>
          <w:szCs w:val="24"/>
        </w:rPr>
        <w:t xml:space="preserve"> contingent valuation method to estimate the WTP for mangrove restoration under the context of climate change: A case study of </w:t>
      </w:r>
      <w:proofErr w:type="spellStart"/>
      <w:r w:rsidRPr="00C1140C">
        <w:rPr>
          <w:rFonts w:ascii="Cambria" w:hAnsi="Cambria"/>
          <w:sz w:val="24"/>
          <w:szCs w:val="24"/>
        </w:rPr>
        <w:t>Thi</w:t>
      </w:r>
      <w:proofErr w:type="spellEnd"/>
      <w:r w:rsidRPr="00C1140C">
        <w:rPr>
          <w:rFonts w:ascii="Cambria" w:hAnsi="Cambria"/>
          <w:sz w:val="24"/>
          <w:szCs w:val="24"/>
        </w:rPr>
        <w:t xml:space="preserve"> </w:t>
      </w:r>
      <w:proofErr w:type="spellStart"/>
      <w:r w:rsidRPr="00C1140C">
        <w:rPr>
          <w:rFonts w:ascii="Cambria" w:hAnsi="Cambria"/>
          <w:sz w:val="24"/>
          <w:szCs w:val="24"/>
        </w:rPr>
        <w:t>Nai</w:t>
      </w:r>
      <w:proofErr w:type="spellEnd"/>
      <w:r w:rsidRPr="00C1140C">
        <w:rPr>
          <w:rFonts w:ascii="Cambria" w:hAnsi="Cambria"/>
          <w:sz w:val="24"/>
          <w:szCs w:val="24"/>
        </w:rPr>
        <w:t xml:space="preserve"> lagoon, </w:t>
      </w:r>
      <w:proofErr w:type="spellStart"/>
      <w:r w:rsidRPr="00C1140C">
        <w:rPr>
          <w:rFonts w:ascii="Cambria" w:hAnsi="Cambria"/>
          <w:sz w:val="24"/>
          <w:szCs w:val="24"/>
        </w:rPr>
        <w:t>Quy</w:t>
      </w:r>
      <w:proofErr w:type="spellEnd"/>
      <w:r w:rsidRPr="00C1140C">
        <w:rPr>
          <w:rFonts w:ascii="Cambria" w:hAnsi="Cambria"/>
          <w:sz w:val="24"/>
          <w:szCs w:val="24"/>
        </w:rPr>
        <w:t xml:space="preserve"> </w:t>
      </w:r>
      <w:proofErr w:type="spellStart"/>
      <w:r w:rsidRPr="00C1140C">
        <w:rPr>
          <w:rFonts w:ascii="Cambria" w:hAnsi="Cambria"/>
          <w:sz w:val="24"/>
          <w:szCs w:val="24"/>
        </w:rPr>
        <w:t>Nhon</w:t>
      </w:r>
      <w:proofErr w:type="spellEnd"/>
      <w:r w:rsidRPr="00C1140C">
        <w:rPr>
          <w:rFonts w:ascii="Cambria" w:hAnsi="Cambria"/>
          <w:sz w:val="24"/>
          <w:szCs w:val="24"/>
        </w:rPr>
        <w:t xml:space="preserve"> city, Vietnam. </w:t>
      </w:r>
      <w:r w:rsidRPr="00C1140C">
        <w:rPr>
          <w:rFonts w:ascii="Cambria" w:hAnsi="Cambria"/>
          <w:i/>
          <w:sz w:val="24"/>
          <w:szCs w:val="24"/>
        </w:rPr>
        <w:t>Ocean &amp; Coastal Management</w:t>
      </w:r>
      <w:r w:rsidRPr="00C1140C">
        <w:rPr>
          <w:rFonts w:ascii="Cambria" w:hAnsi="Cambria"/>
          <w:sz w:val="24"/>
          <w:szCs w:val="24"/>
        </w:rPr>
        <w:t xml:space="preserve">, 95, 198–212. </w:t>
      </w:r>
    </w:p>
    <w:p w14:paraId="525C421C"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Tuan, T. H., Van Xuan, M., Nam, D., &amp; </w:t>
      </w:r>
      <w:proofErr w:type="spellStart"/>
      <w:r w:rsidRPr="00C1140C">
        <w:rPr>
          <w:rFonts w:ascii="Cambria" w:hAnsi="Cambria"/>
          <w:sz w:val="24"/>
          <w:szCs w:val="24"/>
        </w:rPr>
        <w:t>Navrud</w:t>
      </w:r>
      <w:proofErr w:type="spellEnd"/>
      <w:r w:rsidRPr="00C1140C">
        <w:rPr>
          <w:rFonts w:ascii="Cambria" w:hAnsi="Cambria"/>
          <w:sz w:val="24"/>
          <w:szCs w:val="24"/>
        </w:rPr>
        <w:t xml:space="preserve">, S. (2009). Valuing direct use values of wetlands: A case study of Tam </w:t>
      </w:r>
      <w:proofErr w:type="spellStart"/>
      <w:r w:rsidRPr="00C1140C">
        <w:rPr>
          <w:rFonts w:ascii="Cambria" w:hAnsi="Cambria"/>
          <w:sz w:val="24"/>
          <w:szCs w:val="24"/>
        </w:rPr>
        <w:t>Giang-Cau</w:t>
      </w:r>
      <w:proofErr w:type="spellEnd"/>
      <w:r w:rsidRPr="00C1140C">
        <w:rPr>
          <w:rFonts w:ascii="Cambria" w:hAnsi="Cambria"/>
          <w:sz w:val="24"/>
          <w:szCs w:val="24"/>
        </w:rPr>
        <w:t xml:space="preserve"> Hai lagoon wetland in Vietnam. </w:t>
      </w:r>
      <w:r w:rsidRPr="00C1140C">
        <w:rPr>
          <w:rFonts w:ascii="Cambria" w:hAnsi="Cambria"/>
          <w:i/>
          <w:sz w:val="24"/>
          <w:szCs w:val="24"/>
        </w:rPr>
        <w:t>Ocean &amp; Coastal Management</w:t>
      </w:r>
      <w:r w:rsidRPr="00C1140C">
        <w:rPr>
          <w:rFonts w:ascii="Cambria" w:hAnsi="Cambria"/>
          <w:sz w:val="24"/>
          <w:szCs w:val="24"/>
        </w:rPr>
        <w:t>, 52(2), 102-112.</w:t>
      </w:r>
    </w:p>
    <w:p w14:paraId="38610FC1"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Tuya</w:t>
      </w:r>
      <w:proofErr w:type="spellEnd"/>
      <w:r w:rsidRPr="00C1140C">
        <w:rPr>
          <w:rFonts w:ascii="Cambria" w:hAnsi="Cambria"/>
          <w:sz w:val="24"/>
          <w:szCs w:val="24"/>
        </w:rPr>
        <w:t xml:space="preserve">, F., Haroun, R., &amp; Espino, F. (2014). Economic assessment of ecosystem services: Monetary value of seagrass meadows for coastal fisheries. </w:t>
      </w:r>
      <w:r w:rsidRPr="00C1140C">
        <w:rPr>
          <w:rFonts w:ascii="Cambria" w:hAnsi="Cambria"/>
          <w:i/>
          <w:sz w:val="24"/>
          <w:szCs w:val="24"/>
        </w:rPr>
        <w:t>Ocean &amp; Coastal Management</w:t>
      </w:r>
      <w:r w:rsidRPr="00C1140C">
        <w:rPr>
          <w:rFonts w:ascii="Cambria" w:hAnsi="Cambria"/>
          <w:sz w:val="24"/>
          <w:szCs w:val="24"/>
        </w:rPr>
        <w:t xml:space="preserve">, 96(0), 181–187. </w:t>
      </w:r>
    </w:p>
    <w:p w14:paraId="7EA621F2"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Uddin, M. S., de </w:t>
      </w:r>
      <w:proofErr w:type="spellStart"/>
      <w:r w:rsidRPr="00C1140C">
        <w:rPr>
          <w:rFonts w:ascii="Cambria" w:hAnsi="Cambria"/>
          <w:sz w:val="24"/>
          <w:szCs w:val="24"/>
        </w:rPr>
        <w:t>Ruyter</w:t>
      </w:r>
      <w:proofErr w:type="spellEnd"/>
      <w:r w:rsidRPr="00C1140C">
        <w:rPr>
          <w:rFonts w:ascii="Cambria" w:hAnsi="Cambria"/>
          <w:sz w:val="24"/>
          <w:szCs w:val="24"/>
        </w:rPr>
        <w:t xml:space="preserve"> van </w:t>
      </w:r>
      <w:proofErr w:type="spellStart"/>
      <w:r w:rsidRPr="00C1140C">
        <w:rPr>
          <w:rFonts w:ascii="Cambria" w:hAnsi="Cambria"/>
          <w:sz w:val="24"/>
          <w:szCs w:val="24"/>
        </w:rPr>
        <w:t>Steveninck</w:t>
      </w:r>
      <w:proofErr w:type="spellEnd"/>
      <w:r w:rsidRPr="00C1140C">
        <w:rPr>
          <w:rFonts w:ascii="Cambria" w:hAnsi="Cambria"/>
          <w:sz w:val="24"/>
          <w:szCs w:val="24"/>
        </w:rPr>
        <w:t xml:space="preserve">, E., </w:t>
      </w:r>
      <w:proofErr w:type="spellStart"/>
      <w:r w:rsidRPr="00C1140C">
        <w:rPr>
          <w:rFonts w:ascii="Cambria" w:hAnsi="Cambria"/>
          <w:sz w:val="24"/>
          <w:szCs w:val="24"/>
        </w:rPr>
        <w:t>Stuip</w:t>
      </w:r>
      <w:proofErr w:type="spellEnd"/>
      <w:r w:rsidRPr="00C1140C">
        <w:rPr>
          <w:rFonts w:ascii="Cambria" w:hAnsi="Cambria"/>
          <w:sz w:val="24"/>
          <w:szCs w:val="24"/>
        </w:rPr>
        <w:t xml:space="preserve">, M., &amp; Shah, M. A. R. (2013). Economic valuation of provisioning and cultural services of a protected mangrove ecosystem: A case study on Sundarbans Reserve Forest, Bangladesh. </w:t>
      </w:r>
      <w:r w:rsidRPr="00C1140C">
        <w:rPr>
          <w:rFonts w:ascii="Cambria" w:hAnsi="Cambria"/>
          <w:i/>
          <w:sz w:val="24"/>
          <w:szCs w:val="24"/>
        </w:rPr>
        <w:t>Ecosystem Services</w:t>
      </w:r>
      <w:r w:rsidRPr="00C1140C">
        <w:rPr>
          <w:rFonts w:ascii="Cambria" w:hAnsi="Cambria"/>
          <w:sz w:val="24"/>
          <w:szCs w:val="24"/>
        </w:rPr>
        <w:t xml:space="preserve">, 5, 88–93. </w:t>
      </w:r>
    </w:p>
    <w:p w14:paraId="46714204"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Ullah</w:t>
      </w:r>
      <w:proofErr w:type="spellEnd"/>
      <w:r w:rsidRPr="00C1140C">
        <w:rPr>
          <w:rFonts w:ascii="Cambria" w:hAnsi="Cambria"/>
          <w:sz w:val="24"/>
          <w:szCs w:val="24"/>
        </w:rPr>
        <w:t xml:space="preserve">, M. H., </w:t>
      </w:r>
      <w:proofErr w:type="spellStart"/>
      <w:r w:rsidRPr="00C1140C">
        <w:rPr>
          <w:rFonts w:ascii="Cambria" w:hAnsi="Cambria"/>
          <w:sz w:val="24"/>
          <w:szCs w:val="24"/>
        </w:rPr>
        <w:t>Mondal</w:t>
      </w:r>
      <w:proofErr w:type="spellEnd"/>
      <w:r w:rsidRPr="00C1140C">
        <w:rPr>
          <w:rFonts w:ascii="Cambria" w:hAnsi="Cambria"/>
          <w:sz w:val="24"/>
          <w:szCs w:val="24"/>
        </w:rPr>
        <w:t xml:space="preserve">, M. A. I., Uddin, M. R., &amp; </w:t>
      </w:r>
      <w:proofErr w:type="spellStart"/>
      <w:r w:rsidRPr="00C1140C">
        <w:rPr>
          <w:rFonts w:ascii="Cambria" w:hAnsi="Cambria"/>
          <w:sz w:val="24"/>
          <w:szCs w:val="24"/>
        </w:rPr>
        <w:t>Ferdous</w:t>
      </w:r>
      <w:proofErr w:type="spellEnd"/>
      <w:r w:rsidRPr="00C1140C">
        <w:rPr>
          <w:rFonts w:ascii="Cambria" w:hAnsi="Cambria"/>
          <w:sz w:val="24"/>
          <w:szCs w:val="24"/>
        </w:rPr>
        <w:t xml:space="preserve">, M. A. (2010). Implications of Mangrove Wetland in Socio-environmental Sector: Experiences from Southeast Coast of Chittagong, Bangladesh. </w:t>
      </w:r>
      <w:r w:rsidRPr="00C1140C">
        <w:rPr>
          <w:rFonts w:ascii="Cambria" w:hAnsi="Cambria"/>
          <w:i/>
          <w:sz w:val="24"/>
          <w:szCs w:val="24"/>
        </w:rPr>
        <w:t>Journal of Forest and Environmental Science</w:t>
      </w:r>
      <w:r w:rsidRPr="00C1140C">
        <w:rPr>
          <w:rFonts w:ascii="Cambria" w:hAnsi="Cambria"/>
          <w:sz w:val="24"/>
          <w:szCs w:val="24"/>
        </w:rPr>
        <w:t xml:space="preserve">, 26(2), 103–111. </w:t>
      </w:r>
    </w:p>
    <w:p w14:paraId="01FE6C19"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Unsworth</w:t>
      </w:r>
      <w:proofErr w:type="spellEnd"/>
      <w:r w:rsidRPr="00C1140C">
        <w:rPr>
          <w:rFonts w:ascii="Cambria" w:hAnsi="Cambria"/>
          <w:sz w:val="24"/>
          <w:szCs w:val="24"/>
        </w:rPr>
        <w:t xml:space="preserve">, R. K. F. F., Cullen, L. C., Pretty, J. N., Smith, D. J., &amp; Bell, J. J. (2010). Economic and subsistence values of the standing stocks of seagrass fisheries: Potential benefits of no-fishing marine protected area management. </w:t>
      </w:r>
      <w:r w:rsidRPr="00C1140C">
        <w:rPr>
          <w:rFonts w:ascii="Cambria" w:hAnsi="Cambria"/>
          <w:i/>
          <w:sz w:val="24"/>
          <w:szCs w:val="24"/>
        </w:rPr>
        <w:t>Ocean &amp; Coastal Management</w:t>
      </w:r>
      <w:r w:rsidRPr="00C1140C">
        <w:rPr>
          <w:rFonts w:ascii="Cambria" w:hAnsi="Cambria"/>
          <w:sz w:val="24"/>
          <w:szCs w:val="24"/>
        </w:rPr>
        <w:t xml:space="preserve">, 53(5–6), 218–224. </w:t>
      </w:r>
    </w:p>
    <w:p w14:paraId="1885A9FD" w14:textId="77777777" w:rsidR="00CA3614" w:rsidRPr="00C1140C" w:rsidRDefault="00CA3614" w:rsidP="00CA3614">
      <w:pPr>
        <w:ind w:left="360" w:hanging="360"/>
        <w:rPr>
          <w:rFonts w:ascii="Cambria" w:hAnsi="Cambria"/>
          <w:sz w:val="24"/>
          <w:szCs w:val="24"/>
          <w:lang w:val="fr-FR"/>
        </w:rPr>
      </w:pPr>
      <w:proofErr w:type="spellStart"/>
      <w:r w:rsidRPr="00C1140C">
        <w:rPr>
          <w:rFonts w:ascii="Cambria" w:hAnsi="Cambria"/>
          <w:sz w:val="24"/>
          <w:szCs w:val="24"/>
        </w:rPr>
        <w:t>Vassallo</w:t>
      </w:r>
      <w:proofErr w:type="spellEnd"/>
      <w:r w:rsidRPr="00C1140C">
        <w:rPr>
          <w:rFonts w:ascii="Cambria" w:hAnsi="Cambria"/>
          <w:sz w:val="24"/>
          <w:szCs w:val="24"/>
        </w:rPr>
        <w:t xml:space="preserve">, P., Paoli, C., </w:t>
      </w:r>
      <w:proofErr w:type="spellStart"/>
      <w:r w:rsidRPr="00C1140C">
        <w:rPr>
          <w:rFonts w:ascii="Cambria" w:hAnsi="Cambria"/>
          <w:sz w:val="24"/>
          <w:szCs w:val="24"/>
        </w:rPr>
        <w:t>Rovere</w:t>
      </w:r>
      <w:proofErr w:type="spellEnd"/>
      <w:r w:rsidRPr="00C1140C">
        <w:rPr>
          <w:rFonts w:ascii="Cambria" w:hAnsi="Cambria"/>
          <w:sz w:val="24"/>
          <w:szCs w:val="24"/>
        </w:rPr>
        <w:t xml:space="preserve">, A., </w:t>
      </w:r>
      <w:proofErr w:type="spellStart"/>
      <w:r w:rsidRPr="00C1140C">
        <w:rPr>
          <w:rFonts w:ascii="Cambria" w:hAnsi="Cambria"/>
          <w:sz w:val="24"/>
          <w:szCs w:val="24"/>
        </w:rPr>
        <w:t>Montefalcone</w:t>
      </w:r>
      <w:proofErr w:type="spellEnd"/>
      <w:r w:rsidRPr="00C1140C">
        <w:rPr>
          <w:rFonts w:ascii="Cambria" w:hAnsi="Cambria"/>
          <w:sz w:val="24"/>
          <w:szCs w:val="24"/>
        </w:rPr>
        <w:t xml:space="preserve">, M., </w:t>
      </w:r>
      <w:proofErr w:type="spellStart"/>
      <w:r w:rsidRPr="00C1140C">
        <w:rPr>
          <w:rFonts w:ascii="Cambria" w:hAnsi="Cambria"/>
          <w:sz w:val="24"/>
          <w:szCs w:val="24"/>
        </w:rPr>
        <w:t>Morri</w:t>
      </w:r>
      <w:proofErr w:type="spellEnd"/>
      <w:r w:rsidRPr="00C1140C">
        <w:rPr>
          <w:rFonts w:ascii="Cambria" w:hAnsi="Cambria"/>
          <w:sz w:val="24"/>
          <w:szCs w:val="24"/>
        </w:rPr>
        <w:t xml:space="preserve">, C., and Bianchi, C. N. (2013). The value of the seagrass </w:t>
      </w:r>
      <w:proofErr w:type="spellStart"/>
      <w:r w:rsidRPr="00C1140C">
        <w:rPr>
          <w:rFonts w:ascii="Cambria" w:hAnsi="Cambria"/>
          <w:sz w:val="24"/>
          <w:szCs w:val="24"/>
        </w:rPr>
        <w:t>Posidonia</w:t>
      </w:r>
      <w:proofErr w:type="spellEnd"/>
      <w:r w:rsidRPr="00C1140C">
        <w:rPr>
          <w:rFonts w:ascii="Cambria" w:hAnsi="Cambria"/>
          <w:sz w:val="24"/>
          <w:szCs w:val="24"/>
        </w:rPr>
        <w:t xml:space="preserve"> </w:t>
      </w:r>
      <w:proofErr w:type="spellStart"/>
      <w:r w:rsidRPr="00C1140C">
        <w:rPr>
          <w:rFonts w:ascii="Cambria" w:hAnsi="Cambria"/>
          <w:sz w:val="24"/>
          <w:szCs w:val="24"/>
        </w:rPr>
        <w:t>oceanica</w:t>
      </w:r>
      <w:proofErr w:type="spellEnd"/>
      <w:r w:rsidRPr="00C1140C">
        <w:rPr>
          <w:rFonts w:ascii="Cambria" w:hAnsi="Cambria"/>
          <w:sz w:val="24"/>
          <w:szCs w:val="24"/>
        </w:rPr>
        <w:t xml:space="preserve">: A natural capital assessment. </w:t>
      </w:r>
      <w:r w:rsidRPr="00C1140C">
        <w:rPr>
          <w:rFonts w:ascii="Cambria" w:hAnsi="Cambria"/>
          <w:i/>
          <w:sz w:val="24"/>
          <w:szCs w:val="24"/>
          <w:lang w:val="fr-FR"/>
        </w:rPr>
        <w:t>Marine Pollution Bulletin</w:t>
      </w:r>
      <w:r w:rsidRPr="00C1140C">
        <w:rPr>
          <w:rFonts w:ascii="Cambria" w:hAnsi="Cambria"/>
          <w:sz w:val="24"/>
          <w:szCs w:val="24"/>
          <w:lang w:val="fr-FR"/>
        </w:rPr>
        <w:t xml:space="preserve">, 75(1–2), 157–167. </w:t>
      </w:r>
    </w:p>
    <w:p w14:paraId="5AD71D83"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lang w:val="fr-FR"/>
        </w:rPr>
        <w:t>Vazquez</w:t>
      </w:r>
      <w:proofErr w:type="spellEnd"/>
      <w:r w:rsidRPr="00C1140C">
        <w:rPr>
          <w:rFonts w:ascii="Cambria" w:hAnsi="Cambria"/>
          <w:sz w:val="24"/>
          <w:szCs w:val="24"/>
          <w:lang w:val="fr-FR"/>
        </w:rPr>
        <w:t>-Gonzalez, C., Moreno-</w:t>
      </w:r>
      <w:proofErr w:type="spellStart"/>
      <w:r w:rsidRPr="00C1140C">
        <w:rPr>
          <w:rFonts w:ascii="Cambria" w:hAnsi="Cambria"/>
          <w:sz w:val="24"/>
          <w:szCs w:val="24"/>
          <w:lang w:val="fr-FR"/>
        </w:rPr>
        <w:t>Casasola</w:t>
      </w:r>
      <w:proofErr w:type="spellEnd"/>
      <w:r w:rsidRPr="00C1140C">
        <w:rPr>
          <w:rFonts w:ascii="Cambria" w:hAnsi="Cambria"/>
          <w:sz w:val="24"/>
          <w:szCs w:val="24"/>
          <w:lang w:val="fr-FR"/>
        </w:rPr>
        <w:t xml:space="preserve">, P., Juarez, A., Rivera-Guzman, N., </w:t>
      </w:r>
      <w:proofErr w:type="spellStart"/>
      <w:r w:rsidRPr="00C1140C">
        <w:rPr>
          <w:rFonts w:ascii="Cambria" w:hAnsi="Cambria"/>
          <w:sz w:val="24"/>
          <w:szCs w:val="24"/>
          <w:lang w:val="fr-FR"/>
        </w:rPr>
        <w:t>Monroy</w:t>
      </w:r>
      <w:proofErr w:type="spellEnd"/>
      <w:r w:rsidRPr="00C1140C">
        <w:rPr>
          <w:rFonts w:ascii="Cambria" w:hAnsi="Cambria"/>
          <w:sz w:val="24"/>
          <w:szCs w:val="24"/>
          <w:lang w:val="fr-FR"/>
        </w:rPr>
        <w:t xml:space="preserve">, R., &amp; </w:t>
      </w:r>
      <w:proofErr w:type="spellStart"/>
      <w:r w:rsidRPr="00C1140C">
        <w:rPr>
          <w:rFonts w:ascii="Cambria" w:hAnsi="Cambria"/>
          <w:sz w:val="24"/>
          <w:szCs w:val="24"/>
          <w:lang w:val="fr-FR"/>
        </w:rPr>
        <w:t>Espejel</w:t>
      </w:r>
      <w:proofErr w:type="spellEnd"/>
      <w:r w:rsidRPr="00C1140C">
        <w:rPr>
          <w:rFonts w:ascii="Cambria" w:hAnsi="Cambria"/>
          <w:sz w:val="24"/>
          <w:szCs w:val="24"/>
          <w:lang w:val="fr-FR"/>
        </w:rPr>
        <w:t xml:space="preserve">, I. (2015). </w:t>
      </w:r>
      <w:r w:rsidRPr="00C1140C">
        <w:rPr>
          <w:rFonts w:ascii="Cambria" w:hAnsi="Cambria"/>
          <w:sz w:val="24"/>
          <w:szCs w:val="24"/>
        </w:rPr>
        <w:t xml:space="preserve">Trade-offs in fishery yield between wetland conservation and land conversion on the Gulf of Mexico. </w:t>
      </w:r>
      <w:r w:rsidRPr="00C1140C">
        <w:rPr>
          <w:rFonts w:ascii="Cambria" w:hAnsi="Cambria"/>
          <w:i/>
          <w:sz w:val="24"/>
          <w:szCs w:val="24"/>
        </w:rPr>
        <w:t>Ocean &amp; Coastal Management</w:t>
      </w:r>
      <w:r w:rsidRPr="00C1140C">
        <w:rPr>
          <w:rFonts w:ascii="Cambria" w:hAnsi="Cambria"/>
          <w:sz w:val="24"/>
          <w:szCs w:val="24"/>
        </w:rPr>
        <w:t>, 114, 194–203.</w:t>
      </w:r>
    </w:p>
    <w:p w14:paraId="099409D4"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 xml:space="preserve">Warren-Rhodes, K., Schwarz, A.-M., Boyle, L. N., Albert, J., </w:t>
      </w:r>
      <w:proofErr w:type="spellStart"/>
      <w:r w:rsidRPr="00C1140C">
        <w:rPr>
          <w:rFonts w:ascii="Cambria" w:hAnsi="Cambria"/>
          <w:sz w:val="24"/>
          <w:szCs w:val="24"/>
        </w:rPr>
        <w:t>Agalo</w:t>
      </w:r>
      <w:proofErr w:type="spellEnd"/>
      <w:r w:rsidRPr="00C1140C">
        <w:rPr>
          <w:rFonts w:ascii="Cambria" w:hAnsi="Cambria"/>
          <w:sz w:val="24"/>
          <w:szCs w:val="24"/>
        </w:rPr>
        <w:t xml:space="preserve">, S. S., Warren, R., Bana, A., Paul, C., </w:t>
      </w:r>
      <w:proofErr w:type="spellStart"/>
      <w:r w:rsidRPr="00C1140C">
        <w:rPr>
          <w:rFonts w:ascii="Cambria" w:hAnsi="Cambria"/>
          <w:sz w:val="24"/>
          <w:szCs w:val="24"/>
        </w:rPr>
        <w:t>Kodosiku</w:t>
      </w:r>
      <w:proofErr w:type="spellEnd"/>
      <w:r w:rsidRPr="00C1140C">
        <w:rPr>
          <w:rFonts w:ascii="Cambria" w:hAnsi="Cambria"/>
          <w:sz w:val="24"/>
          <w:szCs w:val="24"/>
        </w:rPr>
        <w:t xml:space="preserve">, R., </w:t>
      </w:r>
      <w:proofErr w:type="spellStart"/>
      <w:r w:rsidRPr="00C1140C">
        <w:rPr>
          <w:rFonts w:ascii="Cambria" w:hAnsi="Cambria"/>
          <w:sz w:val="24"/>
          <w:szCs w:val="24"/>
        </w:rPr>
        <w:t>Bosma</w:t>
      </w:r>
      <w:proofErr w:type="spellEnd"/>
      <w:r w:rsidRPr="00C1140C">
        <w:rPr>
          <w:rFonts w:ascii="Cambria" w:hAnsi="Cambria"/>
          <w:sz w:val="24"/>
          <w:szCs w:val="24"/>
        </w:rPr>
        <w:t xml:space="preserve">, W., Yee, D., </w:t>
      </w:r>
      <w:proofErr w:type="spellStart"/>
      <w:r w:rsidRPr="00C1140C">
        <w:rPr>
          <w:rFonts w:ascii="Cambria" w:hAnsi="Cambria"/>
          <w:sz w:val="24"/>
          <w:szCs w:val="24"/>
        </w:rPr>
        <w:t>Ronnback</w:t>
      </w:r>
      <w:proofErr w:type="spellEnd"/>
      <w:r w:rsidRPr="00C1140C">
        <w:rPr>
          <w:rFonts w:ascii="Cambria" w:hAnsi="Cambria"/>
          <w:sz w:val="24"/>
          <w:szCs w:val="24"/>
        </w:rPr>
        <w:t xml:space="preserve">, P., </w:t>
      </w:r>
      <w:proofErr w:type="spellStart"/>
      <w:r w:rsidRPr="00C1140C">
        <w:rPr>
          <w:rFonts w:ascii="Cambria" w:hAnsi="Cambria"/>
          <w:sz w:val="24"/>
          <w:szCs w:val="24"/>
        </w:rPr>
        <w:t>Crona</w:t>
      </w:r>
      <w:proofErr w:type="spellEnd"/>
      <w:r w:rsidRPr="00C1140C">
        <w:rPr>
          <w:rFonts w:ascii="Cambria" w:hAnsi="Cambria"/>
          <w:sz w:val="24"/>
          <w:szCs w:val="24"/>
        </w:rPr>
        <w:t xml:space="preserve">, B., and Duke, N. (2011). Mangrove ecosystem services and the potential for carbon revenue </w:t>
      </w:r>
      <w:proofErr w:type="spellStart"/>
      <w:r w:rsidRPr="00C1140C">
        <w:rPr>
          <w:rFonts w:ascii="Cambria" w:hAnsi="Cambria"/>
          <w:sz w:val="24"/>
          <w:szCs w:val="24"/>
        </w:rPr>
        <w:t>programmes</w:t>
      </w:r>
      <w:proofErr w:type="spellEnd"/>
      <w:r w:rsidRPr="00C1140C">
        <w:rPr>
          <w:rFonts w:ascii="Cambria" w:hAnsi="Cambria"/>
          <w:sz w:val="24"/>
          <w:szCs w:val="24"/>
        </w:rPr>
        <w:t xml:space="preserve"> in Solomon Islands. </w:t>
      </w:r>
      <w:r w:rsidRPr="00C1140C">
        <w:rPr>
          <w:rFonts w:ascii="Cambria" w:hAnsi="Cambria"/>
          <w:i/>
          <w:sz w:val="24"/>
          <w:szCs w:val="24"/>
        </w:rPr>
        <w:t>Environmental Conservation</w:t>
      </w:r>
      <w:r w:rsidRPr="00C1140C">
        <w:rPr>
          <w:rFonts w:ascii="Cambria" w:hAnsi="Cambria"/>
          <w:sz w:val="24"/>
          <w:szCs w:val="24"/>
        </w:rPr>
        <w:t xml:space="preserve">, 38(4), 485–496. </w:t>
      </w:r>
    </w:p>
    <w:p w14:paraId="0F49B853"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lastRenderedPageBreak/>
        <w:t xml:space="preserve">Will, E. (2014). The use of ecosystem service valuation in environmental sensitivity analysis for ship- source oil spill preparedness and response planning in </w:t>
      </w:r>
      <w:proofErr w:type="spellStart"/>
      <w:r w:rsidRPr="00C1140C">
        <w:rPr>
          <w:rFonts w:ascii="Cambria" w:hAnsi="Cambria"/>
          <w:sz w:val="24"/>
          <w:szCs w:val="24"/>
        </w:rPr>
        <w:t>Chedabucto</w:t>
      </w:r>
      <w:proofErr w:type="spellEnd"/>
      <w:r w:rsidRPr="00C1140C">
        <w:rPr>
          <w:rFonts w:ascii="Cambria" w:hAnsi="Cambria"/>
          <w:sz w:val="24"/>
          <w:szCs w:val="24"/>
        </w:rPr>
        <w:t xml:space="preserve"> Bay, Nova Scotia. Master’s thesis, Dalhousie University: Halifax, Nova Scotia. Retrieved June 20, 2017 from https://dalspace.library.dal.ca/bitstream/handle/10222/56260/Will_E Graduate Project2014.pdf</w:t>
      </w:r>
      <w:proofErr w:type="gramStart"/>
      <w:r w:rsidRPr="00C1140C">
        <w:rPr>
          <w:rFonts w:ascii="Cambria" w:hAnsi="Cambria"/>
          <w:sz w:val="24"/>
          <w:szCs w:val="24"/>
        </w:rPr>
        <w:t>?sequence</w:t>
      </w:r>
      <w:proofErr w:type="gramEnd"/>
      <w:r w:rsidRPr="00C1140C">
        <w:rPr>
          <w:rFonts w:ascii="Cambria" w:hAnsi="Cambria"/>
          <w:sz w:val="24"/>
          <w:szCs w:val="24"/>
        </w:rPr>
        <w:t>=1.</w:t>
      </w:r>
    </w:p>
    <w:p w14:paraId="1A31055F" w14:textId="77777777" w:rsidR="00CA3614" w:rsidRPr="00C1140C" w:rsidRDefault="00CA3614" w:rsidP="00CA3614">
      <w:pPr>
        <w:ind w:left="360" w:hanging="360"/>
        <w:rPr>
          <w:rFonts w:ascii="Cambria" w:hAnsi="Cambria"/>
          <w:sz w:val="24"/>
          <w:szCs w:val="24"/>
        </w:rPr>
      </w:pPr>
      <w:r w:rsidRPr="00C1140C">
        <w:rPr>
          <w:rFonts w:ascii="Cambria" w:hAnsi="Cambria"/>
          <w:sz w:val="24"/>
          <w:szCs w:val="24"/>
        </w:rPr>
        <w:t>Witt, E. (2016). A Financial and Economic Assessment of the Conservation of Northwestern Madagascar Mangroves. Master's thesis, Nicholas School of the Environment, Duke University: Durham, North Carolina, USA. Retrieved June 20, 2017 from http://dukespace.lib.duke.edu/dspace/handle/10161/11911.</w:t>
      </w:r>
    </w:p>
    <w:p w14:paraId="65A7D059"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Wiwatthanapornchai</w:t>
      </w:r>
      <w:proofErr w:type="spellEnd"/>
      <w:r w:rsidRPr="00C1140C">
        <w:rPr>
          <w:rFonts w:ascii="Cambria" w:hAnsi="Cambria"/>
          <w:sz w:val="24"/>
          <w:szCs w:val="24"/>
        </w:rPr>
        <w:t xml:space="preserve">, S., </w:t>
      </w:r>
      <w:proofErr w:type="spellStart"/>
      <w:r w:rsidRPr="00C1140C">
        <w:rPr>
          <w:rFonts w:ascii="Cambria" w:hAnsi="Cambria"/>
          <w:sz w:val="24"/>
          <w:szCs w:val="24"/>
        </w:rPr>
        <w:t>Piputsitee</w:t>
      </w:r>
      <w:proofErr w:type="spellEnd"/>
      <w:r w:rsidRPr="00C1140C">
        <w:rPr>
          <w:rFonts w:ascii="Cambria" w:hAnsi="Cambria"/>
          <w:sz w:val="24"/>
          <w:szCs w:val="24"/>
        </w:rPr>
        <w:t xml:space="preserve">, C., &amp; </w:t>
      </w:r>
      <w:proofErr w:type="spellStart"/>
      <w:r w:rsidRPr="00C1140C">
        <w:rPr>
          <w:rFonts w:ascii="Cambria" w:hAnsi="Cambria"/>
          <w:sz w:val="24"/>
          <w:szCs w:val="24"/>
        </w:rPr>
        <w:t>Boonyawat</w:t>
      </w:r>
      <w:proofErr w:type="spellEnd"/>
      <w:r w:rsidRPr="00C1140C">
        <w:rPr>
          <w:rFonts w:ascii="Cambria" w:hAnsi="Cambria"/>
          <w:sz w:val="24"/>
          <w:szCs w:val="24"/>
        </w:rPr>
        <w:t xml:space="preserve">, S. (2014). The Economic Value of Laem </w:t>
      </w:r>
      <w:proofErr w:type="spellStart"/>
      <w:r w:rsidRPr="00C1140C">
        <w:rPr>
          <w:rFonts w:ascii="Cambria" w:hAnsi="Cambria"/>
          <w:sz w:val="24"/>
          <w:szCs w:val="24"/>
        </w:rPr>
        <w:t>Phak</w:t>
      </w:r>
      <w:proofErr w:type="spellEnd"/>
      <w:r w:rsidRPr="00C1140C">
        <w:rPr>
          <w:rFonts w:ascii="Cambria" w:hAnsi="Cambria"/>
          <w:sz w:val="24"/>
          <w:szCs w:val="24"/>
        </w:rPr>
        <w:t xml:space="preserve"> </w:t>
      </w:r>
      <w:proofErr w:type="gramStart"/>
      <w:r w:rsidRPr="00C1140C">
        <w:rPr>
          <w:rFonts w:ascii="Cambria" w:hAnsi="Cambria"/>
          <w:sz w:val="24"/>
          <w:szCs w:val="24"/>
        </w:rPr>
        <w:t>Bia</w:t>
      </w:r>
      <w:proofErr w:type="gramEnd"/>
      <w:r w:rsidRPr="00C1140C">
        <w:rPr>
          <w:rFonts w:ascii="Cambria" w:hAnsi="Cambria"/>
          <w:sz w:val="24"/>
          <w:szCs w:val="24"/>
        </w:rPr>
        <w:t xml:space="preserve"> Mangrove Ecosystem Services in Phetchaburi Province, Thailand. </w:t>
      </w:r>
      <w:r w:rsidRPr="00C1140C">
        <w:rPr>
          <w:rFonts w:ascii="Cambria" w:hAnsi="Cambria"/>
          <w:i/>
          <w:sz w:val="24"/>
          <w:szCs w:val="24"/>
        </w:rPr>
        <w:t>Modern Applied Science</w:t>
      </w:r>
      <w:r w:rsidRPr="00C1140C">
        <w:rPr>
          <w:rFonts w:ascii="Cambria" w:hAnsi="Cambria"/>
          <w:sz w:val="24"/>
          <w:szCs w:val="24"/>
        </w:rPr>
        <w:t xml:space="preserve">, 8(5), 36. </w:t>
      </w:r>
    </w:p>
    <w:p w14:paraId="71F0C111"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Yoskowitz</w:t>
      </w:r>
      <w:proofErr w:type="spellEnd"/>
      <w:r w:rsidRPr="00C1140C">
        <w:rPr>
          <w:rFonts w:ascii="Cambria" w:hAnsi="Cambria"/>
          <w:sz w:val="24"/>
          <w:szCs w:val="24"/>
        </w:rPr>
        <w:t xml:space="preserve">, D., </w:t>
      </w:r>
      <w:proofErr w:type="spellStart"/>
      <w:r w:rsidRPr="00C1140C">
        <w:rPr>
          <w:rFonts w:ascii="Cambria" w:hAnsi="Cambria"/>
          <w:sz w:val="24"/>
          <w:szCs w:val="24"/>
        </w:rPr>
        <w:t>Carollo</w:t>
      </w:r>
      <w:proofErr w:type="spellEnd"/>
      <w:r w:rsidRPr="00C1140C">
        <w:rPr>
          <w:rFonts w:ascii="Cambria" w:hAnsi="Cambria"/>
          <w:sz w:val="24"/>
          <w:szCs w:val="24"/>
        </w:rPr>
        <w:t xml:space="preserve">, C., Pollack, J. B., Santos, C., &amp; Welder, K. (2016). Integrated ecosystem services assessment: Valuation of changes due to sea level rise in Galveston Bay, TX. </w:t>
      </w:r>
      <w:r w:rsidRPr="00C1140C">
        <w:rPr>
          <w:rFonts w:ascii="Cambria" w:hAnsi="Cambria"/>
          <w:i/>
          <w:sz w:val="24"/>
          <w:szCs w:val="24"/>
        </w:rPr>
        <w:t>Integrated Environmental Assessment and Management</w:t>
      </w:r>
      <w:r w:rsidRPr="00C1140C">
        <w:rPr>
          <w:rFonts w:ascii="Cambria" w:hAnsi="Cambria"/>
          <w:sz w:val="24"/>
          <w:szCs w:val="24"/>
        </w:rPr>
        <w:t xml:space="preserve">, 13.2, 431-443. </w:t>
      </w:r>
    </w:p>
    <w:p w14:paraId="3C2BA81B" w14:textId="77777777" w:rsidR="00CA3614" w:rsidRPr="00C1140C" w:rsidRDefault="00CA3614" w:rsidP="00CA3614">
      <w:pPr>
        <w:ind w:left="360" w:hanging="360"/>
        <w:rPr>
          <w:rFonts w:ascii="Cambria" w:hAnsi="Cambria"/>
          <w:sz w:val="24"/>
          <w:szCs w:val="24"/>
        </w:rPr>
      </w:pPr>
      <w:proofErr w:type="spellStart"/>
      <w:r w:rsidRPr="00C1140C">
        <w:rPr>
          <w:rFonts w:ascii="Cambria" w:hAnsi="Cambria"/>
          <w:sz w:val="24"/>
          <w:szCs w:val="24"/>
        </w:rPr>
        <w:t>Zhiyun</w:t>
      </w:r>
      <w:proofErr w:type="spellEnd"/>
      <w:r w:rsidRPr="00C1140C">
        <w:rPr>
          <w:rFonts w:ascii="Cambria" w:hAnsi="Cambria"/>
          <w:sz w:val="24"/>
          <w:szCs w:val="24"/>
        </w:rPr>
        <w:t xml:space="preserve">, O., Yu, J., </w:t>
      </w:r>
      <w:proofErr w:type="spellStart"/>
      <w:r w:rsidRPr="00C1140C">
        <w:rPr>
          <w:rFonts w:ascii="Cambria" w:hAnsi="Cambria"/>
          <w:sz w:val="24"/>
          <w:szCs w:val="24"/>
        </w:rPr>
        <w:t>Tongqian</w:t>
      </w:r>
      <w:proofErr w:type="spellEnd"/>
      <w:r w:rsidRPr="00C1140C">
        <w:rPr>
          <w:rFonts w:ascii="Cambria" w:hAnsi="Cambria"/>
          <w:sz w:val="24"/>
          <w:szCs w:val="24"/>
        </w:rPr>
        <w:t xml:space="preserve">, Z., &amp; Hua, Z. (2011). Ecosystem Regulating Services and their Valuation of Hainan Island, China. </w:t>
      </w:r>
      <w:r w:rsidRPr="00C1140C">
        <w:rPr>
          <w:rFonts w:ascii="Cambria" w:hAnsi="Cambria"/>
          <w:i/>
          <w:sz w:val="24"/>
          <w:szCs w:val="24"/>
        </w:rPr>
        <w:t>Journal of Resources and Ecology</w:t>
      </w:r>
      <w:r w:rsidRPr="00C1140C">
        <w:rPr>
          <w:rFonts w:ascii="Cambria" w:hAnsi="Cambria"/>
          <w:sz w:val="24"/>
          <w:szCs w:val="24"/>
        </w:rPr>
        <w:t xml:space="preserve">, 2(2), 132–140. </w:t>
      </w:r>
    </w:p>
    <w:p w14:paraId="71DCE241" w14:textId="77777777" w:rsidR="00CA3614" w:rsidRPr="00C1140C" w:rsidRDefault="00CA3614" w:rsidP="00CA3614">
      <w:pPr>
        <w:ind w:left="360" w:hanging="360"/>
        <w:rPr>
          <w:rFonts w:ascii="Cambria" w:hAnsi="Cambria"/>
          <w:sz w:val="24"/>
          <w:szCs w:val="24"/>
        </w:rPr>
      </w:pPr>
      <w:proofErr w:type="spellStart"/>
      <w:r w:rsidRPr="00CA3614">
        <w:rPr>
          <w:rFonts w:ascii="Cambria" w:hAnsi="Cambria"/>
          <w:sz w:val="24"/>
          <w:szCs w:val="24"/>
        </w:rPr>
        <w:t>Zuidema</w:t>
      </w:r>
      <w:proofErr w:type="spellEnd"/>
      <w:r w:rsidRPr="00CA3614">
        <w:rPr>
          <w:rFonts w:ascii="Cambria" w:hAnsi="Cambria"/>
          <w:sz w:val="24"/>
          <w:szCs w:val="24"/>
        </w:rPr>
        <w:t xml:space="preserve">, C., Plate, R., &amp; </w:t>
      </w:r>
      <w:proofErr w:type="spellStart"/>
      <w:r w:rsidRPr="00CA3614">
        <w:rPr>
          <w:rFonts w:ascii="Cambria" w:hAnsi="Cambria"/>
          <w:sz w:val="24"/>
          <w:szCs w:val="24"/>
        </w:rPr>
        <w:t>Dikou</w:t>
      </w:r>
      <w:proofErr w:type="spellEnd"/>
      <w:r w:rsidRPr="00CA3614">
        <w:rPr>
          <w:rFonts w:ascii="Cambria" w:hAnsi="Cambria"/>
          <w:sz w:val="24"/>
          <w:szCs w:val="24"/>
        </w:rPr>
        <w:t xml:space="preserve">, A. (2011). </w:t>
      </w:r>
      <w:r w:rsidRPr="00C1140C">
        <w:rPr>
          <w:rFonts w:ascii="Cambria" w:hAnsi="Cambria"/>
          <w:sz w:val="24"/>
          <w:szCs w:val="24"/>
        </w:rPr>
        <w:t xml:space="preserve">To preserve or to develop? East Bay dredging project, South Caicos, Turks and Caicos Islands. </w:t>
      </w:r>
      <w:r w:rsidRPr="00C1140C">
        <w:rPr>
          <w:rFonts w:ascii="Cambria" w:hAnsi="Cambria"/>
          <w:i/>
          <w:sz w:val="24"/>
          <w:szCs w:val="24"/>
        </w:rPr>
        <w:t>Journal of Coastal Conservation</w:t>
      </w:r>
      <w:r w:rsidRPr="00C1140C">
        <w:rPr>
          <w:rFonts w:ascii="Cambria" w:hAnsi="Cambria"/>
          <w:sz w:val="24"/>
          <w:szCs w:val="24"/>
        </w:rPr>
        <w:t xml:space="preserve">, 15(4), 555–563. </w:t>
      </w:r>
    </w:p>
    <w:p w14:paraId="41E0DEA2" w14:textId="77777777" w:rsidR="00CA3614" w:rsidRPr="00C1140C" w:rsidRDefault="00CA3614" w:rsidP="00CA3614">
      <w:pPr>
        <w:rPr>
          <w:rFonts w:ascii="Cambria" w:hAnsi="Cambria"/>
          <w:sz w:val="24"/>
          <w:szCs w:val="24"/>
        </w:rPr>
      </w:pPr>
    </w:p>
    <w:p w14:paraId="006F1285" w14:textId="4361E3CA" w:rsidR="00FE02D7" w:rsidRPr="002D763F" w:rsidRDefault="00FE02D7">
      <w:pPr>
        <w:rPr>
          <w:rFonts w:ascii="Cambria" w:hAnsi="Cambria"/>
          <w:sz w:val="16"/>
          <w:szCs w:val="16"/>
        </w:rPr>
      </w:pPr>
    </w:p>
    <w:sectPr w:rsidR="00FE02D7" w:rsidRPr="002D7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36187" w14:textId="77777777" w:rsidR="00A25FFB" w:rsidRDefault="00A25FFB" w:rsidP="00ED6189">
      <w:pPr>
        <w:spacing w:after="0" w:line="240" w:lineRule="auto"/>
      </w:pPr>
      <w:r>
        <w:separator/>
      </w:r>
    </w:p>
  </w:endnote>
  <w:endnote w:type="continuationSeparator" w:id="0">
    <w:p w14:paraId="5C4A6658" w14:textId="77777777" w:rsidR="00A25FFB" w:rsidRDefault="00A25FFB" w:rsidP="00ED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03748"/>
      <w:docPartObj>
        <w:docPartGallery w:val="Page Numbers (Bottom of Page)"/>
        <w:docPartUnique/>
      </w:docPartObj>
    </w:sdtPr>
    <w:sdtEndPr>
      <w:rPr>
        <w:noProof/>
      </w:rPr>
    </w:sdtEndPr>
    <w:sdtContent>
      <w:p w14:paraId="01975973" w14:textId="472E837D" w:rsidR="00C00476" w:rsidRDefault="00C00476">
        <w:pPr>
          <w:pStyle w:val="Footer"/>
          <w:jc w:val="center"/>
        </w:pPr>
        <w:r>
          <w:fldChar w:fldCharType="begin"/>
        </w:r>
        <w:r>
          <w:instrText xml:space="preserve"> PAGE   \* MERGEFORMAT </w:instrText>
        </w:r>
        <w:r>
          <w:fldChar w:fldCharType="separate"/>
        </w:r>
        <w:r w:rsidR="0088691C">
          <w:rPr>
            <w:noProof/>
          </w:rPr>
          <w:t>22</w:t>
        </w:r>
        <w:r>
          <w:rPr>
            <w:noProof/>
          </w:rPr>
          <w:fldChar w:fldCharType="end"/>
        </w:r>
      </w:p>
    </w:sdtContent>
  </w:sdt>
  <w:p w14:paraId="49066553" w14:textId="77777777" w:rsidR="00C00476" w:rsidRDefault="00C00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6505" w14:textId="77777777" w:rsidR="00A25FFB" w:rsidRDefault="00A25FFB" w:rsidP="00ED6189">
      <w:pPr>
        <w:spacing w:after="0" w:line="240" w:lineRule="auto"/>
      </w:pPr>
      <w:r>
        <w:separator/>
      </w:r>
    </w:p>
  </w:footnote>
  <w:footnote w:type="continuationSeparator" w:id="0">
    <w:p w14:paraId="03EEABE3" w14:textId="77777777" w:rsidR="00A25FFB" w:rsidRDefault="00A25FFB" w:rsidP="00ED6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35"/>
    <w:rsid w:val="0001615C"/>
    <w:rsid w:val="00040735"/>
    <w:rsid w:val="00060278"/>
    <w:rsid w:val="00072384"/>
    <w:rsid w:val="00087545"/>
    <w:rsid w:val="000E2ED3"/>
    <w:rsid w:val="000F5B63"/>
    <w:rsid w:val="001259DE"/>
    <w:rsid w:val="001420E4"/>
    <w:rsid w:val="00183A6B"/>
    <w:rsid w:val="001A2A80"/>
    <w:rsid w:val="001C31AB"/>
    <w:rsid w:val="001C5A91"/>
    <w:rsid w:val="001E0BBB"/>
    <w:rsid w:val="00211EAF"/>
    <w:rsid w:val="00223607"/>
    <w:rsid w:val="0029328B"/>
    <w:rsid w:val="002A3937"/>
    <w:rsid w:val="002D763F"/>
    <w:rsid w:val="00370040"/>
    <w:rsid w:val="00377225"/>
    <w:rsid w:val="003F192B"/>
    <w:rsid w:val="004104EB"/>
    <w:rsid w:val="004368D7"/>
    <w:rsid w:val="0047613F"/>
    <w:rsid w:val="004933D9"/>
    <w:rsid w:val="004D149A"/>
    <w:rsid w:val="004D1D13"/>
    <w:rsid w:val="004F737C"/>
    <w:rsid w:val="0051605B"/>
    <w:rsid w:val="00535BED"/>
    <w:rsid w:val="005716D1"/>
    <w:rsid w:val="00586C1D"/>
    <w:rsid w:val="005D387E"/>
    <w:rsid w:val="005E5D46"/>
    <w:rsid w:val="005F7DB7"/>
    <w:rsid w:val="006744D2"/>
    <w:rsid w:val="006A1724"/>
    <w:rsid w:val="006B6E63"/>
    <w:rsid w:val="00736B28"/>
    <w:rsid w:val="00743644"/>
    <w:rsid w:val="00760071"/>
    <w:rsid w:val="00761424"/>
    <w:rsid w:val="007A56B5"/>
    <w:rsid w:val="0088691C"/>
    <w:rsid w:val="008A2A0F"/>
    <w:rsid w:val="008D6B14"/>
    <w:rsid w:val="008E1D2E"/>
    <w:rsid w:val="00970431"/>
    <w:rsid w:val="009E1187"/>
    <w:rsid w:val="00A01A99"/>
    <w:rsid w:val="00A057E7"/>
    <w:rsid w:val="00A25FFB"/>
    <w:rsid w:val="00AA2C2E"/>
    <w:rsid w:val="00AF54B9"/>
    <w:rsid w:val="00B020A9"/>
    <w:rsid w:val="00B113B0"/>
    <w:rsid w:val="00B122B6"/>
    <w:rsid w:val="00B538BE"/>
    <w:rsid w:val="00BA3B47"/>
    <w:rsid w:val="00BF7233"/>
    <w:rsid w:val="00C00476"/>
    <w:rsid w:val="00C25841"/>
    <w:rsid w:val="00C26A21"/>
    <w:rsid w:val="00C73C93"/>
    <w:rsid w:val="00CA3614"/>
    <w:rsid w:val="00CB67CB"/>
    <w:rsid w:val="00D50D85"/>
    <w:rsid w:val="00D80463"/>
    <w:rsid w:val="00D83700"/>
    <w:rsid w:val="00DA39BE"/>
    <w:rsid w:val="00DD26D0"/>
    <w:rsid w:val="00DF3BEE"/>
    <w:rsid w:val="00E21688"/>
    <w:rsid w:val="00E34012"/>
    <w:rsid w:val="00EA2AAC"/>
    <w:rsid w:val="00ED6189"/>
    <w:rsid w:val="00EF38B4"/>
    <w:rsid w:val="00FC122B"/>
    <w:rsid w:val="00FD4A42"/>
    <w:rsid w:val="00FE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1050"/>
  <w15:chartTrackingRefBased/>
  <w15:docId w15:val="{0828F005-25EC-44D3-89AE-D4F76A92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614"/>
    <w:pPr>
      <w:spacing w:after="0" w:line="240" w:lineRule="auto"/>
      <w:outlineLvl w:val="0"/>
    </w:pPr>
    <w:rPr>
      <w:rFonts w:ascii="Cambria" w:eastAsia="Times New Roman" w:hAnsi="Cambria" w:cs="Times New Roman"/>
      <w:b/>
      <w:color w:val="000000"/>
      <w:sz w:val="24"/>
      <w:szCs w:val="24"/>
    </w:rPr>
  </w:style>
  <w:style w:type="paragraph" w:styleId="Heading2">
    <w:name w:val="heading 2"/>
    <w:basedOn w:val="Normal"/>
    <w:next w:val="Normal"/>
    <w:link w:val="Heading2Char"/>
    <w:uiPriority w:val="9"/>
    <w:unhideWhenUsed/>
    <w:qFormat/>
    <w:rsid w:val="00CA3614"/>
    <w:pPr>
      <w:ind w:left="360"/>
      <w:outlineLvl w:val="1"/>
    </w:pPr>
    <w:rPr>
      <w:rFonts w:ascii="Cambria" w:hAnsi="Cambria"/>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89"/>
  </w:style>
  <w:style w:type="paragraph" w:styleId="Footer">
    <w:name w:val="footer"/>
    <w:basedOn w:val="Normal"/>
    <w:link w:val="FooterChar"/>
    <w:uiPriority w:val="99"/>
    <w:unhideWhenUsed/>
    <w:rsid w:val="00ED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89"/>
  </w:style>
  <w:style w:type="paragraph" w:styleId="BalloonText">
    <w:name w:val="Balloon Text"/>
    <w:basedOn w:val="Normal"/>
    <w:link w:val="BalloonTextChar"/>
    <w:uiPriority w:val="99"/>
    <w:semiHidden/>
    <w:unhideWhenUsed/>
    <w:rsid w:val="002A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37"/>
    <w:rPr>
      <w:rFonts w:ascii="Segoe UI" w:hAnsi="Segoe UI" w:cs="Segoe UI"/>
      <w:sz w:val="18"/>
      <w:szCs w:val="18"/>
    </w:rPr>
  </w:style>
  <w:style w:type="character" w:customStyle="1" w:styleId="Heading1Char">
    <w:name w:val="Heading 1 Char"/>
    <w:basedOn w:val="DefaultParagraphFont"/>
    <w:link w:val="Heading1"/>
    <w:uiPriority w:val="9"/>
    <w:rsid w:val="00CA3614"/>
    <w:rPr>
      <w:rFonts w:ascii="Cambria" w:eastAsia="Times New Roman" w:hAnsi="Cambria" w:cs="Times New Roman"/>
      <w:b/>
      <w:color w:val="000000"/>
      <w:sz w:val="24"/>
      <w:szCs w:val="24"/>
    </w:rPr>
  </w:style>
  <w:style w:type="character" w:customStyle="1" w:styleId="Heading2Char">
    <w:name w:val="Heading 2 Char"/>
    <w:basedOn w:val="DefaultParagraphFont"/>
    <w:link w:val="Heading2"/>
    <w:uiPriority w:val="9"/>
    <w:rsid w:val="00CA3614"/>
    <w:rPr>
      <w:rFonts w:ascii="Cambria" w:hAnsi="Cambria"/>
      <w:sz w:val="24"/>
      <w:szCs w:val="16"/>
    </w:rPr>
  </w:style>
  <w:style w:type="character" w:styleId="CommentReference">
    <w:name w:val="annotation reference"/>
    <w:basedOn w:val="DefaultParagraphFont"/>
    <w:uiPriority w:val="99"/>
    <w:semiHidden/>
    <w:unhideWhenUsed/>
    <w:rsid w:val="004933D9"/>
    <w:rPr>
      <w:sz w:val="16"/>
      <w:szCs w:val="16"/>
    </w:rPr>
  </w:style>
  <w:style w:type="paragraph" w:styleId="CommentText">
    <w:name w:val="annotation text"/>
    <w:basedOn w:val="Normal"/>
    <w:link w:val="CommentTextChar"/>
    <w:uiPriority w:val="99"/>
    <w:semiHidden/>
    <w:unhideWhenUsed/>
    <w:rsid w:val="004933D9"/>
    <w:pPr>
      <w:spacing w:line="240" w:lineRule="auto"/>
    </w:pPr>
    <w:rPr>
      <w:sz w:val="20"/>
      <w:szCs w:val="20"/>
    </w:rPr>
  </w:style>
  <w:style w:type="character" w:customStyle="1" w:styleId="CommentTextChar">
    <w:name w:val="Comment Text Char"/>
    <w:basedOn w:val="DefaultParagraphFont"/>
    <w:link w:val="CommentText"/>
    <w:uiPriority w:val="99"/>
    <w:semiHidden/>
    <w:rsid w:val="004933D9"/>
    <w:rPr>
      <w:sz w:val="20"/>
      <w:szCs w:val="20"/>
    </w:rPr>
  </w:style>
  <w:style w:type="paragraph" w:styleId="CommentSubject">
    <w:name w:val="annotation subject"/>
    <w:basedOn w:val="CommentText"/>
    <w:next w:val="CommentText"/>
    <w:link w:val="CommentSubjectChar"/>
    <w:uiPriority w:val="99"/>
    <w:semiHidden/>
    <w:unhideWhenUsed/>
    <w:rsid w:val="004933D9"/>
    <w:rPr>
      <w:b/>
      <w:bCs/>
    </w:rPr>
  </w:style>
  <w:style w:type="character" w:customStyle="1" w:styleId="CommentSubjectChar">
    <w:name w:val="Comment Subject Char"/>
    <w:basedOn w:val="CommentTextChar"/>
    <w:link w:val="CommentSubject"/>
    <w:uiPriority w:val="99"/>
    <w:semiHidden/>
    <w:rsid w:val="004933D9"/>
    <w:rPr>
      <w:b/>
      <w:bCs/>
      <w:sz w:val="20"/>
      <w:szCs w:val="20"/>
    </w:rPr>
  </w:style>
  <w:style w:type="table" w:customStyle="1" w:styleId="2">
    <w:name w:val="2"/>
    <w:basedOn w:val="TableNormal"/>
    <w:rsid w:val="004368D7"/>
    <w:pPr>
      <w:pBdr>
        <w:top w:val="nil"/>
        <w:left w:val="nil"/>
        <w:bottom w:val="nil"/>
        <w:right w:val="nil"/>
        <w:between w:val="nil"/>
      </w:pBdr>
      <w:spacing w:after="0" w:line="276" w:lineRule="auto"/>
    </w:pPr>
    <w:rPr>
      <w:rFonts w:ascii="Arial" w:eastAsia="Arial" w:hAnsi="Arial" w:cs="Arial"/>
      <w:color w:val="000000"/>
      <w:lang w:val="en"/>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886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7310">
      <w:bodyDiv w:val="1"/>
      <w:marLeft w:val="0"/>
      <w:marRight w:val="0"/>
      <w:marTop w:val="0"/>
      <w:marBottom w:val="0"/>
      <w:divBdr>
        <w:top w:val="none" w:sz="0" w:space="0" w:color="auto"/>
        <w:left w:val="none" w:sz="0" w:space="0" w:color="auto"/>
        <w:bottom w:val="none" w:sz="0" w:space="0" w:color="auto"/>
        <w:right w:val="none" w:sz="0" w:space="0" w:color="auto"/>
      </w:divBdr>
    </w:div>
    <w:div w:id="952594427">
      <w:bodyDiv w:val="1"/>
      <w:marLeft w:val="0"/>
      <w:marRight w:val="0"/>
      <w:marTop w:val="0"/>
      <w:marBottom w:val="0"/>
      <w:divBdr>
        <w:top w:val="none" w:sz="0" w:space="0" w:color="auto"/>
        <w:left w:val="none" w:sz="0" w:space="0" w:color="auto"/>
        <w:bottom w:val="none" w:sz="0" w:space="0" w:color="auto"/>
        <w:right w:val="none" w:sz="0" w:space="0" w:color="auto"/>
      </w:divBdr>
    </w:div>
    <w:div w:id="1087387839">
      <w:bodyDiv w:val="1"/>
      <w:marLeft w:val="0"/>
      <w:marRight w:val="0"/>
      <w:marTop w:val="0"/>
      <w:marBottom w:val="0"/>
      <w:divBdr>
        <w:top w:val="none" w:sz="0" w:space="0" w:color="auto"/>
        <w:left w:val="none" w:sz="0" w:space="0" w:color="auto"/>
        <w:bottom w:val="none" w:sz="0" w:space="0" w:color="auto"/>
        <w:right w:val="none" w:sz="0" w:space="0" w:color="auto"/>
      </w:divBdr>
    </w:div>
    <w:div w:id="1333685089">
      <w:bodyDiv w:val="1"/>
      <w:marLeft w:val="0"/>
      <w:marRight w:val="0"/>
      <w:marTop w:val="0"/>
      <w:marBottom w:val="0"/>
      <w:divBdr>
        <w:top w:val="none" w:sz="0" w:space="0" w:color="auto"/>
        <w:left w:val="none" w:sz="0" w:space="0" w:color="auto"/>
        <w:bottom w:val="none" w:sz="0" w:space="0" w:color="auto"/>
        <w:right w:val="none" w:sz="0" w:space="0" w:color="auto"/>
      </w:divBdr>
    </w:div>
    <w:div w:id="1405638213">
      <w:bodyDiv w:val="1"/>
      <w:marLeft w:val="0"/>
      <w:marRight w:val="0"/>
      <w:marTop w:val="0"/>
      <w:marBottom w:val="0"/>
      <w:divBdr>
        <w:top w:val="none" w:sz="0" w:space="0" w:color="auto"/>
        <w:left w:val="none" w:sz="0" w:space="0" w:color="auto"/>
        <w:bottom w:val="none" w:sz="0" w:space="0" w:color="auto"/>
        <w:right w:val="none" w:sz="0" w:space="0" w:color="auto"/>
      </w:divBdr>
    </w:div>
    <w:div w:id="1407917444">
      <w:bodyDiv w:val="1"/>
      <w:marLeft w:val="0"/>
      <w:marRight w:val="0"/>
      <w:marTop w:val="0"/>
      <w:marBottom w:val="0"/>
      <w:divBdr>
        <w:top w:val="none" w:sz="0" w:space="0" w:color="auto"/>
        <w:left w:val="none" w:sz="0" w:space="0" w:color="auto"/>
        <w:bottom w:val="none" w:sz="0" w:space="0" w:color="auto"/>
        <w:right w:val="none" w:sz="0" w:space="0" w:color="auto"/>
      </w:divBdr>
    </w:div>
    <w:div w:id="1498881746">
      <w:bodyDiv w:val="1"/>
      <w:marLeft w:val="0"/>
      <w:marRight w:val="0"/>
      <w:marTop w:val="0"/>
      <w:marBottom w:val="0"/>
      <w:divBdr>
        <w:top w:val="none" w:sz="0" w:space="0" w:color="auto"/>
        <w:left w:val="none" w:sz="0" w:space="0" w:color="auto"/>
        <w:bottom w:val="none" w:sz="0" w:space="0" w:color="auto"/>
        <w:right w:val="none" w:sz="0" w:space="0" w:color="auto"/>
      </w:divBdr>
    </w:div>
    <w:div w:id="1711495909">
      <w:bodyDiv w:val="1"/>
      <w:marLeft w:val="0"/>
      <w:marRight w:val="0"/>
      <w:marTop w:val="0"/>
      <w:marBottom w:val="0"/>
      <w:divBdr>
        <w:top w:val="none" w:sz="0" w:space="0" w:color="auto"/>
        <w:left w:val="none" w:sz="0" w:space="0" w:color="auto"/>
        <w:bottom w:val="none" w:sz="0" w:space="0" w:color="auto"/>
        <w:right w:val="none" w:sz="0" w:space="0" w:color="auto"/>
      </w:divBdr>
    </w:div>
    <w:div w:id="17831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10357</TotalTime>
  <Pages>33</Pages>
  <Words>53998</Words>
  <Characters>307789</Characters>
  <Application>Microsoft Office Word</Application>
  <DocSecurity>0</DocSecurity>
  <Lines>2564</Lines>
  <Paragraphs>722</Paragraphs>
  <ScaleCrop>false</ScaleCrop>
  <HeadingPairs>
    <vt:vector size="2" baseType="variant">
      <vt:variant>
        <vt:lpstr>Title</vt:lpstr>
      </vt:variant>
      <vt:variant>
        <vt:i4>1</vt:i4>
      </vt:variant>
    </vt:vector>
  </HeadingPairs>
  <TitlesOfParts>
    <vt:vector size="1" baseType="lpstr">
      <vt:lpstr/>
    </vt:vector>
  </TitlesOfParts>
  <Company>IUEM</Company>
  <LinksUpToDate>false</LinksUpToDate>
  <CharactersWithSpaces>361065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Himes-Cornell</dc:creator>
  <cp:keywords/>
  <dc:description/>
  <cp:lastModifiedBy>HimesCornell, Amber (FIAP)</cp:lastModifiedBy>
  <cp:revision>46</cp:revision>
  <cp:lastPrinted>2017-05-22T08:05:00Z</cp:lastPrinted>
  <dcterms:created xsi:type="dcterms:W3CDTF">2017-05-17T08:50:00Z</dcterms:created>
  <dcterms:modified xsi:type="dcterms:W3CDTF">2018-06-19T13:28:00Z</dcterms:modified>
</cp:coreProperties>
</file>