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A13B" w14:textId="77777777" w:rsidR="008A0915" w:rsidRDefault="008A0915" w:rsidP="008A0915">
      <w:pPr>
        <w:pStyle w:val="SupplementaryMaterial"/>
        <w:rPr>
          <w:b w:val="0"/>
        </w:rPr>
      </w:pPr>
      <w:bookmarkStart w:id="0" w:name="_Ref465172785"/>
      <w:bookmarkStart w:id="1" w:name="_Hlk508280809"/>
      <w:r>
        <w:t>Supplementary Material</w:t>
      </w:r>
    </w:p>
    <w:p w14:paraId="4CA6D697" w14:textId="77777777" w:rsidR="008A0915" w:rsidRPr="00BB248C" w:rsidRDefault="008A0915" w:rsidP="008A0915">
      <w:pPr>
        <w:suppressLineNumbers/>
        <w:spacing w:before="240" w:after="120" w:line="240" w:lineRule="auto"/>
        <w:ind w:left="709" w:hanging="709"/>
        <w:jc w:val="center"/>
        <w:outlineLvl w:val="0"/>
        <w:rPr>
          <w:b/>
          <w:sz w:val="32"/>
          <w:szCs w:val="32"/>
          <w:lang w:val="en-US"/>
        </w:rPr>
      </w:pPr>
      <w:r w:rsidRPr="00BB248C">
        <w:rPr>
          <w:b/>
          <w:sz w:val="32"/>
          <w:szCs w:val="32"/>
          <w:lang w:val="en-US"/>
        </w:rPr>
        <w:t>Immune thymic profile of the MOG-induced experimental autoimmune encephalomyelitis mouse model</w:t>
      </w:r>
    </w:p>
    <w:p w14:paraId="42563CFD" w14:textId="4982D2A5" w:rsidR="008A0915" w:rsidRPr="008A0915" w:rsidRDefault="008A0915" w:rsidP="008A0915">
      <w:pPr>
        <w:spacing w:before="240" w:after="240" w:line="240" w:lineRule="auto"/>
        <w:rPr>
          <w:b/>
          <w:lang w:val="en-US"/>
        </w:rPr>
      </w:pPr>
      <w:r w:rsidRPr="008A0915">
        <w:rPr>
          <w:b/>
          <w:lang w:val="en-US"/>
        </w:rPr>
        <w:t xml:space="preserve">Sofia P. das Neves, Cláudia Serre-Miranda, Claudia </w:t>
      </w:r>
      <w:proofErr w:type="spellStart"/>
      <w:r w:rsidRPr="008A0915">
        <w:rPr>
          <w:b/>
          <w:lang w:val="en-US"/>
        </w:rPr>
        <w:t>Nobrega</w:t>
      </w:r>
      <w:proofErr w:type="spellEnd"/>
      <w:r w:rsidRPr="008A0915">
        <w:rPr>
          <w:b/>
          <w:lang w:val="en-US"/>
        </w:rPr>
        <w:t>, Susana Roque, João J. Cerqueira, Margarida Correia-Neves, Fernanda Marques</w:t>
      </w:r>
      <w:r w:rsidRPr="008A0915">
        <w:rPr>
          <w:b/>
          <w:vertAlign w:val="superscript"/>
          <w:lang w:val="en-US"/>
        </w:rPr>
        <w:t>*</w:t>
      </w:r>
    </w:p>
    <w:p w14:paraId="2778C15A" w14:textId="1E630D79" w:rsidR="008A0915" w:rsidRDefault="008A0915" w:rsidP="008A0915">
      <w:pPr>
        <w:spacing w:line="480" w:lineRule="auto"/>
        <w:rPr>
          <w:lang w:val="en-US"/>
        </w:rPr>
      </w:pPr>
      <w:r w:rsidRPr="00BB248C">
        <w:rPr>
          <w:rFonts w:eastAsia="Times New Roman"/>
          <w:color w:val="000000"/>
          <w:vertAlign w:val="superscript"/>
          <w:lang w:val="en-US" w:eastAsia="en-GB"/>
        </w:rPr>
        <w:t>*</w:t>
      </w:r>
      <w:r w:rsidRPr="00BB248C">
        <w:rPr>
          <w:lang w:val="en-US"/>
        </w:rPr>
        <w:t xml:space="preserve"> </w:t>
      </w:r>
      <w:r w:rsidRPr="008A0915">
        <w:rPr>
          <w:b/>
          <w:lang w:val="en-US"/>
        </w:rPr>
        <w:t>Correspondence</w:t>
      </w:r>
      <w:r w:rsidRPr="00BB248C">
        <w:rPr>
          <w:lang w:val="en-US"/>
        </w:rPr>
        <w:t>:</w:t>
      </w:r>
      <w:r>
        <w:rPr>
          <w:lang w:val="en-US"/>
        </w:rPr>
        <w:t xml:space="preserve"> Corresponding Author:</w:t>
      </w:r>
      <w:r w:rsidRPr="00BB248C">
        <w:rPr>
          <w:lang w:val="en-US"/>
        </w:rPr>
        <w:t xml:space="preserve"> </w:t>
      </w:r>
      <w:r w:rsidR="003B6270" w:rsidRPr="003B6270">
        <w:rPr>
          <w:lang w:val="en-US"/>
        </w:rPr>
        <w:t>fmarques@med.uminho.pt</w:t>
      </w:r>
    </w:p>
    <w:p w14:paraId="123D8D7D" w14:textId="77777777" w:rsidR="003B6270" w:rsidRPr="00BB248C" w:rsidRDefault="003B6270" w:rsidP="008A0915">
      <w:pPr>
        <w:spacing w:line="480" w:lineRule="auto"/>
        <w:rPr>
          <w:lang w:val="en-US"/>
        </w:rPr>
      </w:pPr>
    </w:p>
    <w:bookmarkEnd w:id="0"/>
    <w:bookmarkEnd w:id="1"/>
    <w:p w14:paraId="732758EF" w14:textId="02D0942E" w:rsidR="005E781A" w:rsidRDefault="00274623" w:rsidP="00274623">
      <w:pPr>
        <w:spacing w:line="240" w:lineRule="auto"/>
        <w:jc w:val="left"/>
        <w:rPr>
          <w:b/>
        </w:rPr>
      </w:pPr>
      <w:r>
        <w:rPr>
          <w:b/>
          <w:noProof/>
        </w:rPr>
        <w:drawing>
          <wp:inline distT="0" distB="0" distL="0" distR="0" wp14:anchorId="20D2F822" wp14:editId="7BDDB0B2">
            <wp:extent cx="5760720" cy="1801368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 1_gating strateg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8BE2" w14:textId="4F625688" w:rsidR="00E84737" w:rsidRDefault="00274623" w:rsidP="003B6270">
      <w:pPr>
        <w:pStyle w:val="Legenda"/>
        <w:spacing w:line="240" w:lineRule="auto"/>
        <w:outlineLvl w:val="0"/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Supplementa</w:t>
      </w:r>
      <w:r w:rsidR="008A0915">
        <w:rPr>
          <w:sz w:val="24"/>
          <w:szCs w:val="24"/>
          <w:lang w:val="en-US"/>
        </w:rPr>
        <w:t>ry</w:t>
      </w:r>
      <w:r>
        <w:rPr>
          <w:sz w:val="24"/>
          <w:szCs w:val="24"/>
          <w:lang w:val="en-US"/>
        </w:rPr>
        <w:t xml:space="preserve"> </w:t>
      </w:r>
      <w:r w:rsidRPr="00B1312E">
        <w:rPr>
          <w:sz w:val="24"/>
          <w:szCs w:val="24"/>
          <w:lang w:val="en-US"/>
        </w:rPr>
        <w:t>Fig</w:t>
      </w:r>
      <w:r w:rsidR="008A0915">
        <w:rPr>
          <w:sz w:val="24"/>
          <w:szCs w:val="24"/>
          <w:lang w:val="en-US"/>
        </w:rPr>
        <w:t>ure</w:t>
      </w:r>
      <w:r w:rsidRPr="00B1312E">
        <w:rPr>
          <w:sz w:val="24"/>
          <w:szCs w:val="24"/>
          <w:lang w:val="en-US"/>
        </w:rPr>
        <w:t xml:space="preserve"> 1 - Gating strategy used to analyze the flow cytometry data. </w:t>
      </w:r>
      <w:r w:rsidRPr="00B1312E">
        <w:rPr>
          <w:b w:val="0"/>
          <w:sz w:val="24"/>
          <w:szCs w:val="24"/>
          <w:lang w:val="en-US"/>
        </w:rPr>
        <w:t xml:space="preserve">Singlets were gated using the FSC-A </w:t>
      </w:r>
      <w:r w:rsidRPr="00B1312E">
        <w:rPr>
          <w:b w:val="0"/>
          <w:i/>
          <w:sz w:val="24"/>
          <w:szCs w:val="24"/>
          <w:lang w:val="en-US"/>
        </w:rPr>
        <w:t>vs</w:t>
      </w:r>
      <w:r w:rsidRPr="00B1312E">
        <w:rPr>
          <w:b w:val="0"/>
          <w:sz w:val="24"/>
          <w:szCs w:val="24"/>
          <w:lang w:val="en-US"/>
        </w:rPr>
        <w:t xml:space="preserve">. FSC-H plot, followed by exclusion of cell debris using the FSC-A </w:t>
      </w:r>
      <w:r w:rsidRPr="00B1312E">
        <w:rPr>
          <w:b w:val="0"/>
          <w:i/>
          <w:sz w:val="24"/>
          <w:szCs w:val="24"/>
          <w:lang w:val="en-US"/>
        </w:rPr>
        <w:t>vs</w:t>
      </w:r>
      <w:r w:rsidRPr="00B1312E">
        <w:rPr>
          <w:b w:val="0"/>
          <w:sz w:val="24"/>
          <w:szCs w:val="24"/>
          <w:lang w:val="en-US"/>
        </w:rPr>
        <w:t xml:space="preserve">. SSC-A plot. The DN, DP, CD4SP and CD8SP populations were gated in the CD8 </w:t>
      </w:r>
      <w:r w:rsidRPr="00B1312E">
        <w:rPr>
          <w:b w:val="0"/>
          <w:i/>
          <w:sz w:val="24"/>
          <w:szCs w:val="24"/>
          <w:lang w:val="en-US"/>
        </w:rPr>
        <w:t>vs</w:t>
      </w:r>
      <w:r w:rsidRPr="00B1312E">
        <w:rPr>
          <w:b w:val="0"/>
          <w:sz w:val="24"/>
          <w:szCs w:val="24"/>
          <w:lang w:val="en-US"/>
        </w:rPr>
        <w:t>. CD4 plot, within total cells. The presence of CD3 expression was evaluated by histogram, for CD4SP and CD8SP populations</w:t>
      </w:r>
      <w:r w:rsidR="003B6270">
        <w:rPr>
          <w:b w:val="0"/>
          <w:sz w:val="24"/>
          <w:szCs w:val="24"/>
          <w:lang w:val="en-US"/>
        </w:rPr>
        <w:t>.</w:t>
      </w:r>
    </w:p>
    <w:p w14:paraId="0A9E81A4" w14:textId="77777777" w:rsidR="00E84737" w:rsidRDefault="00E84737">
      <w:pPr>
        <w:spacing w:line="240" w:lineRule="auto"/>
        <w:jc w:val="left"/>
        <w:rPr>
          <w:rFonts w:eastAsia="Times New Roman"/>
          <w:bCs/>
          <w:lang w:val="en-US" w:eastAsia="pt-PT"/>
        </w:rPr>
      </w:pPr>
      <w:r>
        <w:rPr>
          <w:b/>
          <w:lang w:val="en-US"/>
        </w:rPr>
        <w:br w:type="page"/>
      </w:r>
    </w:p>
    <w:p w14:paraId="7DE02912" w14:textId="77777777" w:rsidR="00E84737" w:rsidRDefault="00E84737" w:rsidP="00E84737">
      <w:pPr>
        <w:pStyle w:val="Legenda"/>
        <w:spacing w:line="480" w:lineRule="auto"/>
        <w:jc w:val="center"/>
        <w:outlineLvl w:val="0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  <w:lang w:val="en-US"/>
        </w:rPr>
        <w:lastRenderedPageBreak/>
        <w:drawing>
          <wp:inline distT="0" distB="0" distL="0" distR="0" wp14:anchorId="2E4EE89E" wp14:editId="243EBD55">
            <wp:extent cx="4788408" cy="151180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408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9618" w14:textId="7A5785D6" w:rsidR="00917A5F" w:rsidRDefault="00E84737" w:rsidP="00E84737">
      <w:pPr>
        <w:pStyle w:val="Legenda"/>
        <w:spacing w:line="240" w:lineRule="auto"/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Supplementary</w:t>
      </w:r>
      <w:r w:rsidRPr="00B1312E">
        <w:rPr>
          <w:sz w:val="24"/>
          <w:szCs w:val="24"/>
          <w:lang w:val="en-US"/>
        </w:rPr>
        <w:t xml:space="preserve"> Fig</w:t>
      </w:r>
      <w:r>
        <w:rPr>
          <w:sz w:val="24"/>
          <w:szCs w:val="24"/>
          <w:lang w:val="en-US"/>
        </w:rPr>
        <w:t>ure</w:t>
      </w:r>
      <w:r w:rsidRPr="00B1312E">
        <w:rPr>
          <w:sz w:val="24"/>
          <w:szCs w:val="24"/>
          <w:lang w:val="en-US"/>
        </w:rPr>
        <w:t xml:space="preserve"> 2 – Disease progression of a chronic model of EAE in C57BL/6 female mice. </w:t>
      </w:r>
      <w:r w:rsidRPr="00B1312E">
        <w:rPr>
          <w:b w:val="0"/>
          <w:sz w:val="24"/>
          <w:szCs w:val="24"/>
          <w:lang w:val="en-US"/>
        </w:rPr>
        <w:t>C57BL/6 females were injected with an emulsion containing MOG</w:t>
      </w:r>
      <w:r w:rsidRPr="00B1312E">
        <w:rPr>
          <w:b w:val="0"/>
          <w:sz w:val="24"/>
          <w:szCs w:val="24"/>
          <w:vertAlign w:val="subscript"/>
          <w:lang w:val="en-US"/>
        </w:rPr>
        <w:t>35-55</w:t>
      </w:r>
      <w:r w:rsidRPr="00B1312E">
        <w:rPr>
          <w:b w:val="0"/>
          <w:sz w:val="24"/>
          <w:szCs w:val="24"/>
          <w:lang w:val="en-US"/>
        </w:rPr>
        <w:t xml:space="preserve"> to induce EAE and were weighted and monitored daily for clinical symptoms of disease. Non-induced mice were used as controls. EAE</w:t>
      </w:r>
      <w:r w:rsidRPr="00B1312E">
        <w:rPr>
          <w:sz w:val="24"/>
          <w:szCs w:val="24"/>
          <w:lang w:val="en-US"/>
        </w:rPr>
        <w:t xml:space="preserve"> </w:t>
      </w:r>
      <w:r w:rsidRPr="00B1312E">
        <w:rPr>
          <w:b w:val="0"/>
          <w:sz w:val="24"/>
          <w:szCs w:val="24"/>
          <w:lang w:val="en-US"/>
        </w:rPr>
        <w:t>mice started losing weight by day 11 post-EAE induction (</w:t>
      </w:r>
      <w:r w:rsidRPr="00DF3557">
        <w:rPr>
          <w:sz w:val="24"/>
          <w:szCs w:val="24"/>
          <w:lang w:val="en-US"/>
        </w:rPr>
        <w:t>A</w:t>
      </w:r>
      <w:r w:rsidRPr="00B1312E">
        <w:rPr>
          <w:b w:val="0"/>
          <w:sz w:val="24"/>
          <w:szCs w:val="24"/>
          <w:lang w:val="en-US"/>
        </w:rPr>
        <w:t>), when they also started to present the first clinical symptoms of disease (</w:t>
      </w:r>
      <w:r w:rsidRPr="00DF3557">
        <w:rPr>
          <w:sz w:val="24"/>
          <w:szCs w:val="24"/>
          <w:lang w:val="en-US"/>
        </w:rPr>
        <w:t>B</w:t>
      </w:r>
      <w:r w:rsidRPr="00B1312E">
        <w:rPr>
          <w:b w:val="0"/>
          <w:sz w:val="24"/>
          <w:szCs w:val="24"/>
          <w:lang w:val="en-US"/>
        </w:rPr>
        <w:t xml:space="preserve">) (2 independent experiments; </w:t>
      </w:r>
      <w:proofErr w:type="spellStart"/>
      <w:r w:rsidRPr="00B1312E">
        <w:rPr>
          <w:b w:val="0"/>
          <w:sz w:val="24"/>
          <w:szCs w:val="24"/>
          <w:lang w:val="en-US"/>
        </w:rPr>
        <w:t>n</w:t>
      </w:r>
      <w:r w:rsidRPr="00B1312E">
        <w:rPr>
          <w:b w:val="0"/>
          <w:sz w:val="24"/>
          <w:szCs w:val="24"/>
          <w:vertAlign w:val="subscript"/>
          <w:lang w:val="en-US"/>
        </w:rPr>
        <w:t>non</w:t>
      </w:r>
      <w:proofErr w:type="spellEnd"/>
      <w:r w:rsidRPr="00B1312E">
        <w:rPr>
          <w:b w:val="0"/>
          <w:sz w:val="24"/>
          <w:szCs w:val="24"/>
          <w:vertAlign w:val="subscript"/>
          <w:lang w:val="en-US"/>
        </w:rPr>
        <w:t xml:space="preserve">-induced </w:t>
      </w:r>
      <w:r w:rsidRPr="00B1312E">
        <w:rPr>
          <w:b w:val="0"/>
          <w:sz w:val="24"/>
          <w:szCs w:val="24"/>
          <w:lang w:val="en-US"/>
        </w:rPr>
        <w:t xml:space="preserve">= 30, </w:t>
      </w:r>
      <w:proofErr w:type="spellStart"/>
      <w:r w:rsidRPr="00B1312E">
        <w:rPr>
          <w:b w:val="0"/>
          <w:sz w:val="24"/>
          <w:szCs w:val="24"/>
          <w:lang w:val="en-US"/>
        </w:rPr>
        <w:t>n</w:t>
      </w:r>
      <w:r w:rsidRPr="00B1312E">
        <w:rPr>
          <w:b w:val="0"/>
          <w:sz w:val="24"/>
          <w:szCs w:val="24"/>
          <w:vertAlign w:val="subscript"/>
          <w:lang w:val="en-US"/>
        </w:rPr>
        <w:t>EAE</w:t>
      </w:r>
      <w:proofErr w:type="spellEnd"/>
      <w:r w:rsidRPr="00B1312E">
        <w:rPr>
          <w:b w:val="0"/>
          <w:sz w:val="24"/>
          <w:szCs w:val="24"/>
          <w:lang w:val="en-US"/>
        </w:rPr>
        <w:t xml:space="preserve"> = 37). By day 16, animals had already lost around 20% of their initial weight and the disease reached a peak of activity, and from this day until the end of the experiment, animals maintained similar weights and clinical scores. Both experimental groups, EAE and non-induced, were sacrificed on days 16 (onset) and 23 (chronic) post induction. Data presented as mean ± SEM. </w:t>
      </w:r>
    </w:p>
    <w:p w14:paraId="0AB66A84" w14:textId="77777777" w:rsidR="00917A5F" w:rsidRDefault="00917A5F">
      <w:pPr>
        <w:spacing w:line="240" w:lineRule="auto"/>
        <w:jc w:val="left"/>
        <w:rPr>
          <w:rFonts w:eastAsia="Times New Roman"/>
          <w:bCs/>
          <w:lang w:val="en-US" w:eastAsia="pt-PT"/>
        </w:rPr>
      </w:pPr>
      <w:r>
        <w:rPr>
          <w:b/>
          <w:lang w:val="en-US"/>
        </w:rPr>
        <w:br w:type="page"/>
      </w:r>
    </w:p>
    <w:p w14:paraId="6715AEDB" w14:textId="77777777" w:rsidR="00917A5F" w:rsidRDefault="00917A5F" w:rsidP="00917A5F">
      <w:pPr>
        <w:pStyle w:val="Legenda"/>
        <w:keepNext/>
        <w:spacing w:line="240" w:lineRule="auto"/>
      </w:pPr>
      <w:r>
        <w:rPr>
          <w:b w:val="0"/>
          <w:noProof/>
          <w:sz w:val="24"/>
          <w:szCs w:val="24"/>
          <w:lang w:val="en-US"/>
        </w:rPr>
        <w:lastRenderedPageBreak/>
        <w:drawing>
          <wp:inline distT="0" distB="0" distL="0" distR="0" wp14:anchorId="3B9BDECF" wp14:editId="25378B5F">
            <wp:extent cx="6116320" cy="21596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Neves et al Supplementary Figure 3 Revi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400A" w14:textId="6A72505A" w:rsidR="00E84737" w:rsidRPr="00917A5F" w:rsidRDefault="00917A5F" w:rsidP="00B54A53">
      <w:pPr>
        <w:pStyle w:val="Legenda"/>
        <w:spacing w:line="240" w:lineRule="auto"/>
        <w:rPr>
          <w:b w:val="0"/>
          <w:sz w:val="24"/>
          <w:szCs w:val="24"/>
          <w:lang w:val="en-US"/>
        </w:rPr>
      </w:pPr>
      <w:r w:rsidRPr="00917A5F">
        <w:rPr>
          <w:sz w:val="24"/>
          <w:szCs w:val="24"/>
          <w:lang w:val="en-US"/>
        </w:rPr>
        <w:t xml:space="preserve">Supplementary Figure 3 – EAE animals presented lesioned </w:t>
      </w:r>
      <w:r>
        <w:rPr>
          <w:sz w:val="24"/>
          <w:szCs w:val="24"/>
          <w:lang w:val="en-US"/>
        </w:rPr>
        <w:t>area</w:t>
      </w:r>
      <w:r w:rsidRPr="00917A5F">
        <w:rPr>
          <w:sz w:val="24"/>
          <w:szCs w:val="24"/>
          <w:lang w:val="en-US"/>
        </w:rPr>
        <w:t xml:space="preserve"> in the spinal cord’ white matter. </w:t>
      </w:r>
      <w:r>
        <w:rPr>
          <w:b w:val="0"/>
          <w:sz w:val="24"/>
          <w:szCs w:val="24"/>
          <w:lang w:val="en-US"/>
        </w:rPr>
        <w:t>After staining spinal cord sections with Luxol Fast Blue it was possible to observe lesioned areas in the white matter of EAE animals,</w:t>
      </w:r>
      <w:r w:rsidRPr="00917A5F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presenting inflammatory infiltrates and paler blue staining (arrows center and right panel), which were not present in non-induced animals (left panel) (scale bars indicate 200 µm).</w:t>
      </w:r>
    </w:p>
    <w:p w14:paraId="13DF4104" w14:textId="77777777" w:rsidR="00E84737" w:rsidRDefault="00E84737">
      <w:pPr>
        <w:spacing w:line="240" w:lineRule="auto"/>
        <w:jc w:val="left"/>
        <w:rPr>
          <w:rFonts w:eastAsia="Times New Roman"/>
          <w:bCs/>
          <w:lang w:val="en-US" w:eastAsia="pt-PT"/>
        </w:rPr>
      </w:pPr>
      <w:r>
        <w:rPr>
          <w:b/>
          <w:lang w:val="en-US"/>
        </w:rPr>
        <w:br w:type="page"/>
      </w:r>
    </w:p>
    <w:p w14:paraId="76CE0281" w14:textId="41317C50" w:rsidR="00E84737" w:rsidRPr="00314C77" w:rsidRDefault="00E84737" w:rsidP="00E84737">
      <w:pPr>
        <w:pStyle w:val="Legenda"/>
        <w:keepNext/>
        <w:spacing w:line="240" w:lineRule="auto"/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Supplementary </w:t>
      </w:r>
      <w:r w:rsidRPr="00314C77">
        <w:rPr>
          <w:sz w:val="24"/>
          <w:szCs w:val="24"/>
          <w:lang w:val="en-US"/>
        </w:rPr>
        <w:t xml:space="preserve">Table </w:t>
      </w:r>
      <w:r>
        <w:rPr>
          <w:sz w:val="24"/>
          <w:szCs w:val="24"/>
          <w:lang w:val="en-US"/>
        </w:rPr>
        <w:t>1</w:t>
      </w:r>
      <w:r w:rsidRPr="00314C77">
        <w:rPr>
          <w:sz w:val="24"/>
          <w:szCs w:val="24"/>
          <w:lang w:val="en-US"/>
        </w:rPr>
        <w:t xml:space="preserve"> – </w:t>
      </w:r>
      <w:r w:rsidRPr="00314C77">
        <w:rPr>
          <w:b w:val="0"/>
          <w:sz w:val="24"/>
          <w:szCs w:val="24"/>
          <w:lang w:val="en-US"/>
        </w:rPr>
        <w:t xml:space="preserve">Genes analyzed by </w:t>
      </w:r>
      <w:proofErr w:type="spellStart"/>
      <w:r w:rsidRPr="00314C77">
        <w:rPr>
          <w:b w:val="0"/>
          <w:sz w:val="24"/>
          <w:szCs w:val="24"/>
          <w:lang w:val="en-US"/>
        </w:rPr>
        <w:t>qRT</w:t>
      </w:r>
      <w:proofErr w:type="spellEnd"/>
      <w:r w:rsidRPr="00314C77">
        <w:rPr>
          <w:b w:val="0"/>
          <w:sz w:val="24"/>
          <w:szCs w:val="24"/>
          <w:lang w:val="en-US"/>
        </w:rPr>
        <w:t>-PCR, respective primers sequences and GenBank accession numbers</w:t>
      </w:r>
      <w:r>
        <w:rPr>
          <w:b w:val="0"/>
          <w:sz w:val="24"/>
          <w:szCs w:val="24"/>
          <w:lang w:val="en-US"/>
        </w:rPr>
        <w:t>.</w:t>
      </w:r>
    </w:p>
    <w:tbl>
      <w:tblPr>
        <w:tblStyle w:val="TabelaSimples4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417"/>
        <w:gridCol w:w="1843"/>
      </w:tblGrid>
      <w:tr w:rsidR="00E84737" w:rsidRPr="00524A2B" w14:paraId="047E21E4" w14:textId="77777777" w:rsidTr="00583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2F6B6" w14:textId="77777777" w:rsidR="00E84737" w:rsidRPr="00524A2B" w:rsidRDefault="00E84737" w:rsidP="00583B14">
            <w:pPr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Gene symbol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F9B08" w14:textId="77777777" w:rsidR="00E84737" w:rsidRPr="00524A2B" w:rsidRDefault="00E84737" w:rsidP="00583B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Primer sequence</w:t>
            </w:r>
          </w:p>
          <w:p w14:paraId="37EB3F80" w14:textId="77777777" w:rsidR="00E84737" w:rsidRPr="00524A2B" w:rsidRDefault="00E84737" w:rsidP="0058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(5’ → 3’)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FD0D0" w14:textId="77777777" w:rsidR="00E84737" w:rsidRPr="00524A2B" w:rsidRDefault="00E84737" w:rsidP="00583B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Annealing temperature (ºC)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AA80F" w14:textId="77777777" w:rsidR="00E84737" w:rsidRPr="00524A2B" w:rsidRDefault="00E84737" w:rsidP="00583B1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GenBank accession number</w:t>
            </w:r>
          </w:p>
        </w:tc>
      </w:tr>
      <w:tr w:rsidR="00E84737" w:rsidRPr="00524A2B" w14:paraId="42579FA8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6E484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18S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35D9A11A" w14:textId="77777777" w:rsidR="00E84737" w:rsidRPr="00524A2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CGGCTACCACATCCAAGGAA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633BD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BDCEE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NR_003278.3</w:t>
            </w:r>
          </w:p>
        </w:tc>
      </w:tr>
      <w:tr w:rsidR="00E84737" w:rsidRPr="00524A2B" w14:paraId="23339389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4B9FD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2AFDD1B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G</w:t>
            </w:r>
            <w:r w:rsidRPr="00524A2B">
              <w:rPr>
                <w:sz w:val="22"/>
                <w:szCs w:val="22"/>
              </w:rPr>
              <w:t>CTGGAATTACCGCGGCT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1FF25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5F9F9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</w:tr>
      <w:tr w:rsidR="00E84737" w:rsidRPr="00524A2B" w14:paraId="0813360E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FAC97" w14:textId="77777777" w:rsidR="00E84737" w:rsidRPr="00524A2B" w:rsidRDefault="00E84737" w:rsidP="00583B14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Atp5b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A7CCAB6" w14:textId="77777777" w:rsidR="00E84737" w:rsidRPr="00524A2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GGCCAAGATGTCCTGCTGTT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98840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CDAD0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NM_016774.3</w:t>
            </w:r>
          </w:p>
        </w:tc>
      </w:tr>
      <w:tr w:rsidR="00E84737" w:rsidRPr="00524A2B" w14:paraId="2BACEEC9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D7E6A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4B7A5B6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GCTGGTAGCCTACAGCAGAAGG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24F6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FD64C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</w:tr>
      <w:tr w:rsidR="00E84737" w:rsidRPr="00524A2B" w14:paraId="24D10748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724F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Bcl11b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639AF9A5" w14:textId="77777777" w:rsidR="00E84737" w:rsidRPr="00524A2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TACTGTCACCCACGAAAGGC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80A94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AAF39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NM_001079883.1</w:t>
            </w:r>
          </w:p>
        </w:tc>
      </w:tr>
      <w:tr w:rsidR="00E84737" w:rsidRPr="00524A2B" w14:paraId="23BA23A2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12C74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7E302B4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TGGGAAGAGGAGGCAGCTAT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BA5D0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4CEB1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</w:tr>
      <w:tr w:rsidR="00E84737" w:rsidRPr="00524A2B" w14:paraId="464FF671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5D4B2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Bcl2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0FED7826" w14:textId="77777777" w:rsidR="00E84737" w:rsidRPr="00524A2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GGATGCCTTTGTGGAACTG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70839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331F3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NM_009741.5</w:t>
            </w:r>
          </w:p>
        </w:tc>
      </w:tr>
      <w:tr w:rsidR="00E84737" w:rsidRPr="00524A2B" w14:paraId="543CCB16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2B9D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8CBE25B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CAGCCAGGAGAAATCAAACAG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77901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9DAD5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</w:tr>
      <w:tr w:rsidR="00E84737" w:rsidRPr="00524A2B" w14:paraId="4C2203F4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7DD30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524A2B">
              <w:rPr>
                <w:b w:val="0"/>
                <w:i/>
                <w:sz w:val="22"/>
                <w:szCs w:val="22"/>
                <w:lang w:val="en-US"/>
              </w:rPr>
              <w:t>Hspcb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EFD5E3E" w14:textId="77777777" w:rsidR="00E84737" w:rsidRPr="00524A2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GCTGGCTGAGGACAAGGAGA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4843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2713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NM_008302.3</w:t>
            </w:r>
          </w:p>
        </w:tc>
      </w:tr>
      <w:tr w:rsidR="00E84737" w:rsidRPr="00524A2B" w14:paraId="6F0EC780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E91D0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42CC129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CGTCGGTTAGTGGAATCTTCATG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B319C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B2749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</w:tr>
      <w:tr w:rsidR="00E84737" w:rsidRPr="00524A2B" w14:paraId="3D0D58D7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86B3E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524A2B">
              <w:rPr>
                <w:b w:val="0"/>
                <w:i/>
                <w:sz w:val="22"/>
                <w:szCs w:val="22"/>
                <w:lang w:val="en-US"/>
              </w:rPr>
              <w:t>Ifng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F06F92C" w14:textId="77777777" w:rsidR="00E84737" w:rsidRPr="00524A2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CAACAGCAAGGCGAAAAAGG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1EA0B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C98C3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NM_008337.4</w:t>
            </w:r>
          </w:p>
        </w:tc>
      </w:tr>
      <w:tr w:rsidR="00E84737" w:rsidRPr="00524A2B" w14:paraId="09454569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0E71" w14:textId="77777777" w:rsidR="00E84737" w:rsidRPr="00524A2B" w:rsidRDefault="00E84737" w:rsidP="00583B1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D34D2D4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GGACCACTCGGATGAGCTCA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8D753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497E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</w:p>
        </w:tc>
      </w:tr>
      <w:tr w:rsidR="00E84737" w:rsidRPr="00524A2B" w14:paraId="2F32CC5E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4906E" w14:textId="77777777" w:rsidR="00E84737" w:rsidRPr="00524A2B" w:rsidRDefault="00E84737" w:rsidP="00583B14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Il4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A5AA26" w14:textId="77777777" w:rsidR="00E84737" w:rsidRPr="00524A2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 xml:space="preserve">Forward: </w:t>
            </w:r>
            <w:r w:rsidRPr="00524A2B">
              <w:rPr>
                <w:sz w:val="22"/>
                <w:szCs w:val="22"/>
              </w:rPr>
              <w:t>GTCACAGGAGAAGGGACGCCAT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D33A6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3117D" w14:textId="77777777" w:rsidR="00E84737" w:rsidRPr="00524A2B" w:rsidRDefault="00E84737" w:rsidP="00583B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2B">
              <w:rPr>
                <w:rFonts w:ascii="Times New Roman" w:hAnsi="Times New Roman" w:cs="Times New Roman"/>
                <w:sz w:val="22"/>
                <w:szCs w:val="22"/>
              </w:rPr>
              <w:t>NM_021283.2</w:t>
            </w:r>
          </w:p>
        </w:tc>
      </w:tr>
      <w:tr w:rsidR="00E84737" w:rsidRPr="00524A2B" w14:paraId="4B6E12A0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6F176" w14:textId="77777777" w:rsidR="00E84737" w:rsidRPr="00524A2B" w:rsidRDefault="00E84737" w:rsidP="00583B14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2FA285D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 xml:space="preserve">Reversal: </w:t>
            </w:r>
            <w:r w:rsidRPr="00524A2B">
              <w:rPr>
                <w:sz w:val="22"/>
                <w:szCs w:val="22"/>
              </w:rPr>
              <w:t>AGCCCTACAGACGAGCTCACTC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B5239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E37C2" w14:textId="77777777" w:rsidR="00E84737" w:rsidRPr="00524A2B" w:rsidRDefault="00E84737" w:rsidP="00583B1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37" w:rsidRPr="00524A2B" w14:paraId="2F8C7E4A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D556C" w14:textId="77777777" w:rsidR="00E84737" w:rsidRPr="00AB556B" w:rsidRDefault="00E84737" w:rsidP="00583B14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  <w:r w:rsidRPr="00AB556B">
              <w:rPr>
                <w:b w:val="0"/>
                <w:i/>
                <w:sz w:val="22"/>
                <w:szCs w:val="22"/>
                <w:lang w:val="en-US"/>
              </w:rPr>
              <w:t>Il6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5852ED25" w14:textId="77777777" w:rsidR="00E84737" w:rsidRPr="00AB556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B556B">
              <w:rPr>
                <w:sz w:val="22"/>
                <w:szCs w:val="22"/>
                <w:lang w:val="en-US"/>
              </w:rPr>
              <w:t>Forward: CCGGAGAGGAGACTTCACAG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08747" w14:textId="77777777" w:rsidR="00E84737" w:rsidRPr="00AB556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B556B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25250" w14:textId="77777777" w:rsidR="00E84737" w:rsidRPr="00AB556B" w:rsidRDefault="00E84737" w:rsidP="00583B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55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NM_031168.2</w:t>
            </w:r>
          </w:p>
        </w:tc>
      </w:tr>
      <w:tr w:rsidR="00E84737" w:rsidRPr="00524A2B" w14:paraId="5BF83524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599B5" w14:textId="77777777" w:rsidR="00E84737" w:rsidRPr="00524A2B" w:rsidRDefault="00E84737" w:rsidP="00583B14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C7682FC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B556B">
              <w:rPr>
                <w:sz w:val="22"/>
                <w:szCs w:val="22"/>
                <w:lang w:val="en-US"/>
              </w:rPr>
              <w:t>Reversal: TCCACGATTTCCCAGAGAAC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BA2F0" w14:textId="77777777" w:rsidR="00E84737" w:rsidRPr="00524A2B" w:rsidRDefault="00E84737" w:rsidP="00583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69D2A" w14:textId="77777777" w:rsidR="00E84737" w:rsidRPr="00524A2B" w:rsidRDefault="00E84737" w:rsidP="00583B1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37" w:rsidRPr="00524A2B" w14:paraId="07838F5C" w14:textId="77777777" w:rsidTr="00AB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B7A99" w14:textId="77777777" w:rsidR="00E84737" w:rsidRPr="00524A2B" w:rsidRDefault="00E84737" w:rsidP="00583B14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Il7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253B153A" w14:textId="77777777" w:rsidR="00E84737" w:rsidRPr="00524A2B" w:rsidRDefault="00E84737" w:rsidP="00583B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CGCAGACCATGTTCCATGT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A1D25" w14:textId="77777777" w:rsidR="00E84737" w:rsidRPr="00524A2B" w:rsidRDefault="00E84737" w:rsidP="0058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D14CC" w14:textId="77777777" w:rsidR="00E84737" w:rsidRPr="00524A2B" w:rsidRDefault="00E84737" w:rsidP="00583B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NM_008371.5</w:t>
            </w:r>
          </w:p>
        </w:tc>
      </w:tr>
      <w:tr w:rsidR="00E84737" w:rsidRPr="00524A2B" w14:paraId="4BE29CAB" w14:textId="77777777" w:rsidTr="00AB55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F6734" w14:textId="77777777" w:rsidR="00E84737" w:rsidRPr="00524A2B" w:rsidRDefault="00E84737" w:rsidP="00583B14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8C72B3B" w14:textId="77777777" w:rsidR="00E84737" w:rsidRPr="00524A2B" w:rsidRDefault="00E84737" w:rsidP="00583B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TCTTTAATGTGGCACTCAGATGAT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23B25" w14:textId="77777777" w:rsidR="00E84737" w:rsidRPr="00524A2B" w:rsidRDefault="00E84737" w:rsidP="0058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3C392" w14:textId="77777777" w:rsidR="00E84737" w:rsidRPr="00524A2B" w:rsidRDefault="00E84737" w:rsidP="00583B1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56B" w:rsidRPr="00524A2B" w14:paraId="44307FA7" w14:textId="77777777" w:rsidTr="00D3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  <w:vAlign w:val="center"/>
          </w:tcPr>
          <w:p w14:paraId="1DBD605E" w14:textId="4C96E4FB" w:rsidR="00AB556B" w:rsidRPr="00AB556B" w:rsidRDefault="00AB556B" w:rsidP="00AB556B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  <w:r w:rsidRPr="00AB556B">
              <w:rPr>
                <w:b w:val="0"/>
                <w:i/>
                <w:sz w:val="22"/>
                <w:szCs w:val="22"/>
                <w:lang w:val="en-US"/>
              </w:rPr>
              <w:t>Il10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0526C2BB" w14:textId="18C53B67" w:rsidR="00AB556B" w:rsidRPr="009D348F" w:rsidRDefault="00AB556B" w:rsidP="00AB55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9D348F">
              <w:rPr>
                <w:sz w:val="22"/>
                <w:szCs w:val="22"/>
                <w:lang w:val="en-US"/>
              </w:rPr>
              <w:t xml:space="preserve">Forward: </w:t>
            </w:r>
            <w:r w:rsidR="009D348F" w:rsidRPr="009D348F">
              <w:rPr>
                <w:rFonts w:eastAsia="Calibri"/>
                <w:sz w:val="22"/>
                <w:szCs w:val="22"/>
              </w:rPr>
              <w:t>AGGACTTTAAGGGTTACTTGGGTT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092579" w14:textId="5EAAAF2A" w:rsidR="00AB556B" w:rsidRPr="00524A2B" w:rsidRDefault="00AB556B" w:rsidP="00AB5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8EF6CDE" w14:textId="4676CC41" w:rsidR="00AB556B" w:rsidRPr="00524A2B" w:rsidRDefault="00292EF4" w:rsidP="00AB556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2EF4">
              <w:rPr>
                <w:rFonts w:ascii="Times New Roman" w:hAnsi="Times New Roman" w:cs="Times New Roman"/>
                <w:sz w:val="22"/>
                <w:szCs w:val="22"/>
              </w:rPr>
              <w:t>NM_010548.2</w:t>
            </w:r>
          </w:p>
        </w:tc>
      </w:tr>
      <w:tr w:rsidR="00AB556B" w:rsidRPr="00524A2B" w14:paraId="3F6FE784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B2853" w14:textId="77777777" w:rsidR="00AB556B" w:rsidRPr="00524A2B" w:rsidRDefault="00AB556B" w:rsidP="00AB556B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3536BB10" w14:textId="4E789E77" w:rsidR="00AB556B" w:rsidRPr="009D348F" w:rsidRDefault="00AB556B" w:rsidP="00AB55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9D348F">
              <w:rPr>
                <w:sz w:val="22"/>
                <w:szCs w:val="22"/>
                <w:lang w:val="en-US"/>
              </w:rPr>
              <w:t xml:space="preserve">Reversal: </w:t>
            </w:r>
            <w:r w:rsidR="009D348F" w:rsidRPr="009D348F">
              <w:rPr>
                <w:sz w:val="22"/>
                <w:szCs w:val="22"/>
              </w:rPr>
              <w:t>GCTCCACTGCCTTGCTCTTATT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33686" w14:textId="77777777" w:rsidR="00AB556B" w:rsidRPr="00524A2B" w:rsidRDefault="00AB556B" w:rsidP="00AB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F60C2" w14:textId="77777777" w:rsidR="00AB556B" w:rsidRPr="00524A2B" w:rsidRDefault="00AB556B" w:rsidP="00AB556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56B" w:rsidRPr="00524A2B" w14:paraId="02B1E0E9" w14:textId="77777777" w:rsidTr="00583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123C9" w14:textId="77777777" w:rsidR="00AB556B" w:rsidRPr="00524A2B" w:rsidRDefault="00AB556B" w:rsidP="00AB556B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Il12a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73E6C3C9" w14:textId="77777777" w:rsidR="00AB556B" w:rsidRPr="00524A2B" w:rsidRDefault="00AB556B" w:rsidP="00AB55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 xml:space="preserve">Forward: </w:t>
            </w:r>
            <w:r w:rsidRPr="00524A2B">
              <w:rPr>
                <w:sz w:val="22"/>
                <w:szCs w:val="22"/>
              </w:rPr>
              <w:t>GTGTCTTAGCCAGTCCCGAA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1FA31" w14:textId="77777777" w:rsidR="00AB556B" w:rsidRPr="00524A2B" w:rsidRDefault="00AB556B" w:rsidP="00AB5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81386" w14:textId="77777777" w:rsidR="00AB556B" w:rsidRPr="00524A2B" w:rsidRDefault="00AB556B" w:rsidP="00AB556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2B">
              <w:rPr>
                <w:rFonts w:ascii="Times New Roman" w:hAnsi="Times New Roman" w:cs="Times New Roman"/>
                <w:sz w:val="22"/>
                <w:szCs w:val="22"/>
              </w:rPr>
              <w:t>NM_008351.3</w:t>
            </w:r>
          </w:p>
        </w:tc>
      </w:tr>
      <w:tr w:rsidR="00AB556B" w:rsidRPr="00524A2B" w14:paraId="155B035A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E0D54" w14:textId="77777777" w:rsidR="00AB556B" w:rsidRPr="00524A2B" w:rsidRDefault="00AB556B" w:rsidP="00AB556B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F2242AF" w14:textId="77777777" w:rsidR="00AB556B" w:rsidRPr="00524A2B" w:rsidRDefault="00AB556B" w:rsidP="00AB55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 xml:space="preserve">Reversal: </w:t>
            </w:r>
            <w:r w:rsidRPr="00524A2B">
              <w:rPr>
                <w:sz w:val="22"/>
                <w:szCs w:val="22"/>
              </w:rPr>
              <w:t>TTCAAGTC</w:t>
            </w:r>
            <w:bookmarkStart w:id="2" w:name="_GoBack"/>
            <w:bookmarkEnd w:id="2"/>
            <w:r w:rsidRPr="00524A2B">
              <w:rPr>
                <w:sz w:val="22"/>
                <w:szCs w:val="22"/>
              </w:rPr>
              <w:t>CTCATAGATGCTACCAA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50507" w14:textId="77777777" w:rsidR="00AB556B" w:rsidRPr="00524A2B" w:rsidRDefault="00AB556B" w:rsidP="00AB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E7BAA" w14:textId="77777777" w:rsidR="00AB556B" w:rsidRPr="00524A2B" w:rsidRDefault="00AB556B" w:rsidP="00AB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AB556B" w:rsidRPr="00524A2B" w14:paraId="6223DC8F" w14:textId="77777777" w:rsidTr="00AB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C4658" w14:textId="77777777" w:rsidR="00AB556B" w:rsidRPr="00524A2B" w:rsidRDefault="00AB556B" w:rsidP="00AB556B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Il17a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09439615" w14:textId="77777777" w:rsidR="00AB556B" w:rsidRPr="00524A2B" w:rsidRDefault="00AB556B" w:rsidP="00AB55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GGACTCTCCACCGCAATGAA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15DA1" w14:textId="77777777" w:rsidR="00AB556B" w:rsidRPr="00524A2B" w:rsidRDefault="00AB556B" w:rsidP="00AB5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18D3A" w14:textId="77777777" w:rsidR="00AB556B" w:rsidRPr="00524A2B" w:rsidRDefault="00AB556B" w:rsidP="00AB5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bookmarkStart w:id="3" w:name="OLE_LINK1"/>
            <w:r w:rsidRPr="00524A2B">
              <w:rPr>
                <w:sz w:val="22"/>
                <w:szCs w:val="22"/>
                <w:lang w:val="en-US"/>
              </w:rPr>
              <w:t>NM_010552.3</w:t>
            </w:r>
            <w:bookmarkEnd w:id="3"/>
          </w:p>
        </w:tc>
      </w:tr>
      <w:tr w:rsidR="00AB556B" w:rsidRPr="00524A2B" w14:paraId="4F422363" w14:textId="77777777" w:rsidTr="00AB55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1543C" w14:textId="77777777" w:rsidR="00AB556B" w:rsidRPr="00524A2B" w:rsidRDefault="00AB556B" w:rsidP="00AB556B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D99460F" w14:textId="77777777" w:rsidR="00AB556B" w:rsidRPr="00524A2B" w:rsidRDefault="00AB556B" w:rsidP="00AB55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CATGTGGTGGTCCAGCTTTC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17322" w14:textId="77777777" w:rsidR="00AB556B" w:rsidRPr="00524A2B" w:rsidRDefault="00AB556B" w:rsidP="00AB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AB657" w14:textId="77777777" w:rsidR="00AB556B" w:rsidRPr="00524A2B" w:rsidRDefault="00AB556B" w:rsidP="00AB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AB556B" w:rsidRPr="00524A2B" w14:paraId="628C7B81" w14:textId="77777777" w:rsidTr="00E9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  <w:vAlign w:val="center"/>
          </w:tcPr>
          <w:p w14:paraId="6E88FB09" w14:textId="3F69FC6D" w:rsidR="00AB556B" w:rsidRPr="00524A2B" w:rsidRDefault="00AB556B" w:rsidP="00AB556B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i/>
                <w:sz w:val="22"/>
                <w:szCs w:val="22"/>
                <w:lang w:val="en-US"/>
              </w:rPr>
              <w:t>Inos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81389D3" w14:textId="3BA28A8B" w:rsidR="00AB556B" w:rsidRPr="00524A2B" w:rsidRDefault="00AB556B" w:rsidP="00AB55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Forward:</w:t>
            </w:r>
            <w:r w:rsidR="00292EF4">
              <w:rPr>
                <w:sz w:val="22"/>
                <w:szCs w:val="22"/>
                <w:lang w:val="en-US"/>
              </w:rPr>
              <w:t xml:space="preserve"> CTCGGAGGTTCACCTCACTGT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09B1960" w14:textId="3E094C28" w:rsidR="00AB556B" w:rsidRPr="00524A2B" w:rsidRDefault="00292EF4" w:rsidP="00AB5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9295AC8" w14:textId="7E2FF93B" w:rsidR="00AB556B" w:rsidRPr="00524A2B" w:rsidRDefault="00292EF4" w:rsidP="00AB5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292EF4">
              <w:rPr>
                <w:sz w:val="22"/>
                <w:szCs w:val="22"/>
                <w:lang w:val="en-US"/>
              </w:rPr>
              <w:t>NM_010927.4</w:t>
            </w:r>
          </w:p>
        </w:tc>
      </w:tr>
      <w:tr w:rsidR="00AB556B" w:rsidRPr="00524A2B" w14:paraId="441395A3" w14:textId="77777777" w:rsidTr="00AB55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285CF" w14:textId="77777777" w:rsidR="00AB556B" w:rsidRPr="00524A2B" w:rsidRDefault="00AB556B" w:rsidP="00AB556B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F74161D" w14:textId="2DAD9EFA" w:rsidR="00AB556B" w:rsidRPr="00524A2B" w:rsidRDefault="00AB556B" w:rsidP="00AB55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Reversal:</w:t>
            </w:r>
            <w:r w:rsidR="00292EF4">
              <w:rPr>
                <w:sz w:val="22"/>
                <w:szCs w:val="22"/>
                <w:lang w:val="en-US"/>
              </w:rPr>
              <w:t xml:space="preserve"> GCTGGAAGCCACTGACACTT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E0D" w14:textId="77777777" w:rsidR="00AB556B" w:rsidRPr="00524A2B" w:rsidRDefault="00AB556B" w:rsidP="00AB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0888D" w14:textId="77777777" w:rsidR="00AB556B" w:rsidRPr="00524A2B" w:rsidRDefault="00AB556B" w:rsidP="00AB5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AB556B" w:rsidRPr="00524A2B" w14:paraId="40F76829" w14:textId="77777777" w:rsidTr="00AB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46981" w14:textId="77777777" w:rsidR="00AB556B" w:rsidRPr="00524A2B" w:rsidRDefault="00AB556B" w:rsidP="00AB556B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  <w:r w:rsidRPr="00524A2B">
              <w:rPr>
                <w:b w:val="0"/>
                <w:i/>
                <w:sz w:val="22"/>
                <w:szCs w:val="22"/>
                <w:lang w:val="en-US"/>
              </w:rPr>
              <w:t>Tgfb1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3C6039DA" w14:textId="77777777" w:rsidR="00AB556B" w:rsidRPr="00524A2B" w:rsidRDefault="00AB556B" w:rsidP="00AB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Forward: ATAGCAACAATTCCTGGCGT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3EAE" w14:textId="77777777" w:rsidR="00AB556B" w:rsidRPr="00524A2B" w:rsidRDefault="00AB556B" w:rsidP="00AB55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974ED" w14:textId="77777777" w:rsidR="00AB556B" w:rsidRPr="00524A2B" w:rsidRDefault="00AB556B" w:rsidP="00AB55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NM_011577.2</w:t>
            </w:r>
          </w:p>
        </w:tc>
      </w:tr>
      <w:tr w:rsidR="00AB556B" w:rsidRPr="00524A2B" w14:paraId="2BE80245" w14:textId="77777777" w:rsidTr="00AB55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63D258" w14:textId="77777777" w:rsidR="00AB556B" w:rsidRPr="00524A2B" w:rsidRDefault="00AB556B" w:rsidP="00AB55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68977ED" w14:textId="77777777" w:rsidR="00AB556B" w:rsidRPr="00524A2B" w:rsidRDefault="00AB556B" w:rsidP="00AB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>Reversal: CCTGTATTCCGTCTCCTTGG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CA7F9C" w14:textId="77777777" w:rsidR="00AB556B" w:rsidRPr="00524A2B" w:rsidRDefault="00AB556B" w:rsidP="00AB556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8E6C93" w14:textId="77777777" w:rsidR="00AB556B" w:rsidRPr="00524A2B" w:rsidRDefault="00AB556B" w:rsidP="00AB556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AB556B" w:rsidRPr="00524A2B" w14:paraId="542EB1DA" w14:textId="77777777" w:rsidTr="00AB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9720F" w14:textId="371B56E6" w:rsidR="00AB556B" w:rsidRPr="00AB556B" w:rsidRDefault="00AB556B" w:rsidP="00AB556B">
            <w:pPr>
              <w:jc w:val="center"/>
              <w:rPr>
                <w:b w:val="0"/>
                <w:i/>
                <w:sz w:val="22"/>
                <w:szCs w:val="22"/>
                <w:lang w:val="en-US"/>
              </w:rPr>
            </w:pPr>
            <w:proofErr w:type="spellStart"/>
            <w:r w:rsidRPr="00AB556B">
              <w:rPr>
                <w:b w:val="0"/>
                <w:i/>
                <w:sz w:val="22"/>
                <w:szCs w:val="22"/>
                <w:lang w:val="en-US"/>
              </w:rPr>
              <w:t>Tnfa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D996DC9" w14:textId="4C1DA31E" w:rsidR="00AB556B" w:rsidRPr="00524A2B" w:rsidRDefault="00AB556B" w:rsidP="00AB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 xml:space="preserve">Forward: </w:t>
            </w:r>
            <w:r>
              <w:rPr>
                <w:sz w:val="22"/>
                <w:szCs w:val="22"/>
                <w:lang w:val="en-US"/>
              </w:rPr>
              <w:t>GAAGTTCCCAAATGGCCTCC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584AC" w14:textId="05569B6C" w:rsidR="00AB556B" w:rsidRPr="00524A2B" w:rsidRDefault="00AB556B" w:rsidP="00AB55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F8D5B" w14:textId="372FB8C0" w:rsidR="00AB556B" w:rsidRPr="00524A2B" w:rsidRDefault="00AB556B" w:rsidP="00AB55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B556B">
              <w:rPr>
                <w:sz w:val="22"/>
                <w:szCs w:val="22"/>
                <w:lang w:val="en-US"/>
              </w:rPr>
              <w:t>NM_013693.3</w:t>
            </w:r>
          </w:p>
        </w:tc>
      </w:tr>
      <w:tr w:rsidR="00AB556B" w:rsidRPr="00524A2B" w14:paraId="71DFBBE1" w14:textId="77777777" w:rsidTr="00583B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CF1260F" w14:textId="77777777" w:rsidR="00AB556B" w:rsidRPr="00524A2B" w:rsidRDefault="00AB556B" w:rsidP="00AB55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</w:tcPr>
          <w:p w14:paraId="2A4E0350" w14:textId="26C51A95" w:rsidR="00AB556B" w:rsidRPr="00524A2B" w:rsidRDefault="00AB556B" w:rsidP="00AB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24A2B">
              <w:rPr>
                <w:sz w:val="22"/>
                <w:szCs w:val="22"/>
                <w:lang w:val="en-US"/>
              </w:rPr>
              <w:t xml:space="preserve">Reversal: </w:t>
            </w:r>
            <w:r>
              <w:rPr>
                <w:sz w:val="22"/>
                <w:szCs w:val="22"/>
                <w:lang w:val="en-US"/>
              </w:rPr>
              <w:t xml:space="preserve"> CACTTGGTGGTTTGCTACGA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E1E331" w14:textId="77777777" w:rsidR="00AB556B" w:rsidRPr="00524A2B" w:rsidRDefault="00AB556B" w:rsidP="00AB556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DD57B16" w14:textId="77777777" w:rsidR="00AB556B" w:rsidRPr="00524A2B" w:rsidRDefault="00AB556B" w:rsidP="00AB556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</w:tbl>
    <w:p w14:paraId="7EABD3C0" w14:textId="77777777" w:rsidR="00E84737" w:rsidRPr="00D45DCB" w:rsidRDefault="00E84737" w:rsidP="00696030">
      <w:pPr>
        <w:pStyle w:val="Legenda"/>
        <w:spacing w:line="480" w:lineRule="auto"/>
        <w:rPr>
          <w:b w:val="0"/>
        </w:rPr>
      </w:pPr>
    </w:p>
    <w:sectPr w:rsidR="00E84737" w:rsidRPr="00D45DCB" w:rsidSect="00251286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1F"/>
    <w:rsid w:val="0005754E"/>
    <w:rsid w:val="000E7963"/>
    <w:rsid w:val="0012501E"/>
    <w:rsid w:val="00145C4D"/>
    <w:rsid w:val="00171B6E"/>
    <w:rsid w:val="001B3FEE"/>
    <w:rsid w:val="002110D0"/>
    <w:rsid w:val="00251286"/>
    <w:rsid w:val="00274623"/>
    <w:rsid w:val="00292EF4"/>
    <w:rsid w:val="002B3554"/>
    <w:rsid w:val="00314C77"/>
    <w:rsid w:val="00327009"/>
    <w:rsid w:val="00343EDD"/>
    <w:rsid w:val="00350B46"/>
    <w:rsid w:val="003519FE"/>
    <w:rsid w:val="003B6270"/>
    <w:rsid w:val="00414232"/>
    <w:rsid w:val="00455485"/>
    <w:rsid w:val="00461D32"/>
    <w:rsid w:val="004B5EE6"/>
    <w:rsid w:val="004B7DCA"/>
    <w:rsid w:val="004C41E7"/>
    <w:rsid w:val="004D678C"/>
    <w:rsid w:val="00524A2B"/>
    <w:rsid w:val="005455DD"/>
    <w:rsid w:val="00560E1F"/>
    <w:rsid w:val="00583C0C"/>
    <w:rsid w:val="005E781A"/>
    <w:rsid w:val="006214A1"/>
    <w:rsid w:val="00627E5D"/>
    <w:rsid w:val="006959EE"/>
    <w:rsid w:val="00696030"/>
    <w:rsid w:val="00736868"/>
    <w:rsid w:val="00833147"/>
    <w:rsid w:val="008849DC"/>
    <w:rsid w:val="008A0915"/>
    <w:rsid w:val="00917A5F"/>
    <w:rsid w:val="0093144D"/>
    <w:rsid w:val="0099288D"/>
    <w:rsid w:val="009D348F"/>
    <w:rsid w:val="00A56901"/>
    <w:rsid w:val="00AB1253"/>
    <w:rsid w:val="00AB556B"/>
    <w:rsid w:val="00B2414C"/>
    <w:rsid w:val="00B43F2D"/>
    <w:rsid w:val="00B51E4C"/>
    <w:rsid w:val="00B54A53"/>
    <w:rsid w:val="00B6055B"/>
    <w:rsid w:val="00B71CDC"/>
    <w:rsid w:val="00B939EF"/>
    <w:rsid w:val="00BB41E3"/>
    <w:rsid w:val="00BF1BE8"/>
    <w:rsid w:val="00C6070E"/>
    <w:rsid w:val="00C7550C"/>
    <w:rsid w:val="00CD44FE"/>
    <w:rsid w:val="00DD1A7F"/>
    <w:rsid w:val="00DF3557"/>
    <w:rsid w:val="00E05028"/>
    <w:rsid w:val="00E31A69"/>
    <w:rsid w:val="00E31F99"/>
    <w:rsid w:val="00E74DBC"/>
    <w:rsid w:val="00E84737"/>
    <w:rsid w:val="00E97EB0"/>
    <w:rsid w:val="00EB6E7B"/>
    <w:rsid w:val="00EC5450"/>
    <w:rsid w:val="00EE68A8"/>
    <w:rsid w:val="00FC51D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F0A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0E1F"/>
    <w:pPr>
      <w:spacing w:line="360" w:lineRule="auto"/>
      <w:jc w:val="both"/>
    </w:pPr>
    <w:rPr>
      <w:rFonts w:ascii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60E1F"/>
    <w:pPr>
      <w:contextualSpacing/>
    </w:pPr>
    <w:rPr>
      <w:rFonts w:eastAsia="Times New Roman"/>
      <w:b/>
      <w:bCs/>
      <w:sz w:val="18"/>
      <w:szCs w:val="18"/>
      <w:lang w:eastAsia="pt-PT"/>
    </w:rPr>
  </w:style>
  <w:style w:type="table" w:styleId="TabelacomGrelha">
    <w:name w:val="Table Grid"/>
    <w:basedOn w:val="Tabelanormal"/>
    <w:uiPriority w:val="59"/>
    <w:rsid w:val="005E781A"/>
    <w:pPr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basedOn w:val="Tipodeletrapredefinidodopargrafo"/>
    <w:uiPriority w:val="99"/>
    <w:semiHidden/>
    <w:unhideWhenUsed/>
    <w:rsid w:val="005E781A"/>
    <w:rPr>
      <w:rFonts w:ascii="Courier New" w:eastAsia="Times New Roman" w:hAnsi="Courier New" w:cs="Courier New"/>
      <w:sz w:val="20"/>
      <w:szCs w:val="20"/>
    </w:rPr>
  </w:style>
  <w:style w:type="table" w:styleId="TabeladeGrelha2">
    <w:name w:val="Grid Table 2"/>
    <w:basedOn w:val="Tabelanormal"/>
    <w:uiPriority w:val="47"/>
    <w:rsid w:val="005E781A"/>
    <w:pPr>
      <w:jc w:val="both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5E781A"/>
    <w:pPr>
      <w:autoSpaceDE w:val="0"/>
      <w:autoSpaceDN w:val="0"/>
      <w:adjustRightInd w:val="0"/>
    </w:pPr>
    <w:rPr>
      <w:rFonts w:ascii="NewsGotT" w:hAnsi="NewsGotT" w:cs="NewsGotT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2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AF7"/>
    <w:rPr>
      <w:rFonts w:ascii="Segoe UI" w:hAnsi="Segoe UI" w:cs="Segoe UI"/>
      <w:sz w:val="18"/>
      <w:szCs w:val="18"/>
    </w:rPr>
  </w:style>
  <w:style w:type="table" w:styleId="TabelaSimples4">
    <w:name w:val="Plain Table 4"/>
    <w:basedOn w:val="Tabelanormal"/>
    <w:uiPriority w:val="44"/>
    <w:rsid w:val="001250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pplementaryMaterial">
    <w:name w:val="Supplementary Material"/>
    <w:basedOn w:val="Ttulo"/>
    <w:next w:val="Ttulo"/>
    <w:qFormat/>
    <w:rsid w:val="008A0915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tulo">
    <w:name w:val="Title"/>
    <w:basedOn w:val="Normal"/>
    <w:next w:val="Normal"/>
    <w:link w:val="TtuloCarter"/>
    <w:uiPriority w:val="10"/>
    <w:qFormat/>
    <w:rsid w:val="008A09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A0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">
    <w:name w:val="Hyperlink"/>
    <w:basedOn w:val="Tipodeletrapredefinidodopargrafo"/>
    <w:uiPriority w:val="99"/>
    <w:unhideWhenUsed/>
    <w:rsid w:val="003B62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3B6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7733-2EF8-4328-8B4E-9480880E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Sofia Pereira das Neves</cp:lastModifiedBy>
  <cp:revision>8</cp:revision>
  <cp:lastPrinted>2018-03-08T13:57:00Z</cp:lastPrinted>
  <dcterms:created xsi:type="dcterms:W3CDTF">2018-08-06T11:23:00Z</dcterms:created>
  <dcterms:modified xsi:type="dcterms:W3CDTF">2018-09-05T20:41:00Z</dcterms:modified>
</cp:coreProperties>
</file>