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63" w:rsidRDefault="00B61C75">
      <w:pPr>
        <w:pStyle w:val="1"/>
        <w:numPr>
          <w:ilvl w:val="0"/>
          <w:numId w:val="0"/>
        </w:numPr>
        <w:ind w:left="567" w:hanging="567"/>
      </w:pPr>
      <w:r>
        <w:t>Supplementary Methods</w:t>
      </w:r>
    </w:p>
    <w:p w:rsidR="00D01963" w:rsidRDefault="00B61C75">
      <w:pPr>
        <w:rPr>
          <w:lang w:eastAsia="zh-CN"/>
        </w:rPr>
      </w:pPr>
      <w:r>
        <w:rPr>
          <w:lang w:eastAsia="zh-CN"/>
        </w:rPr>
        <w:t>Primers used in this study</w:t>
      </w:r>
      <w:r>
        <w:rPr>
          <w:rFonts w:hint="eastAsia"/>
          <w:lang w:eastAsia="zh-CN"/>
        </w:rPr>
        <w:t>.</w:t>
      </w:r>
    </w:p>
    <w:p w:rsidR="00D01963" w:rsidRDefault="00B61C75">
      <w:pPr>
        <w:rPr>
          <w:lang w:eastAsia="zh-CN"/>
        </w:rPr>
      </w:pPr>
      <w:r>
        <w:rPr>
          <w:lang w:eastAsia="zh-CN"/>
        </w:rPr>
        <w:t>Primers for Chip-qPCR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186"/>
        <w:gridCol w:w="3505"/>
        <w:gridCol w:w="3831"/>
      </w:tblGrid>
      <w:tr w:rsidR="00D01963">
        <w:tc>
          <w:tcPr>
            <w:tcW w:w="1186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Gene</w:t>
            </w:r>
          </w:p>
        </w:tc>
        <w:tc>
          <w:tcPr>
            <w:tcW w:w="3505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Forward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Reverse</w:t>
            </w:r>
          </w:p>
        </w:tc>
      </w:tr>
      <w:tr w:rsidR="00D01963">
        <w:tc>
          <w:tcPr>
            <w:tcW w:w="1186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miR-146a</w:t>
            </w:r>
          </w:p>
        </w:tc>
        <w:tc>
          <w:tcPr>
            <w:tcW w:w="3505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ATCCTCCTGCCTTAACCTC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CAGTGATACCTGCCATTCTC</w:t>
            </w:r>
          </w:p>
        </w:tc>
      </w:tr>
    </w:tbl>
    <w:p w:rsidR="00D01963" w:rsidRDefault="00B61C75">
      <w:pPr>
        <w:rPr>
          <w:lang w:eastAsia="zh-CN"/>
        </w:rPr>
      </w:pPr>
      <w:r>
        <w:rPr>
          <w:lang w:eastAsia="zh-CN"/>
        </w:rPr>
        <w:t>Primers for RT-qPCR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00"/>
        <w:gridCol w:w="3491"/>
        <w:gridCol w:w="3831"/>
      </w:tblGrid>
      <w:tr w:rsidR="00D01963">
        <w:tc>
          <w:tcPr>
            <w:tcW w:w="1200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Gene</w:t>
            </w:r>
          </w:p>
        </w:tc>
        <w:tc>
          <w:tcPr>
            <w:tcW w:w="349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Forward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Reverse</w:t>
            </w:r>
          </w:p>
        </w:tc>
      </w:tr>
      <w:tr w:rsidR="00D01963">
        <w:tc>
          <w:tcPr>
            <w:tcW w:w="1200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GAPDH</w:t>
            </w:r>
          </w:p>
        </w:tc>
        <w:tc>
          <w:tcPr>
            <w:tcW w:w="349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TGACCTCAACTACATGGTCTACA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CTTCCCATTCTCGGCCTTG</w:t>
            </w:r>
          </w:p>
        </w:tc>
      </w:tr>
      <w:tr w:rsidR="00D01963">
        <w:tc>
          <w:tcPr>
            <w:tcW w:w="1200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IL-1β</w:t>
            </w:r>
          </w:p>
        </w:tc>
        <w:tc>
          <w:tcPr>
            <w:tcW w:w="349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TTCAGGCAGGCAGTATCACTC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GAAGGTCCACGGGAAAGACAC</w:t>
            </w:r>
          </w:p>
        </w:tc>
      </w:tr>
      <w:tr w:rsidR="00D01963">
        <w:tc>
          <w:tcPr>
            <w:tcW w:w="1200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KDM6A</w:t>
            </w:r>
          </w:p>
        </w:tc>
        <w:tc>
          <w:tcPr>
            <w:tcW w:w="349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CATAGACTTGCATCAGATCCTCC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CGGGCGGACAAAAGAAGAAC</w:t>
            </w:r>
          </w:p>
        </w:tc>
      </w:tr>
      <w:tr w:rsidR="00D01963">
        <w:tc>
          <w:tcPr>
            <w:tcW w:w="1200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KDM6B</w:t>
            </w:r>
          </w:p>
        </w:tc>
        <w:tc>
          <w:tcPr>
            <w:tcW w:w="349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AGTGAGGAAGCCGTATGCTG</w:t>
            </w:r>
          </w:p>
        </w:tc>
        <w:tc>
          <w:tcPr>
            <w:tcW w:w="3831" w:type="dxa"/>
          </w:tcPr>
          <w:p w:rsidR="00D01963" w:rsidRDefault="00B61C75">
            <w:pPr>
              <w:rPr>
                <w:lang w:eastAsia="zh-CN"/>
              </w:rPr>
            </w:pPr>
            <w:r>
              <w:rPr>
                <w:lang w:eastAsia="zh-CN"/>
              </w:rPr>
              <w:t>AGCCCCATAGTTCCGTTTGTG</w:t>
            </w:r>
          </w:p>
        </w:tc>
      </w:tr>
    </w:tbl>
    <w:p w:rsidR="00D01963" w:rsidRDefault="00D01963">
      <w:pPr>
        <w:spacing w:after="80" w:line="360" w:lineRule="auto"/>
        <w:rPr>
          <w:rStyle w:val="fontstyle01"/>
          <w:rFonts w:ascii="Times New Roman" w:hAnsi="Times New Roman" w:cs="Times New Roman"/>
          <w:sz w:val="21"/>
          <w:szCs w:val="21"/>
        </w:rPr>
      </w:pPr>
    </w:p>
    <w:p w:rsidR="00D01963" w:rsidRDefault="00B61C75">
      <w:pPr>
        <w:rPr>
          <w:rStyle w:val="fontstyle01"/>
          <w:rFonts w:ascii="Times New Roman" w:hAnsi="Times New Roman" w:cs="Times New Roman"/>
          <w:sz w:val="21"/>
          <w:szCs w:val="21"/>
        </w:rPr>
      </w:pPr>
      <w:r>
        <w:rPr>
          <w:rStyle w:val="fontstyle01"/>
          <w:rFonts w:ascii="Times New Roman" w:hAnsi="Times New Roman" w:cs="Times New Roman"/>
          <w:sz w:val="21"/>
          <w:szCs w:val="21"/>
        </w:rPr>
        <w:br w:type="page"/>
      </w:r>
    </w:p>
    <w:p w:rsidR="00D01963" w:rsidRDefault="00B61C75">
      <w:pPr>
        <w:pStyle w:val="2"/>
        <w:numPr>
          <w:ilvl w:val="0"/>
          <w:numId w:val="0"/>
        </w:numPr>
        <w:ind w:left="567" w:hanging="567"/>
      </w:pPr>
      <w:r>
        <w:lastRenderedPageBreak/>
        <w:t>Supplementary Figures</w:t>
      </w:r>
    </w:p>
    <w:p w:rsidR="00D01963" w:rsidRDefault="00B61C75">
      <w:pPr>
        <w:spacing w:after="80" w:line="360" w:lineRule="auto"/>
        <w:rPr>
          <w:rFonts w:eastAsia="Times-Roman" w:cs="Times New Roman"/>
          <w:color w:val="231F20"/>
          <w:sz w:val="21"/>
          <w:szCs w:val="21"/>
          <w:lang w:eastAsia="zh-CN"/>
        </w:rPr>
      </w:pPr>
      <w:r>
        <w:rPr>
          <w:rFonts w:eastAsia="Times-Roman" w:cs="Times New Roman"/>
          <w:noProof/>
          <w:color w:val="231F20"/>
          <w:sz w:val="21"/>
          <w:szCs w:val="21"/>
          <w:lang w:eastAsia="zh-CN"/>
        </w:rPr>
        <w:drawing>
          <wp:inline distT="0" distB="0" distL="0" distR="0">
            <wp:extent cx="2009775" cy="1739900"/>
            <wp:effectExtent l="0" t="0" r="9525" b="12700"/>
            <wp:docPr id="1" name="图片 1" descr="C:\Users\Louis Fox\Desktop\frontiers投稿文件-修\supplementary figure 1.jpg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ouis Fox\Desktop\frontiers投稿文件-修\supplementary figure 1.jpgsupplementary fig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63" w:rsidRDefault="00B61C75">
      <w:pPr>
        <w:spacing w:after="80" w:line="360" w:lineRule="auto"/>
        <w:rPr>
          <w:rFonts w:eastAsia="Times-Roman" w:cs="Times New Roman"/>
          <w:color w:val="231F20"/>
          <w:sz w:val="21"/>
          <w:szCs w:val="21"/>
          <w:lang w:eastAsia="zh-CN"/>
        </w:rPr>
      </w:pPr>
      <w:r>
        <w:rPr>
          <w:rFonts w:eastAsia="Times-Roman" w:cs="Times New Roman"/>
          <w:color w:val="231F20"/>
          <w:sz w:val="21"/>
          <w:szCs w:val="21"/>
          <w:lang w:eastAsia="zh-CN"/>
        </w:rPr>
        <w:br w:type="page"/>
      </w:r>
    </w:p>
    <w:p w:rsidR="00D01963" w:rsidRDefault="00B61C75">
      <w:pPr>
        <w:spacing w:after="80" w:line="360" w:lineRule="auto"/>
        <w:rPr>
          <w:rFonts w:eastAsia="Times-Roman" w:cs="Times New Roman"/>
          <w:color w:val="231F20"/>
          <w:sz w:val="21"/>
          <w:szCs w:val="21"/>
          <w:lang w:eastAsia="zh-CN"/>
        </w:rPr>
      </w:pPr>
      <w:r>
        <w:rPr>
          <w:rFonts w:eastAsia="Times-Roman" w:cs="Times New Roman"/>
          <w:noProof/>
          <w:color w:val="231F20"/>
          <w:sz w:val="21"/>
          <w:szCs w:val="21"/>
          <w:lang w:eastAsia="zh-CN"/>
        </w:rPr>
        <w:lastRenderedPageBreak/>
        <w:drawing>
          <wp:inline distT="0" distB="0" distL="114300" distR="114300">
            <wp:extent cx="5197475" cy="2511425"/>
            <wp:effectExtent l="0" t="0" r="3175" b="3175"/>
            <wp:docPr id="2" name="图片 2" descr="C:\Users\Louis Fox\Desktop\frontiers投稿文件-修\supplementary figure 2.jpg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ouis Fox\Desktop\frontiers投稿文件-修\supplementary figure 2.jpgsupplementary figure 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63" w:rsidRPr="00E31589" w:rsidRDefault="00B61C75">
      <w:pPr>
        <w:spacing w:after="80" w:line="360" w:lineRule="auto"/>
        <w:rPr>
          <w:rFonts w:cs="Times New Roman" w:hint="eastAsia"/>
          <w:color w:val="231F20"/>
          <w:sz w:val="21"/>
          <w:szCs w:val="21"/>
          <w:lang w:eastAsia="zh-CN"/>
        </w:rPr>
      </w:pPr>
      <w:r>
        <w:rPr>
          <w:rFonts w:eastAsia="Times-Roman" w:cs="Times New Roman"/>
          <w:color w:val="231F20"/>
          <w:sz w:val="21"/>
          <w:szCs w:val="21"/>
          <w:lang w:eastAsia="zh-CN"/>
        </w:rPr>
        <w:br w:type="page"/>
      </w:r>
      <w:r>
        <w:rPr>
          <w:rFonts w:eastAsia="Times-Roman" w:cs="Times New Roman"/>
          <w:noProof/>
          <w:color w:val="231F20"/>
          <w:sz w:val="21"/>
          <w:szCs w:val="21"/>
          <w:lang w:eastAsia="zh-CN"/>
        </w:rPr>
        <w:lastRenderedPageBreak/>
        <w:drawing>
          <wp:inline distT="0" distB="0" distL="114300" distR="114300">
            <wp:extent cx="1651635" cy="1474470"/>
            <wp:effectExtent l="0" t="0" r="5715" b="11430"/>
            <wp:docPr id="3" name="图片 3" descr="supplementary 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-Roman" w:cs="Times New Roman"/>
          <w:color w:val="231F20"/>
          <w:sz w:val="21"/>
          <w:szCs w:val="21"/>
          <w:lang w:eastAsia="zh-CN"/>
        </w:rPr>
        <w:br w:type="page"/>
      </w:r>
    </w:p>
    <w:p w:rsidR="00D01963" w:rsidRDefault="00B61C75">
      <w:pPr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Figure legends</w:t>
      </w:r>
    </w:p>
    <w:p w:rsidR="00D01963" w:rsidRDefault="00B61C75">
      <w:pPr>
        <w:rPr>
          <w:b/>
        </w:rPr>
      </w:pPr>
      <w:r>
        <w:rPr>
          <w:rFonts w:hint="eastAsia"/>
          <w:b/>
        </w:rPr>
        <w:t xml:space="preserve">Supplementary Figure 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</w:rPr>
        <w:t>.</w:t>
      </w:r>
      <w:r>
        <w:rPr>
          <w:rFonts w:hint="eastAsia"/>
          <w:b/>
          <w:lang w:eastAsia="zh-CN"/>
        </w:rPr>
        <w:t xml:space="preserve"> Effect of GSKJ4 on the viability of</w:t>
      </w:r>
      <w:r>
        <w:rPr>
          <w:rFonts w:hint="eastAsia"/>
          <w:b/>
          <w:i/>
          <w:iCs/>
          <w:lang w:eastAsia="zh-CN"/>
        </w:rPr>
        <w:t xml:space="preserve"> Escherichia coli</w:t>
      </w:r>
      <w:r>
        <w:rPr>
          <w:rFonts w:hint="eastAsia"/>
          <w:b/>
          <w:lang w:eastAsia="zh-CN"/>
        </w:rPr>
        <w:t>.</w:t>
      </w:r>
      <w:r>
        <w:rPr>
          <w:rFonts w:eastAsia="宋体" w:hint="eastAsia"/>
          <w:lang w:eastAsia="zh-CN"/>
        </w:rPr>
        <w:t xml:space="preserve"> Time-kill assays with GSKJ4 at different concentrations for 24 h using inocula of 1 </w:t>
      </w:r>
      <w:r>
        <w:rPr>
          <w:rFonts w:eastAsia="宋体" w:cs="Times New Roman"/>
          <w:lang w:eastAsia="zh-CN"/>
        </w:rPr>
        <w:t xml:space="preserve">× </w:t>
      </w:r>
      <w:r>
        <w:rPr>
          <w:rFonts w:eastAsia="宋体" w:hint="eastAsia"/>
          <w:lang w:eastAsia="zh-CN"/>
        </w:rPr>
        <w:t>10</w:t>
      </w:r>
      <w:r>
        <w:rPr>
          <w:rFonts w:eastAsia="宋体" w:hint="eastAsia"/>
          <w:vertAlign w:val="superscript"/>
          <w:lang w:eastAsia="zh-CN"/>
        </w:rPr>
        <w:t>5</w:t>
      </w:r>
      <w:r>
        <w:rPr>
          <w:rFonts w:eastAsia="宋体" w:hint="eastAsia"/>
          <w:lang w:eastAsia="zh-CN"/>
        </w:rPr>
        <w:t xml:space="preserve"> CFU/mL. </w:t>
      </w:r>
    </w:p>
    <w:p w:rsidR="00D01963" w:rsidRDefault="00B61C75">
      <w:bookmarkStart w:id="0" w:name="OLE_LINK1"/>
      <w:r>
        <w:rPr>
          <w:b/>
        </w:rPr>
        <w:t xml:space="preserve">Supplementary Figure </w:t>
      </w:r>
      <w:r>
        <w:rPr>
          <w:rFonts w:eastAsia="宋体" w:hint="eastAsia"/>
          <w:b/>
          <w:lang w:eastAsia="zh-CN"/>
        </w:rPr>
        <w:t>2</w:t>
      </w:r>
      <w:r>
        <w:rPr>
          <w:b/>
        </w:rPr>
        <w:t>.</w:t>
      </w:r>
      <w:bookmarkEnd w:id="0"/>
      <w:r>
        <w:t xml:space="preserve"> </w:t>
      </w:r>
      <w:r>
        <w:rPr>
          <w:b/>
        </w:rPr>
        <w:t>GSKJ4 protects mice against septic death.</w:t>
      </w:r>
      <w:r>
        <w:t xml:space="preserve"> ICR mice were administered intraperitoneally (i.p.) with GSKJ4 (1 or 3 mg/kg body weight) or normal saline 1h prior to bacterial infection intraperitoneally (i.p.) with viable clinical </w:t>
      </w:r>
      <w:r>
        <w:rPr>
          <w:i/>
        </w:rPr>
        <w:t>Escherichia coli</w:t>
      </w:r>
      <w:r>
        <w:t xml:space="preserve"> (</w:t>
      </w:r>
      <w:r>
        <w:rPr>
          <w:i/>
        </w:rPr>
        <w:t>E. coli</w:t>
      </w:r>
      <w:r>
        <w:rPr>
          <w:i/>
          <w:vertAlign w:val="superscript"/>
        </w:rPr>
        <w:t>a</w:t>
      </w:r>
      <w:r>
        <w:t>) (1 × 10</w:t>
      </w:r>
      <w:r>
        <w:rPr>
          <w:vertAlign w:val="superscript"/>
        </w:rPr>
        <w:t>7</w:t>
      </w:r>
      <w:r>
        <w:t xml:space="preserve"> CFU/mouse). The mRNA expression level</w:t>
      </w:r>
      <w:r w:rsidR="00722ACB">
        <w:t>s</w:t>
      </w:r>
      <w:r>
        <w:t xml:space="preserve"> of TNF-</w:t>
      </w:r>
      <w:r>
        <w:rPr>
          <w:rFonts w:cs="Times New Roman"/>
          <w:lang w:eastAsia="zh-CN"/>
        </w:rPr>
        <w:t>α</w:t>
      </w:r>
      <w:r>
        <w:t xml:space="preserve"> (</w:t>
      </w:r>
      <w:r>
        <w:rPr>
          <w:b/>
        </w:rPr>
        <w:t>A</w:t>
      </w:r>
      <w:r>
        <w:t>), IL-6 (</w:t>
      </w:r>
      <w:r>
        <w:rPr>
          <w:b/>
        </w:rPr>
        <w:t>B</w:t>
      </w:r>
      <w:r>
        <w:t>) and MCP-1 (</w:t>
      </w:r>
      <w:r>
        <w:rPr>
          <w:b/>
        </w:rPr>
        <w:t>C</w:t>
      </w:r>
      <w:r>
        <w:t xml:space="preserve">) in peritoneal macrophage </w:t>
      </w:r>
      <w:r>
        <w:rPr>
          <w:rFonts w:hint="eastAsia"/>
          <w:lang w:eastAsia="zh-CN"/>
        </w:rPr>
        <w:t>at</w:t>
      </w:r>
      <w:r>
        <w:t xml:space="preserve"> 2 h post infection w</w:t>
      </w:r>
      <w:r w:rsidR="00722ACB">
        <w:rPr>
          <w:rFonts w:hint="eastAsia"/>
          <w:lang w:eastAsia="zh-CN"/>
        </w:rPr>
        <w:t>ere</w:t>
      </w:r>
      <w:r>
        <w:t xml:space="preserve"> determined by quantitative PCR (7 mice per group). The mRNA expression level</w:t>
      </w:r>
      <w:r w:rsidR="00722ACB">
        <w:rPr>
          <w:rFonts w:hint="eastAsia"/>
          <w:lang w:eastAsia="zh-CN"/>
        </w:rPr>
        <w:t>s</w:t>
      </w:r>
      <w:r>
        <w:t xml:space="preserve"> of TNF-</w:t>
      </w:r>
      <w:r>
        <w:rPr>
          <w:rFonts w:cs="Times New Roman"/>
          <w:lang w:eastAsia="zh-CN"/>
        </w:rPr>
        <w:t>α</w:t>
      </w:r>
      <w:r>
        <w:t xml:space="preserve"> (</w:t>
      </w:r>
      <w:r>
        <w:rPr>
          <w:b/>
        </w:rPr>
        <w:t>D</w:t>
      </w:r>
      <w:r>
        <w:t>), IL-6 (</w:t>
      </w:r>
      <w:r>
        <w:rPr>
          <w:b/>
        </w:rPr>
        <w:t>E</w:t>
      </w:r>
      <w:r>
        <w:t>) and MCP-1 (</w:t>
      </w:r>
      <w:r>
        <w:rPr>
          <w:b/>
        </w:rPr>
        <w:t>F</w:t>
      </w:r>
      <w:r>
        <w:t xml:space="preserve">) in peritoneal macrophage </w:t>
      </w:r>
      <w:r>
        <w:rPr>
          <w:rFonts w:hint="eastAsia"/>
          <w:lang w:eastAsia="zh-CN"/>
        </w:rPr>
        <w:t>at</w:t>
      </w:r>
      <w:r>
        <w:t xml:space="preserve"> 24 h post infection w</w:t>
      </w:r>
      <w:r w:rsidR="00722ACB">
        <w:rPr>
          <w:rFonts w:hint="eastAsia"/>
          <w:lang w:eastAsia="zh-CN"/>
        </w:rPr>
        <w:t>ere</w:t>
      </w:r>
      <w:r>
        <w:t xml:space="preserve"> determined by quantitative PCR. Data are shown as mean ± SEM (n = 7). *P &lt; 0.05; **P &lt; 0.01; ***P &lt; 0.001.</w:t>
      </w:r>
    </w:p>
    <w:p w:rsidR="00D01963" w:rsidRDefault="00B61C75">
      <w:pPr>
        <w:rPr>
          <w:rFonts w:eastAsia="宋体" w:hint="eastAsia"/>
          <w:lang w:eastAsia="zh-CN"/>
        </w:rPr>
      </w:pPr>
      <w:r>
        <w:rPr>
          <w:rFonts w:hint="eastAsia"/>
          <w:b/>
        </w:rPr>
        <w:t xml:space="preserve">Supplementary Figure </w:t>
      </w:r>
      <w:r>
        <w:rPr>
          <w:rFonts w:hint="eastAsia"/>
          <w:b/>
          <w:lang w:eastAsia="zh-CN"/>
        </w:rPr>
        <w:t>3</w:t>
      </w:r>
      <w:r>
        <w:rPr>
          <w:rFonts w:hint="eastAsia"/>
          <w:b/>
        </w:rPr>
        <w:t>.</w:t>
      </w:r>
      <w:r>
        <w:rPr>
          <w:rFonts w:hint="eastAsia"/>
          <w:b/>
          <w:lang w:eastAsia="zh-CN"/>
        </w:rPr>
        <w:t xml:space="preserve"> Effect of GSKJ4 on the viability of macrophages. </w:t>
      </w:r>
      <w:r>
        <w:rPr>
          <w:rFonts w:hint="eastAsia"/>
          <w:bCs/>
          <w:lang w:eastAsia="zh-CN"/>
        </w:rPr>
        <w:t>Raw264.7 cells were treated with GSKJ4 at different concentrations for 24 h. Cell viability was determined by CCK-8 assay</w:t>
      </w:r>
      <w:r>
        <w:rPr>
          <w:rFonts w:eastAsia="宋体" w:hint="eastAsia"/>
          <w:lang w:eastAsia="zh-CN"/>
        </w:rPr>
        <w:t xml:space="preserve">. Data are shown as mean </w:t>
      </w:r>
      <w:r>
        <w:rPr>
          <w:rFonts w:eastAsia="宋体" w:hint="eastAsia"/>
          <w:lang w:eastAsia="zh-CN"/>
        </w:rPr>
        <w:t>±</w:t>
      </w:r>
      <w:r>
        <w:rPr>
          <w:rFonts w:eastAsia="宋体" w:hint="eastAsia"/>
          <w:lang w:eastAsia="zh-CN"/>
        </w:rPr>
        <w:t xml:space="preserve"> SEM (n = 7). *P &lt; 0.05; **P &lt; 0.01; ***P &lt; 0.001.</w:t>
      </w:r>
      <w:bookmarkStart w:id="1" w:name="_GoBack"/>
      <w:bookmarkEnd w:id="1"/>
    </w:p>
    <w:sectPr w:rsidR="00D01963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0C" w:rsidRDefault="001B2B0C" w:rsidP="00E31589">
      <w:pPr>
        <w:spacing w:before="0" w:after="0"/>
      </w:pPr>
      <w:r>
        <w:separator/>
      </w:r>
    </w:p>
  </w:endnote>
  <w:endnote w:type="continuationSeparator" w:id="0">
    <w:p w:rsidR="001B2B0C" w:rsidRDefault="001B2B0C" w:rsidP="00E315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0C" w:rsidRDefault="001B2B0C" w:rsidP="00E31589">
      <w:pPr>
        <w:spacing w:before="0" w:after="0"/>
      </w:pPr>
      <w:r>
        <w:separator/>
      </w:r>
    </w:p>
  </w:footnote>
  <w:footnote w:type="continuationSeparator" w:id="0">
    <w:p w:rsidR="001B2B0C" w:rsidRDefault="001B2B0C" w:rsidP="00E315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2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A"/>
    <w:rsid w:val="001B2B0C"/>
    <w:rsid w:val="00382879"/>
    <w:rsid w:val="004F4DFD"/>
    <w:rsid w:val="005802AB"/>
    <w:rsid w:val="00722ACB"/>
    <w:rsid w:val="00807D38"/>
    <w:rsid w:val="008A69FA"/>
    <w:rsid w:val="00B61C75"/>
    <w:rsid w:val="00BC3819"/>
    <w:rsid w:val="00C94466"/>
    <w:rsid w:val="00C948C5"/>
    <w:rsid w:val="00D01963"/>
    <w:rsid w:val="00DD1E74"/>
    <w:rsid w:val="00DF1ACA"/>
    <w:rsid w:val="00E020CD"/>
    <w:rsid w:val="00E31589"/>
    <w:rsid w:val="05252B18"/>
    <w:rsid w:val="08F44EDE"/>
    <w:rsid w:val="09A32A64"/>
    <w:rsid w:val="107629F4"/>
    <w:rsid w:val="10A35C49"/>
    <w:rsid w:val="131121BE"/>
    <w:rsid w:val="250E0DED"/>
    <w:rsid w:val="25320591"/>
    <w:rsid w:val="26344D76"/>
    <w:rsid w:val="2F1159C1"/>
    <w:rsid w:val="2F677136"/>
    <w:rsid w:val="2FAC19BF"/>
    <w:rsid w:val="30FF4E03"/>
    <w:rsid w:val="33F20CAD"/>
    <w:rsid w:val="39BF2A9C"/>
    <w:rsid w:val="47852508"/>
    <w:rsid w:val="4AAB20E8"/>
    <w:rsid w:val="4F002302"/>
    <w:rsid w:val="52104A7C"/>
    <w:rsid w:val="5B597042"/>
    <w:rsid w:val="5EA87D8D"/>
    <w:rsid w:val="63427DF3"/>
    <w:rsid w:val="65B47A03"/>
    <w:rsid w:val="72465FEE"/>
    <w:rsid w:val="74167635"/>
    <w:rsid w:val="75331A02"/>
    <w:rsid w:val="79BC50C9"/>
    <w:rsid w:val="7AD2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41A0"/>
  <w15:docId w15:val="{7BA827B1-63F9-4052-9D1C-72E8D94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2"/>
    <w:qFormat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line number"/>
    <w:basedOn w:val="a1"/>
    <w:uiPriority w:val="99"/>
    <w:semiHidden/>
    <w:unhideWhenUsed/>
  </w:style>
  <w:style w:type="table" w:styleId="a9">
    <w:name w:val="Table Grid"/>
    <w:basedOn w:val="a2"/>
    <w:qFormat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qFormat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qFormat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qFormat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qFormat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fontstyle01">
    <w:name w:val="fontstyle01"/>
    <w:basedOn w:val="a1"/>
    <w:qFormat/>
    <w:rPr>
      <w:rFonts w:ascii="Times-Roman" w:eastAsia="Times-Roman" w:hAnsi="Times-Roman" w:cs="Times-Roman"/>
      <w:color w:val="231F20"/>
      <w:sz w:val="20"/>
      <w:szCs w:val="20"/>
    </w:rPr>
  </w:style>
  <w:style w:type="character" w:customStyle="1" w:styleId="a7">
    <w:name w:val="页眉 字符"/>
    <w:basedOn w:val="a1"/>
    <w:link w:val="a6"/>
    <w:uiPriority w:val="99"/>
    <w:rPr>
      <w:rFonts w:ascii="Times New Roman" w:hAnsi="Times New Roman"/>
      <w:sz w:val="18"/>
      <w:szCs w:val="18"/>
      <w:lang w:eastAsia="en-US"/>
    </w:rPr>
  </w:style>
  <w:style w:type="character" w:customStyle="1" w:styleId="a5">
    <w:name w:val="页脚 字符"/>
    <w:basedOn w:val="a1"/>
    <w:link w:val="a4"/>
    <w:uiPriority w:val="99"/>
    <w:rPr>
      <w:rFonts w:ascii="Times New Roman" w:hAnsi="Times New Roman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22ACB"/>
    <w:pPr>
      <w:spacing w:before="0" w:after="0"/>
    </w:pPr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722ACB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louis</dc:creator>
  <cp:lastModifiedBy>fox louis</cp:lastModifiedBy>
  <cp:revision>10</cp:revision>
  <dcterms:created xsi:type="dcterms:W3CDTF">2018-06-26T14:06:00Z</dcterms:created>
  <dcterms:modified xsi:type="dcterms:W3CDTF">2018-09-05T13:29:00Z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