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lesRaster-Akzent1"/>
        <w:tblpPr w:leftFromText="141" w:rightFromText="141" w:vertAnchor="text" w:horzAnchor="margin" w:tblpY="-47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4520" w:rsidRPr="008E19EA" w:rsidTr="00B44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44520" w:rsidRPr="00785F3A" w:rsidRDefault="00B44520" w:rsidP="00B4452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B44520" w:rsidRPr="00BD78B1" w:rsidRDefault="00B44520" w:rsidP="00B44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Patients with RT plan recalculation</w:t>
            </w:r>
            <w:r w:rsidR="009178D3">
              <w:rPr>
                <w:rFonts w:ascii="Arial" w:hAnsi="Arial" w:cs="Arial"/>
                <w:sz w:val="22"/>
                <w:szCs w:val="20"/>
              </w:rPr>
              <w:t>s</w:t>
            </w:r>
          </w:p>
        </w:tc>
        <w:tc>
          <w:tcPr>
            <w:tcW w:w="3021" w:type="dxa"/>
            <w:vAlign w:val="center"/>
          </w:tcPr>
          <w:p w:rsidR="00B44520" w:rsidRPr="00BD78B1" w:rsidRDefault="00B44520" w:rsidP="00B44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Patients without RT plan recalculation</w:t>
            </w:r>
            <w:r w:rsidR="009178D3">
              <w:rPr>
                <w:rFonts w:ascii="Arial" w:hAnsi="Arial" w:cs="Arial"/>
                <w:sz w:val="22"/>
                <w:szCs w:val="20"/>
              </w:rPr>
              <w:t>s</w:t>
            </w:r>
          </w:p>
        </w:tc>
      </w:tr>
      <w:tr w:rsidR="00B44520" w:rsidTr="00B4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44520" w:rsidRPr="00BC714F" w:rsidRDefault="00B44520" w:rsidP="00B44520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Number of patients</w:t>
            </w:r>
          </w:p>
        </w:tc>
        <w:tc>
          <w:tcPr>
            <w:tcW w:w="3021" w:type="dxa"/>
          </w:tcPr>
          <w:p w:rsidR="00B44520" w:rsidRPr="00785F3A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3021" w:type="dxa"/>
          </w:tcPr>
          <w:p w:rsidR="00B44520" w:rsidRPr="00785F3A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19</w:t>
            </w:r>
          </w:p>
        </w:tc>
      </w:tr>
      <w:tr w:rsidR="00B44520" w:rsidTr="00B44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44520" w:rsidRDefault="00B44520" w:rsidP="00B44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Distance t</w:t>
            </w:r>
            <w:r w:rsidRPr="008A353B">
              <w:rPr>
                <w:rFonts w:ascii="Arial" w:hAnsi="Arial" w:cs="Arial"/>
                <w:sz w:val="22"/>
                <w:szCs w:val="22"/>
              </w:rPr>
              <w:t xml:space="preserve">umor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nTMS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motor maps</w:t>
            </w:r>
          </w:p>
          <w:p w:rsidR="00B44520" w:rsidRPr="00785F3A" w:rsidRDefault="00B44520" w:rsidP="00B44520">
            <w:pPr>
              <w:rPr>
                <w:rFonts w:ascii="Arial" w:hAnsi="Arial" w:cs="Arial"/>
                <w:b w:val="0"/>
                <w:sz w:val="22"/>
                <w:szCs w:val="20"/>
              </w:rPr>
            </w:pPr>
            <w:r w:rsidRPr="00FF0CDC">
              <w:rPr>
                <w:rFonts w:ascii="Arial" w:hAnsi="Arial" w:cs="Arial"/>
                <w:b w:val="0"/>
                <w:sz w:val="22"/>
                <w:szCs w:val="22"/>
              </w:rPr>
              <w:t>(mean and range)</w:t>
            </w:r>
          </w:p>
        </w:tc>
        <w:tc>
          <w:tcPr>
            <w:tcW w:w="3021" w:type="dxa"/>
          </w:tcPr>
          <w:p w:rsidR="00B44520" w:rsidRDefault="00B44520" w:rsidP="00B445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mm</w:t>
            </w:r>
            <w:r w:rsidRPr="008A35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4520" w:rsidRPr="00785F3A" w:rsidRDefault="00B44520" w:rsidP="00B445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(0 – 2 mm</w:t>
            </w:r>
            <w:r w:rsidRPr="008A35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:rsidR="00B44520" w:rsidRDefault="00B44520" w:rsidP="00B445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mm</w:t>
            </w:r>
            <w:r w:rsidRPr="008A35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4520" w:rsidRPr="00785F3A" w:rsidRDefault="00B44520" w:rsidP="00B445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(0 – 24 mm</w:t>
            </w:r>
            <w:r w:rsidRPr="008A35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44520" w:rsidTr="00B4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44520" w:rsidRDefault="00B44520" w:rsidP="00B445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Dmean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nTMS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motor maps </w:t>
            </w:r>
          </w:p>
          <w:p w:rsidR="00B44520" w:rsidRDefault="00B44520" w:rsidP="00B44520">
            <w:pPr>
              <w:rPr>
                <w:rFonts w:ascii="Arial" w:hAnsi="Arial" w:cs="Arial"/>
                <w:sz w:val="22"/>
                <w:szCs w:val="22"/>
              </w:rPr>
            </w:pPr>
            <w:r w:rsidRPr="00FF0CDC">
              <w:rPr>
                <w:rFonts w:ascii="Arial" w:hAnsi="Arial" w:cs="Arial"/>
                <w:b w:val="0"/>
                <w:sz w:val="22"/>
                <w:szCs w:val="22"/>
              </w:rPr>
              <w:t>(mean and range)</w:t>
            </w:r>
          </w:p>
        </w:tc>
        <w:tc>
          <w:tcPr>
            <w:tcW w:w="3021" w:type="dxa"/>
          </w:tcPr>
          <w:p w:rsidR="00B44520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23.0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Gy</w:t>
            </w:r>
            <w:proofErr w:type="spellEnd"/>
          </w:p>
          <w:p w:rsidR="00B44520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(16.9 </w:t>
            </w:r>
            <w:r>
              <w:rPr>
                <w:rFonts w:ascii="Arial" w:hAnsi="Arial" w:cs="Arial"/>
                <w:sz w:val="22"/>
                <w:szCs w:val="22"/>
              </w:rPr>
              <w:t xml:space="preserve">– 30.4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:rsidR="00B44520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9.7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Gy</w:t>
            </w:r>
            <w:proofErr w:type="spellEnd"/>
          </w:p>
          <w:p w:rsidR="00B44520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(2.1 </w:t>
            </w:r>
            <w:r>
              <w:rPr>
                <w:rFonts w:ascii="Arial" w:hAnsi="Arial" w:cs="Arial"/>
                <w:sz w:val="22"/>
                <w:szCs w:val="22"/>
              </w:rPr>
              <w:t xml:space="preserve">– 18.0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44520" w:rsidTr="00B44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44520" w:rsidRDefault="00B44520" w:rsidP="00B44520">
            <w:pPr>
              <w:rPr>
                <w:rFonts w:ascii="MS Gothic" w:eastAsia="MS Gothic" w:hAnsi="MS Gothic" w:cs="Arial"/>
                <w:sz w:val="22"/>
                <w:szCs w:val="20"/>
              </w:rPr>
            </w:pPr>
            <w:proofErr w:type="spellStart"/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>nTMS</w:t>
            </w:r>
            <w:proofErr w:type="spellEnd"/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 xml:space="preserve"> motor maps                  </w:t>
            </w:r>
            <w:r w:rsidRPr="00785F3A">
              <w:rPr>
                <w:rFonts w:ascii="MS Gothic" w:eastAsia="MS Gothic" w:hAnsi="MS Gothic" w:cs="Arial" w:hint="eastAsia"/>
                <w:sz w:val="22"/>
                <w:szCs w:val="20"/>
              </w:rPr>
              <w:t xml:space="preserve">∩               </w:t>
            </w:r>
          </w:p>
          <w:p w:rsidR="00B44520" w:rsidRPr="00785F3A" w:rsidRDefault="00B44520" w:rsidP="00B44520">
            <w:pPr>
              <w:rPr>
                <w:rFonts w:ascii="Arial" w:hAnsi="Arial" w:cs="Arial"/>
                <w:bCs w:val="0"/>
                <w:sz w:val="22"/>
                <w:szCs w:val="20"/>
              </w:rPr>
            </w:pPr>
            <w:r>
              <w:rPr>
                <w:rFonts w:ascii="Arial" w:hAnsi="Arial" w:cs="Arial"/>
                <w:bCs w:val="0"/>
                <w:sz w:val="22"/>
                <w:szCs w:val="20"/>
              </w:rPr>
              <w:t>9</w:t>
            </w:r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 xml:space="preserve">0% </w:t>
            </w:r>
            <w:proofErr w:type="spellStart"/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>isodose</w:t>
            </w:r>
            <w:proofErr w:type="spellEnd"/>
          </w:p>
          <w:p w:rsidR="00B44520" w:rsidRDefault="00B44520" w:rsidP="00B44520">
            <w:pPr>
              <w:rPr>
                <w:rFonts w:ascii="Arial" w:hAnsi="Arial" w:cs="Arial"/>
                <w:bCs w:val="0"/>
                <w:sz w:val="22"/>
                <w:szCs w:val="20"/>
              </w:rPr>
            </w:pPr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>level</w:t>
            </w:r>
          </w:p>
          <w:p w:rsidR="00B44520" w:rsidRPr="00785F3A" w:rsidRDefault="00B44520" w:rsidP="00B44520">
            <w:pPr>
              <w:rPr>
                <w:rFonts w:ascii="Arial" w:hAnsi="Arial" w:cs="Arial"/>
                <w:b w:val="0"/>
                <w:sz w:val="22"/>
                <w:szCs w:val="20"/>
              </w:rPr>
            </w:pPr>
            <w:r w:rsidRPr="00FF0CDC">
              <w:rPr>
                <w:rFonts w:ascii="Arial" w:hAnsi="Arial" w:cs="Arial"/>
                <w:b w:val="0"/>
                <w:sz w:val="22"/>
                <w:szCs w:val="22"/>
              </w:rPr>
              <w:t>(mean and range)</w:t>
            </w:r>
          </w:p>
        </w:tc>
        <w:tc>
          <w:tcPr>
            <w:tcW w:w="3021" w:type="dxa"/>
          </w:tcPr>
          <w:p w:rsidR="00B44520" w:rsidRDefault="00B44520" w:rsidP="00B445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32.6%</w:t>
            </w:r>
          </w:p>
          <w:p w:rsidR="00B44520" w:rsidRPr="00785F3A" w:rsidRDefault="00B44520" w:rsidP="00B445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(7.9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0"/>
              </w:rPr>
              <w:t>66.9%)</w:t>
            </w:r>
          </w:p>
        </w:tc>
        <w:tc>
          <w:tcPr>
            <w:tcW w:w="3021" w:type="dxa"/>
          </w:tcPr>
          <w:p w:rsidR="00B44520" w:rsidRDefault="00B44520" w:rsidP="00B445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1.9</w:t>
            </w:r>
            <w:r w:rsidRPr="00785F3A">
              <w:rPr>
                <w:rFonts w:ascii="Arial" w:hAnsi="Arial" w:cs="Arial"/>
                <w:sz w:val="22"/>
                <w:szCs w:val="20"/>
              </w:rPr>
              <w:t>%</w:t>
            </w:r>
          </w:p>
          <w:p w:rsidR="00B44520" w:rsidRPr="00785F3A" w:rsidRDefault="00B44520" w:rsidP="00B445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(0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0"/>
              </w:rPr>
              <w:t>11.1%)</w:t>
            </w:r>
          </w:p>
        </w:tc>
      </w:tr>
      <w:tr w:rsidR="00B44520" w:rsidTr="00B4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44520" w:rsidRDefault="00B44520" w:rsidP="00B44520">
            <w:pPr>
              <w:rPr>
                <w:rFonts w:ascii="MS Gothic" w:eastAsia="MS Gothic" w:hAnsi="MS Gothic" w:cs="Arial"/>
                <w:sz w:val="22"/>
                <w:szCs w:val="20"/>
              </w:rPr>
            </w:pPr>
            <w:proofErr w:type="spellStart"/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>nTMS</w:t>
            </w:r>
            <w:proofErr w:type="spellEnd"/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 xml:space="preserve"> motor maps                  </w:t>
            </w:r>
            <w:r w:rsidRPr="00785F3A">
              <w:rPr>
                <w:rFonts w:ascii="MS Gothic" w:eastAsia="MS Gothic" w:hAnsi="MS Gothic" w:cs="Arial" w:hint="eastAsia"/>
                <w:sz w:val="22"/>
                <w:szCs w:val="20"/>
              </w:rPr>
              <w:t xml:space="preserve">∩              </w:t>
            </w:r>
          </w:p>
          <w:p w:rsidR="00B44520" w:rsidRPr="00785F3A" w:rsidRDefault="00B44520" w:rsidP="00B44520">
            <w:pPr>
              <w:rPr>
                <w:rFonts w:ascii="Arial" w:hAnsi="Arial" w:cs="Arial"/>
                <w:bCs w:val="0"/>
                <w:sz w:val="22"/>
                <w:szCs w:val="20"/>
              </w:rPr>
            </w:pPr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 xml:space="preserve">80% </w:t>
            </w:r>
            <w:proofErr w:type="spellStart"/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>isodose</w:t>
            </w:r>
            <w:proofErr w:type="spellEnd"/>
          </w:p>
          <w:p w:rsidR="00B44520" w:rsidRDefault="00B44520" w:rsidP="00B44520">
            <w:pPr>
              <w:rPr>
                <w:rFonts w:ascii="Arial" w:hAnsi="Arial" w:cs="Arial"/>
                <w:bCs w:val="0"/>
                <w:sz w:val="22"/>
                <w:szCs w:val="20"/>
              </w:rPr>
            </w:pPr>
            <w:r w:rsidRPr="00785F3A">
              <w:rPr>
                <w:rFonts w:ascii="Arial" w:hAnsi="Arial" w:cs="Arial"/>
                <w:bCs w:val="0"/>
                <w:sz w:val="22"/>
                <w:szCs w:val="20"/>
              </w:rPr>
              <w:t>level</w:t>
            </w:r>
          </w:p>
          <w:p w:rsidR="00B44520" w:rsidRPr="00785F3A" w:rsidRDefault="00B44520" w:rsidP="00B44520">
            <w:pPr>
              <w:rPr>
                <w:rFonts w:ascii="Arial" w:hAnsi="Arial" w:cs="Arial"/>
                <w:b w:val="0"/>
                <w:sz w:val="22"/>
                <w:szCs w:val="20"/>
              </w:rPr>
            </w:pPr>
            <w:r w:rsidRPr="00FF0CDC">
              <w:rPr>
                <w:rFonts w:ascii="Arial" w:hAnsi="Arial" w:cs="Arial"/>
                <w:b w:val="0"/>
                <w:sz w:val="22"/>
                <w:szCs w:val="22"/>
              </w:rPr>
              <w:t>(mean and range)</w:t>
            </w:r>
          </w:p>
        </w:tc>
        <w:tc>
          <w:tcPr>
            <w:tcW w:w="3021" w:type="dxa"/>
          </w:tcPr>
          <w:p w:rsidR="00B44520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37.8%</w:t>
            </w:r>
          </w:p>
          <w:p w:rsidR="00B44520" w:rsidRPr="00785F3A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(12.7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0"/>
              </w:rPr>
              <w:t>70.8%)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B44520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2.8%</w:t>
            </w:r>
          </w:p>
          <w:p w:rsidR="00B44520" w:rsidRPr="00785F3A" w:rsidRDefault="00B44520" w:rsidP="00B445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(0 </w:t>
            </w:r>
            <w:r>
              <w:rPr>
                <w:rFonts w:ascii="Arial" w:hAnsi="Arial" w:cs="Arial"/>
                <w:sz w:val="22"/>
                <w:szCs w:val="22"/>
              </w:rPr>
              <w:t>– 1</w:t>
            </w:r>
            <w:r>
              <w:rPr>
                <w:rFonts w:ascii="Arial" w:hAnsi="Arial" w:cs="Arial"/>
                <w:sz w:val="22"/>
                <w:szCs w:val="20"/>
              </w:rPr>
              <w:t>3.8%)</w:t>
            </w:r>
          </w:p>
        </w:tc>
      </w:tr>
    </w:tbl>
    <w:p w:rsidR="000E19C5" w:rsidRPr="002946A0" w:rsidRDefault="000E19C5" w:rsidP="000E19C5">
      <w:pPr>
        <w:rPr>
          <w:rFonts w:ascii="Arial" w:hAnsi="Arial" w:cs="Arial"/>
          <w:iCs/>
          <w:szCs w:val="22"/>
        </w:rPr>
      </w:pPr>
    </w:p>
    <w:p w:rsidR="00B44520" w:rsidRDefault="00B44520" w:rsidP="000E19C5">
      <w:pPr>
        <w:spacing w:line="276" w:lineRule="auto"/>
        <w:jc w:val="both"/>
        <w:rPr>
          <w:rFonts w:ascii="Times New Roman" w:hAnsi="Times New Roman" w:cs="Times New Roman"/>
          <w:iCs/>
          <w:szCs w:val="22"/>
        </w:rPr>
      </w:pPr>
    </w:p>
    <w:p w:rsidR="00B44520" w:rsidRDefault="00B44520" w:rsidP="00F501C8">
      <w:pPr>
        <w:spacing w:line="360" w:lineRule="auto"/>
        <w:jc w:val="both"/>
        <w:rPr>
          <w:rFonts w:ascii="Times New Roman" w:hAnsi="Times New Roman" w:cs="Times New Roman"/>
          <w:iCs/>
          <w:szCs w:val="22"/>
        </w:rPr>
      </w:pPr>
      <w:r>
        <w:rPr>
          <w:rFonts w:ascii="Times New Roman" w:hAnsi="Times New Roman" w:cs="Times New Roman"/>
          <w:b/>
          <w:szCs w:val="36"/>
        </w:rPr>
        <w:t>Supplementary Table 1</w:t>
      </w:r>
      <w:r w:rsidRPr="00CD4736">
        <w:rPr>
          <w:rFonts w:ascii="Times New Roman" w:hAnsi="Times New Roman" w:cs="Times New Roman"/>
          <w:b/>
          <w:szCs w:val="36"/>
        </w:rPr>
        <w:t xml:space="preserve">: </w:t>
      </w:r>
      <w:r>
        <w:rPr>
          <w:rFonts w:ascii="Times New Roman" w:hAnsi="Times New Roman" w:cs="Times New Roman"/>
          <w:b/>
          <w:szCs w:val="36"/>
        </w:rPr>
        <w:t>Decision criteria regarding recalculation</w:t>
      </w:r>
      <w:r w:rsidR="002578ED">
        <w:rPr>
          <w:rFonts w:ascii="Times New Roman" w:hAnsi="Times New Roman" w:cs="Times New Roman"/>
          <w:b/>
          <w:szCs w:val="36"/>
        </w:rPr>
        <w:t>s</w:t>
      </w:r>
      <w:r>
        <w:rPr>
          <w:rFonts w:ascii="Times New Roman" w:hAnsi="Times New Roman" w:cs="Times New Roman"/>
          <w:b/>
          <w:szCs w:val="36"/>
        </w:rPr>
        <w:t xml:space="preserve"> of radiotherapy (RT) plans</w:t>
      </w:r>
    </w:p>
    <w:p w:rsidR="000E19C5" w:rsidRPr="002946A0" w:rsidRDefault="000E19C5" w:rsidP="00F501C8">
      <w:pPr>
        <w:spacing w:line="360" w:lineRule="auto"/>
        <w:jc w:val="both"/>
        <w:rPr>
          <w:rFonts w:ascii="Times New Roman" w:hAnsi="Times New Roman" w:cs="Times New Roman"/>
          <w:iCs/>
          <w:szCs w:val="22"/>
        </w:rPr>
      </w:pPr>
      <w:r w:rsidRPr="002946A0">
        <w:rPr>
          <w:rFonts w:ascii="Times New Roman" w:hAnsi="Times New Roman" w:cs="Times New Roman"/>
          <w:iCs/>
          <w:szCs w:val="22"/>
        </w:rPr>
        <w:t xml:space="preserve">This table </w:t>
      </w:r>
      <w:r>
        <w:rPr>
          <w:rFonts w:ascii="Times New Roman" w:hAnsi="Times New Roman" w:cs="Times New Roman"/>
          <w:iCs/>
          <w:szCs w:val="22"/>
        </w:rPr>
        <w:t xml:space="preserve">shows a </w:t>
      </w:r>
      <w:r w:rsidRPr="002946A0">
        <w:rPr>
          <w:rFonts w:ascii="Times New Roman" w:hAnsi="Times New Roman" w:cs="Times New Roman"/>
          <w:iCs/>
          <w:szCs w:val="22"/>
        </w:rPr>
        <w:t>compar</w:t>
      </w:r>
      <w:r>
        <w:rPr>
          <w:rFonts w:ascii="Times New Roman" w:hAnsi="Times New Roman" w:cs="Times New Roman"/>
          <w:iCs/>
          <w:szCs w:val="22"/>
        </w:rPr>
        <w:t>ison of</w:t>
      </w:r>
      <w:r w:rsidRPr="002946A0">
        <w:rPr>
          <w:rFonts w:ascii="Times New Roman" w:hAnsi="Times New Roman" w:cs="Times New Roman"/>
          <w:iCs/>
          <w:szCs w:val="22"/>
        </w:rPr>
        <w:t xml:space="preserve"> the group of patients with radiotherapy (RT) plan recalculation</w:t>
      </w:r>
      <w:r>
        <w:rPr>
          <w:rFonts w:ascii="Times New Roman" w:hAnsi="Times New Roman" w:cs="Times New Roman"/>
          <w:iCs/>
          <w:szCs w:val="22"/>
        </w:rPr>
        <w:t>s</w:t>
      </w:r>
      <w:r w:rsidRPr="002946A0">
        <w:rPr>
          <w:rFonts w:ascii="Times New Roman" w:hAnsi="Times New Roman" w:cs="Times New Roman"/>
          <w:iCs/>
          <w:szCs w:val="22"/>
        </w:rPr>
        <w:t xml:space="preserve"> </w:t>
      </w:r>
      <w:r>
        <w:rPr>
          <w:rFonts w:ascii="Times New Roman" w:hAnsi="Times New Roman" w:cs="Times New Roman"/>
          <w:iCs/>
          <w:szCs w:val="22"/>
        </w:rPr>
        <w:t>to</w:t>
      </w:r>
      <w:r w:rsidRPr="002946A0">
        <w:rPr>
          <w:rFonts w:ascii="Times New Roman" w:hAnsi="Times New Roman" w:cs="Times New Roman"/>
          <w:iCs/>
          <w:szCs w:val="22"/>
        </w:rPr>
        <w:t xml:space="preserve"> the group of patients not considered eligible for RT plan recalculations. The mean dose (</w:t>
      </w:r>
      <w:proofErr w:type="spellStart"/>
      <w:r w:rsidRPr="002946A0">
        <w:rPr>
          <w:rFonts w:ascii="Times New Roman" w:hAnsi="Times New Roman" w:cs="Times New Roman"/>
          <w:iCs/>
          <w:szCs w:val="22"/>
        </w:rPr>
        <w:t>Dmean</w:t>
      </w:r>
      <w:proofErr w:type="spellEnd"/>
      <w:r w:rsidRPr="002946A0">
        <w:rPr>
          <w:rFonts w:ascii="Times New Roman" w:hAnsi="Times New Roman" w:cs="Times New Roman"/>
          <w:iCs/>
          <w:szCs w:val="22"/>
        </w:rPr>
        <w:t xml:space="preserve">) of the </w:t>
      </w:r>
      <w:r>
        <w:rPr>
          <w:rFonts w:ascii="Times New Roman" w:hAnsi="Times New Roman" w:cs="Times New Roman"/>
          <w:iCs/>
          <w:szCs w:val="22"/>
        </w:rPr>
        <w:t xml:space="preserve">navigated </w:t>
      </w:r>
      <w:r w:rsidRPr="00CD4736">
        <w:rPr>
          <w:rFonts w:ascii="Times New Roman" w:hAnsi="Times New Roman" w:cs="Times New Roman"/>
          <w:iCs/>
          <w:szCs w:val="22"/>
        </w:rPr>
        <w:t>transcranial magnetic stimulation (</w:t>
      </w:r>
      <w:proofErr w:type="spellStart"/>
      <w:r w:rsidRPr="00CD4736">
        <w:rPr>
          <w:rFonts w:ascii="Times New Roman" w:hAnsi="Times New Roman" w:cs="Times New Roman"/>
          <w:iCs/>
          <w:szCs w:val="22"/>
        </w:rPr>
        <w:t>nTMS</w:t>
      </w:r>
      <w:proofErr w:type="spellEnd"/>
      <w:r w:rsidRPr="00CD4736">
        <w:rPr>
          <w:rFonts w:ascii="Times New Roman" w:hAnsi="Times New Roman" w:cs="Times New Roman"/>
          <w:iCs/>
          <w:szCs w:val="22"/>
        </w:rPr>
        <w:t>) motor maps</w:t>
      </w:r>
      <w:r>
        <w:rPr>
          <w:rFonts w:ascii="Times New Roman" w:hAnsi="Times New Roman" w:cs="Times New Roman"/>
          <w:iCs/>
          <w:szCs w:val="22"/>
        </w:rPr>
        <w:t xml:space="preserve"> was 23.0 </w:t>
      </w:r>
      <w:proofErr w:type="spellStart"/>
      <w:r>
        <w:rPr>
          <w:rFonts w:ascii="Times New Roman" w:hAnsi="Times New Roman" w:cs="Times New Roman"/>
          <w:iCs/>
          <w:szCs w:val="22"/>
        </w:rPr>
        <w:t>Gy</w:t>
      </w:r>
      <w:proofErr w:type="spellEnd"/>
      <w:r>
        <w:rPr>
          <w:rFonts w:ascii="Times New Roman" w:hAnsi="Times New Roman" w:cs="Times New Roman"/>
          <w:iCs/>
          <w:szCs w:val="22"/>
        </w:rPr>
        <w:t xml:space="preserve"> in patients with RT plan recalculations, compared to 9.7 </w:t>
      </w:r>
      <w:proofErr w:type="spellStart"/>
      <w:r>
        <w:rPr>
          <w:rFonts w:ascii="Times New Roman" w:hAnsi="Times New Roman" w:cs="Times New Roman"/>
          <w:iCs/>
          <w:szCs w:val="22"/>
        </w:rPr>
        <w:t>Gy</w:t>
      </w:r>
      <w:proofErr w:type="spellEnd"/>
      <w:r>
        <w:rPr>
          <w:rFonts w:ascii="Times New Roman" w:hAnsi="Times New Roman" w:cs="Times New Roman"/>
          <w:iCs/>
          <w:szCs w:val="22"/>
        </w:rPr>
        <w:t xml:space="preserve"> in patients without RT plan recalculations (p&lt;0.05). Furthermore, the distance between the edge of the tumor volume and the </w:t>
      </w:r>
      <w:proofErr w:type="spellStart"/>
      <w:r>
        <w:rPr>
          <w:rFonts w:ascii="Times New Roman" w:hAnsi="Times New Roman" w:cs="Times New Roman"/>
          <w:iCs/>
          <w:szCs w:val="22"/>
        </w:rPr>
        <w:t>nTMS</w:t>
      </w:r>
      <w:proofErr w:type="spellEnd"/>
      <w:r>
        <w:rPr>
          <w:rFonts w:ascii="Times New Roman" w:hAnsi="Times New Roman" w:cs="Times New Roman"/>
          <w:iCs/>
          <w:szCs w:val="22"/>
        </w:rPr>
        <w:t xml:space="preserve"> motor maps was 0</w:t>
      </w:r>
      <w:r w:rsidR="00C46530">
        <w:rPr>
          <w:rFonts w:ascii="Times New Roman" w:hAnsi="Times New Roman" w:cs="Times New Roman"/>
          <w:iCs/>
          <w:szCs w:val="22"/>
        </w:rPr>
        <w:t xml:space="preserve"> mm</w:t>
      </w:r>
      <w:r>
        <w:rPr>
          <w:rFonts w:ascii="Times New Roman" w:hAnsi="Times New Roman" w:cs="Times New Roman"/>
          <w:iCs/>
          <w:szCs w:val="22"/>
        </w:rPr>
        <w:t xml:space="preserve"> on average </w:t>
      </w:r>
      <w:r w:rsidRPr="00601F0F">
        <w:rPr>
          <w:rFonts w:ascii="Times New Roman" w:hAnsi="Times New Roman" w:cs="Times New Roman"/>
          <w:iCs/>
          <w:szCs w:val="22"/>
        </w:rPr>
        <w:t>in patients with RT plan recalculations</w:t>
      </w:r>
      <w:r>
        <w:rPr>
          <w:rFonts w:ascii="Times New Roman" w:hAnsi="Times New Roman" w:cs="Times New Roman"/>
          <w:iCs/>
          <w:szCs w:val="22"/>
        </w:rPr>
        <w:t xml:space="preserve">, whereas it was </w:t>
      </w:r>
      <w:r w:rsidR="00C46530">
        <w:rPr>
          <w:rFonts w:ascii="Times New Roman" w:hAnsi="Times New Roman" w:cs="Times New Roman"/>
          <w:iCs/>
          <w:szCs w:val="22"/>
        </w:rPr>
        <w:t>8</w:t>
      </w:r>
      <w:r>
        <w:rPr>
          <w:rFonts w:ascii="Times New Roman" w:hAnsi="Times New Roman" w:cs="Times New Roman"/>
          <w:iCs/>
          <w:szCs w:val="22"/>
        </w:rPr>
        <w:t xml:space="preserve"> </w:t>
      </w:r>
      <w:r w:rsidR="00C46530">
        <w:rPr>
          <w:rFonts w:ascii="Times New Roman" w:hAnsi="Times New Roman" w:cs="Times New Roman"/>
          <w:iCs/>
          <w:szCs w:val="22"/>
        </w:rPr>
        <w:t>m</w:t>
      </w:r>
      <w:r>
        <w:rPr>
          <w:rFonts w:ascii="Times New Roman" w:hAnsi="Times New Roman" w:cs="Times New Roman"/>
          <w:iCs/>
          <w:szCs w:val="22"/>
        </w:rPr>
        <w:t xml:space="preserve">m in the excluded patients (p&lt;0.05). </w:t>
      </w:r>
    </w:p>
    <w:p w:rsidR="000E19C5" w:rsidRDefault="000E19C5" w:rsidP="000E19C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E19C5" w:rsidRDefault="000E19C5" w:rsidP="000E19C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EB037A" w:rsidRDefault="00EB037A"/>
    <w:sectPr w:rsidR="00EB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FC"/>
    <w:multiLevelType w:val="multilevel"/>
    <w:tmpl w:val="FD9858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5"/>
    <w:rsid w:val="000E19C5"/>
    <w:rsid w:val="002578ED"/>
    <w:rsid w:val="0038004E"/>
    <w:rsid w:val="004048DD"/>
    <w:rsid w:val="009178D3"/>
    <w:rsid w:val="00B44520"/>
    <w:rsid w:val="00C46530"/>
    <w:rsid w:val="00EB037A"/>
    <w:rsid w:val="00F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2DF7"/>
  <w15:chartTrackingRefBased/>
  <w15:docId w15:val="{4F8F08FC-E88D-4219-9396-C087F41B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19C5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9C5"/>
    <w:pPr>
      <w:ind w:left="720"/>
      <w:contextualSpacing/>
    </w:pPr>
  </w:style>
  <w:style w:type="table" w:styleId="HellesRaster-Akzent1">
    <w:name w:val="Light Grid Accent 1"/>
    <w:basedOn w:val="NormaleTabelle"/>
    <w:uiPriority w:val="62"/>
    <w:rsid w:val="000E19C5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Company>PITSOLUTIONS PVT LTD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Nico</cp:lastModifiedBy>
  <cp:revision>8</cp:revision>
  <dcterms:created xsi:type="dcterms:W3CDTF">2018-09-12T06:43:00Z</dcterms:created>
  <dcterms:modified xsi:type="dcterms:W3CDTF">2018-09-20T15:02:00Z</dcterms:modified>
</cp:coreProperties>
</file>