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A1DA0" w14:textId="77777777" w:rsidR="00654E8F" w:rsidRPr="001549D3" w:rsidRDefault="00654E8F" w:rsidP="0001436A">
      <w:pPr>
        <w:pStyle w:val="SupplementaryMaterial"/>
        <w:rPr>
          <w:b w:val="0"/>
        </w:rPr>
      </w:pPr>
      <w:r w:rsidRPr="001549D3">
        <w:t>Supplementary Material</w:t>
      </w:r>
    </w:p>
    <w:p w14:paraId="0FDF4E95" w14:textId="77777777" w:rsidR="00817DD6" w:rsidRPr="001549D3" w:rsidRDefault="0009280A" w:rsidP="0001436A">
      <w:pPr>
        <w:pStyle w:val="Title"/>
      </w:pPr>
      <w:r w:rsidRPr="00F20C03">
        <w:t>How Well Does the Family Longevity Selection Score Work: A Validation Test Using the Utah Population Database</w:t>
      </w:r>
    </w:p>
    <w:p w14:paraId="04D65A3D" w14:textId="77777777" w:rsidR="002868E2" w:rsidRPr="00994A3D" w:rsidRDefault="00111B36" w:rsidP="0001436A">
      <w:pPr>
        <w:pStyle w:val="AuthorList"/>
      </w:pPr>
      <w:r w:rsidRPr="00F20C03">
        <w:rPr>
          <w:color w:val="000000"/>
          <w:shd w:val="clear" w:color="auto" w:fill="FFFFFF"/>
        </w:rPr>
        <w:t xml:space="preserve">Liubov S. Arbeeva, </w:t>
      </w:r>
      <w:r w:rsidRPr="00F20C03">
        <w:rPr>
          <w:rFonts w:eastAsia="Times New Roman"/>
          <w:color w:val="000000"/>
        </w:rPr>
        <w:t>Heidi A. Hanson, Konstantin G. Arbeev</w:t>
      </w:r>
      <w:r>
        <w:rPr>
          <w:rFonts w:eastAsia="Times New Roman"/>
          <w:color w:val="000000"/>
        </w:rPr>
        <w:t>*</w:t>
      </w:r>
      <w:r w:rsidRPr="00F20C03">
        <w:rPr>
          <w:rFonts w:eastAsia="Times New Roman"/>
          <w:color w:val="000000"/>
        </w:rPr>
        <w:t>, Alexander M. Kulminski, Eric Stallard, Svetlana V. Ukraintseva, Deqing Wu, Robert M. Boudreau, Michael A. Province, Ken R. Smith, Anatoliy I. Yashin</w:t>
      </w:r>
    </w:p>
    <w:p w14:paraId="2E507ACD" w14:textId="77777777" w:rsidR="002868E2" w:rsidRDefault="002868E2" w:rsidP="00994A3D">
      <w:pPr>
        <w:spacing w:before="240" w:after="0"/>
        <w:rPr>
          <w:rStyle w:val="Hyperlink"/>
        </w:rPr>
      </w:pPr>
      <w:r w:rsidRPr="00994A3D">
        <w:rPr>
          <w:rFonts w:cs="Times New Roman"/>
          <w:b/>
        </w:rPr>
        <w:t xml:space="preserve">* Correspondence: </w:t>
      </w:r>
      <w:r w:rsidR="00111B36" w:rsidRPr="00994C9F">
        <w:t xml:space="preserve">Konstantin G. Arbeev: </w:t>
      </w:r>
      <w:hyperlink r:id="rId8" w:history="1">
        <w:r w:rsidR="00111B36" w:rsidRPr="00994C9F">
          <w:rPr>
            <w:rStyle w:val="Hyperlink"/>
          </w:rPr>
          <w:t>ka29@duke.edu</w:t>
        </w:r>
      </w:hyperlink>
    </w:p>
    <w:p w14:paraId="6083DD7E" w14:textId="77777777" w:rsidR="00DC6266" w:rsidRPr="00994A3D" w:rsidRDefault="00DC6266" w:rsidP="00994A3D">
      <w:pPr>
        <w:spacing w:before="240" w:after="0"/>
        <w:rPr>
          <w:rFonts w:cs="Times New Roman"/>
        </w:rPr>
      </w:pPr>
    </w:p>
    <w:p w14:paraId="3DD50E81" w14:textId="77777777" w:rsidR="008627FD" w:rsidRDefault="008627FD" w:rsidP="008627FD">
      <w:pPr>
        <w:pStyle w:val="Heading1"/>
      </w:pPr>
      <w:r>
        <w:t xml:space="preserve">Supplementary Text: The </w:t>
      </w:r>
      <w:r w:rsidRPr="00F20C03">
        <w:t>F</w:t>
      </w:r>
      <w:r>
        <w:t>amily Longevity Selection Score (FLoSS)</w:t>
      </w:r>
    </w:p>
    <w:p w14:paraId="319A3BA3" w14:textId="77777777" w:rsidR="008627FD" w:rsidRDefault="008627FD" w:rsidP="008627FD">
      <w:pPr>
        <w:jc w:val="both"/>
      </w:pPr>
      <w:r>
        <w:t xml:space="preserve">Technical details about the FLoSS are given in </w:t>
      </w:r>
      <w:r>
        <w:rPr>
          <w:noProof/>
        </w:rPr>
        <w:t xml:space="preserve">Sebastiani et al. </w:t>
      </w:r>
      <w:r>
        <w:fldChar w:fldCharType="begin"/>
      </w:r>
      <w:r>
        <w:instrText xml:space="preserve"> ADDIN EN.CITE &lt;EndNote&gt;&lt;Cite ExcludeAuth="1"&gt;&lt;Author&gt;Sebastiani&lt;/Author&gt;&lt;Year&gt;2009&lt;/Year&gt;&lt;RecNum&gt;239&lt;/RecNum&gt;&lt;DisplayText&gt;(2009)&lt;/DisplayText&gt;&lt;record&gt;&lt;rec-number&gt;239&lt;/rec-number&gt;&lt;foreign-keys&gt;&lt;key app="EN" db-id="0zp99d9sst9pr8eteeo5xwxr5pzvxxe20swd" timestamp="1262210015"&gt;239&lt;/key&gt;&lt;/foreign-keys&gt;&lt;ref-type name="Journal Article"&gt;17&lt;/ref-type&gt;&lt;contributors&gt;&lt;authors&gt;&lt;author&gt;Sebastiani, P.&lt;/author&gt;&lt;author&gt;Hadley, E. C.&lt;/author&gt;&lt;author&gt;Province, M.&lt;/author&gt;&lt;author&gt;Christensen, K.&lt;/author&gt;&lt;author&gt;Rossi, W.&lt;/author&gt;&lt;author&gt;Perls, T. T.&lt;/author&gt;&lt;author&gt;Ash, A. S.&lt;/author&gt;&lt;/authors&gt;&lt;/contributors&gt;&lt;titles&gt;&lt;title&gt;A Family Longevity Selection Score: Ranking sibships by their longevity, size, and availability for study&lt;/title&gt;&lt;secondary-title&gt;American Journal of Epidemiology&lt;/secondary-title&gt;&lt;/titles&gt;&lt;periodical&gt;&lt;full-title&gt;American Journal of Epidemiology&lt;/full-title&gt;&lt;abbr-1&gt;Am. J. Epidemiol.&lt;/abbr-1&gt;&lt;/periodical&gt;&lt;pages&gt;1555-1562&lt;/pages&gt;&lt;volume&gt;170&lt;/volume&gt;&lt;number&gt;12&lt;/number&gt;&lt;dates&gt;&lt;year&gt;2009&lt;/year&gt;&lt;/dates&gt;&lt;isbn&gt;0002-9262&lt;/isbn&gt;&lt;urls&gt;&lt;related-urls&gt;&lt;url&gt;&lt;style face="underline" font="default" size="100%"&gt;&amp;lt;Go to ISI&amp;gt;://WOS:000272463600014&lt;/style&gt;&lt;/url&gt;&lt;url&gt;&lt;style face="underline" font="default" size="100%"&gt;http://aje.oxfordjournals.org/content/170/12/1555.full.pdf&lt;/style&gt;&lt;/url&gt;&lt;/related-urls&gt;&lt;/urls&gt;&lt;custom2&gt;PMC2800272&lt;/custom2&gt;&lt;electronic-resource-num&gt;10.1093/aje/kwp309&lt;/electronic-resource-num&gt;&lt;/record&gt;&lt;/Cite&gt;&lt;/EndNote&gt;</w:instrText>
      </w:r>
      <w:r>
        <w:fldChar w:fldCharType="separate"/>
      </w:r>
      <w:r>
        <w:rPr>
          <w:noProof/>
        </w:rPr>
        <w:t>(2009)</w:t>
      </w:r>
      <w:r>
        <w:fldChar w:fldCharType="end"/>
      </w:r>
      <w:r>
        <w:t xml:space="preserve">. Here we provide a brief overview of the main ideas of its computation. </w:t>
      </w:r>
    </w:p>
    <w:p w14:paraId="04EEAEB7" w14:textId="308132C4" w:rsidR="008627FD" w:rsidRDefault="008627FD" w:rsidP="008627FD">
      <w:pPr>
        <w:jc w:val="both"/>
      </w:pPr>
      <w:r>
        <w:t>As follows from its name, this score is defined for families as it serves the purpose of ranking families, not individuals. Nevertheless, the FLoSS is composed of the quantities characterizing individuals’ (i.e., family members’) “exceptionality of longevity” with an additional “bonus” for older living siblings, as described below. For a family member who died at some age, the</w:t>
      </w:r>
      <w:r w:rsidRPr="00D41F92">
        <w:t xml:space="preserve"> individual’s </w:t>
      </w:r>
      <w:r>
        <w:t>“</w:t>
      </w:r>
      <w:r w:rsidRPr="00D41F92">
        <w:t>exceptionality of</w:t>
      </w:r>
      <w:r>
        <w:t xml:space="preserve"> </w:t>
      </w:r>
      <w:r w:rsidRPr="00D41F92">
        <w:t>longevity</w:t>
      </w:r>
      <w:r>
        <w:t>”</w:t>
      </w:r>
      <w:r w:rsidRPr="00D41F92">
        <w:t xml:space="preserve"> </w:t>
      </w:r>
      <w:r>
        <w:t xml:space="preserve">is characterized by </w:t>
      </w:r>
      <w:r w:rsidRPr="00D41F92">
        <w:t>the probability that a random</w:t>
      </w:r>
      <w:r>
        <w:t xml:space="preserve"> </w:t>
      </w:r>
      <w:r w:rsidRPr="00D41F92">
        <w:t xml:space="preserve">person </w:t>
      </w:r>
      <w:r>
        <w:t>of the same gender from</w:t>
      </w:r>
      <w:r w:rsidRPr="00D41F92">
        <w:t xml:space="preserve"> the same birth cohort survives to at least </w:t>
      </w:r>
      <w:r>
        <w:t xml:space="preserve">that </w:t>
      </w:r>
      <w:r w:rsidRPr="00D41F92">
        <w:t xml:space="preserve">age </w:t>
      </w:r>
      <w:r>
        <w:t xml:space="preserve">(transformed as a minus logarithm of the probability so that the respective quantity is positive; see also a probabilistic interpretation of this in </w:t>
      </w:r>
      <w:r>
        <w:fldChar w:fldCharType="begin"/>
      </w:r>
      <w:r>
        <w:instrText xml:space="preserve"> ADDIN EN.CITE &lt;EndNote&gt;&lt;Cite&gt;&lt;Author&gt;Sebastiani&lt;/Author&gt;&lt;Year&gt;2009&lt;/Year&gt;&lt;RecNum&gt;239&lt;/RecNum&gt;&lt;DisplayText&gt;(Sebastiani et al., 2009)&lt;/DisplayText&gt;&lt;record&gt;&lt;rec-number&gt;239&lt;/rec-number&gt;&lt;foreign-keys&gt;&lt;key app="EN" db-id="0zp99d9sst9pr8eteeo5xwxr5pzvxxe20swd" timestamp="1262210015"&gt;239&lt;/key&gt;&lt;/foreign-keys&gt;&lt;ref-type name="Journal Article"&gt;17&lt;/ref-type&gt;&lt;contributors&gt;&lt;authors&gt;&lt;author&gt;Sebastiani, P.&lt;/author&gt;&lt;author&gt;Hadley, E. C.&lt;/author&gt;&lt;author&gt;Province, M.&lt;/author&gt;&lt;author&gt;Christensen, K.&lt;/author&gt;&lt;author&gt;Rossi, W.&lt;/author&gt;&lt;author&gt;Perls, T. T.&lt;/author&gt;&lt;author&gt;Ash, A. S.&lt;/author&gt;&lt;/authors&gt;&lt;/contributors&gt;&lt;titles&gt;&lt;title&gt;A Family Longevity Selection Score: Ranking sibships by their longevity, size, and availability for study&lt;/title&gt;&lt;secondary-title&gt;American Journal of Epidemiology&lt;/secondary-title&gt;&lt;/titles&gt;&lt;periodical&gt;&lt;full-title&gt;American Journal of Epidemiology&lt;/full-title&gt;&lt;abbr-1&gt;Am. J. Epidemiol.&lt;/abbr-1&gt;&lt;/periodical&gt;&lt;pages&gt;1555-1562&lt;/pages&gt;&lt;volume&gt;170&lt;/volume&gt;&lt;number&gt;12&lt;/number&gt;&lt;dates&gt;&lt;year&gt;2009&lt;/year&gt;&lt;/dates&gt;&lt;isbn&gt;0002-9262&lt;/isbn&gt;&lt;urls&gt;&lt;related-urls&gt;&lt;url&gt;&lt;style face="underline" font="default" size="100%"&gt;&amp;lt;Go to ISI&amp;gt;://WOS:000272463600014&lt;/style&gt;&lt;/url&gt;&lt;url&gt;&lt;style face="underline" font="default" size="100%"&gt;http://aje.oxfordjournals.org/content/170/12/1555.full.pdf&lt;/style&gt;&lt;/url&gt;&lt;/related-urls&gt;&lt;/urls&gt;&lt;custom2&gt;PMC2800272&lt;/custom2&gt;&lt;electronic-resource-num&gt;10.1093/aje/kwp309&lt;/electronic-resource-num&gt;&lt;/record&gt;&lt;/Cite&gt;&lt;/EndNote&gt;</w:instrText>
      </w:r>
      <w:r>
        <w:fldChar w:fldCharType="separate"/>
      </w:r>
      <w:r>
        <w:rPr>
          <w:noProof/>
        </w:rPr>
        <w:t>(Sebastiani et al., 2009)</w:t>
      </w:r>
      <w:r>
        <w:fldChar w:fldCharType="end"/>
      </w:r>
      <w:r>
        <w:t>)</w:t>
      </w:r>
      <w:r w:rsidRPr="00D41F92">
        <w:t>.</w:t>
      </w:r>
      <w:r>
        <w:t xml:space="preserve"> Such probabilities can be determined from respective country-, cohort-, and gender-specific life tables. In the US, such life tables are provided by the Social Security Administration </w:t>
      </w:r>
      <w:r>
        <w:fldChar w:fldCharType="begin"/>
      </w:r>
      <w:r>
        <w:instrText xml:space="preserve"> ADDIN EN.CITE &lt;EndNote&gt;&lt;Cite&gt;&lt;Author&gt;Bell&lt;/Author&gt;&lt;Year&gt;2005&lt;/Year&gt;&lt;RecNum&gt;3187&lt;/RecNum&gt;&lt;DisplayText&gt;(Bell and Miller, 2005)&lt;/DisplayText&gt;&lt;record&gt;&lt;rec-number&gt;3187&lt;/rec-number&gt;&lt;foreign-keys&gt;&lt;key app="EN" db-id="0zp99d9sst9pr8eteeo5xwxr5pzvxxe20swd" timestamp="1534959415"&gt;3187&lt;/key&gt;&lt;/foreign-keys&gt;&lt;ref-type name="Book"&gt;6&lt;/ref-type&gt;&lt;contributors&gt;&lt;authors&gt;&lt;author&gt;Bell, F. C. &lt;/author&gt;&lt;author&gt;Miller, M. L.&lt;/author&gt;&lt;/authors&gt;&lt;/contributors&gt;&lt;titles&gt;&lt;title&gt;Life Tables for the United States Social Security Area 1900-2100. Actuarial Study No. 120&lt;/title&gt;&lt;/titles&gt;&lt;dates&gt;&lt;year&gt;2005&lt;/year&gt;&lt;/dates&gt;&lt;publisher&gt;Social Security Administration&lt;/publisher&gt;&lt;urls&gt;&lt;/urls&gt;&lt;/record&gt;&lt;/Cite&gt;&lt;/EndNote&gt;</w:instrText>
      </w:r>
      <w:r>
        <w:fldChar w:fldCharType="separate"/>
      </w:r>
      <w:r>
        <w:rPr>
          <w:noProof/>
        </w:rPr>
        <w:t>(Bell and Miller, 2005)</w:t>
      </w:r>
      <w:r>
        <w:fldChar w:fldCharType="end"/>
      </w:r>
      <w:r>
        <w:t xml:space="preserve">. However, for the birth cohorts earlier than 1900 such life tables are not available. Therefore, this study used </w:t>
      </w:r>
      <w:r w:rsidRPr="00994C9F">
        <w:rPr>
          <w:rFonts w:cs="Times New Roman"/>
          <w:szCs w:val="24"/>
        </w:rPr>
        <w:t xml:space="preserve">gender-specific cohort life tables </w:t>
      </w:r>
      <w:r>
        <w:rPr>
          <w:rFonts w:cs="Times New Roman"/>
          <w:szCs w:val="24"/>
        </w:rPr>
        <w:t>computed from</w:t>
      </w:r>
      <w:r w:rsidRPr="00994C9F">
        <w:rPr>
          <w:rFonts w:cs="Times New Roman"/>
          <w:szCs w:val="24"/>
        </w:rPr>
        <w:t xml:space="preserve"> available lifespan data from the </w:t>
      </w:r>
      <w:r w:rsidRPr="00F20C03">
        <w:t>Utah Population Database</w:t>
      </w:r>
      <w:r w:rsidRPr="00994C9F">
        <w:rPr>
          <w:rFonts w:cs="Times New Roman"/>
          <w:szCs w:val="24"/>
        </w:rPr>
        <w:t xml:space="preserve"> </w:t>
      </w:r>
      <w:r>
        <w:rPr>
          <w:rFonts w:cs="Times New Roman"/>
          <w:szCs w:val="24"/>
        </w:rPr>
        <w:t>(UPDB) s</w:t>
      </w:r>
      <w:r w:rsidRPr="00994C9F">
        <w:rPr>
          <w:rFonts w:cs="Times New Roman"/>
          <w:szCs w:val="24"/>
        </w:rPr>
        <w:t>ample</w:t>
      </w:r>
      <w:r>
        <w:rPr>
          <w:rFonts w:cs="Times New Roman"/>
          <w:szCs w:val="24"/>
        </w:rPr>
        <w:t xml:space="preserve"> (see main text). For computations of the FLoSS for studies from other countries, respective life tables provided by the Human Mortality Database (</w:t>
      </w:r>
      <w:hyperlink r:id="rId9" w:history="1">
        <w:r>
          <w:rPr>
            <w:rStyle w:val="Hyperlink"/>
            <w:rFonts w:cs="Times New Roman"/>
            <w:szCs w:val="24"/>
          </w:rPr>
          <w:t>www.mortality.org</w:t>
        </w:r>
      </w:hyperlink>
      <w:r>
        <w:rPr>
          <w:rFonts w:cs="Times New Roman"/>
          <w:szCs w:val="24"/>
        </w:rPr>
        <w:t>) or the Human Life-Table Database (</w:t>
      </w:r>
      <w:hyperlink r:id="rId10" w:history="1">
        <w:r w:rsidRPr="00721C63">
          <w:rPr>
            <w:rStyle w:val="Hyperlink"/>
            <w:rFonts w:cs="Times New Roman"/>
            <w:szCs w:val="24"/>
          </w:rPr>
          <w:t>www.lifetable.de</w:t>
        </w:r>
      </w:hyperlink>
      <w:r>
        <w:rPr>
          <w:rFonts w:cs="Times New Roman"/>
          <w:szCs w:val="24"/>
        </w:rPr>
        <w:t xml:space="preserve">) can be used. These individual scores can be summed up for all </w:t>
      </w:r>
      <w:r w:rsidR="00236FCF">
        <w:rPr>
          <w:rFonts w:cs="Times New Roman"/>
          <w:szCs w:val="24"/>
        </w:rPr>
        <w:t>deceased</w:t>
      </w:r>
      <w:r>
        <w:rPr>
          <w:rFonts w:cs="Times New Roman"/>
          <w:szCs w:val="24"/>
        </w:rPr>
        <w:t xml:space="preserve"> family members (i.e., for whom the lifespan information is known) to get the family score. However, such a score would have an undesirable property of increasing with each additional family member, even with those who died at early ages (because the quantities being added would always be positive). Therefore, to avoid this, a constant (1) is subtracted from each individual score which is chosen in such a way that </w:t>
      </w:r>
      <w:r w:rsidRPr="001B15A7">
        <w:rPr>
          <w:rFonts w:cs="Times New Roman"/>
          <w:szCs w:val="24"/>
        </w:rPr>
        <w:t xml:space="preserve">the expected score for a randomly selected person </w:t>
      </w:r>
      <w:r>
        <w:rPr>
          <w:rFonts w:cs="Times New Roman"/>
          <w:szCs w:val="24"/>
        </w:rPr>
        <w:t>would be</w:t>
      </w:r>
      <w:r w:rsidRPr="001B15A7">
        <w:rPr>
          <w:rFonts w:cs="Times New Roman"/>
          <w:szCs w:val="24"/>
        </w:rPr>
        <w:t xml:space="preserve"> 0</w:t>
      </w:r>
      <w:r>
        <w:rPr>
          <w:rFonts w:cs="Times New Roman"/>
          <w:szCs w:val="24"/>
        </w:rPr>
        <w:t xml:space="preserve"> (see explanations </w:t>
      </w:r>
      <w:r>
        <w:t xml:space="preserve">in </w:t>
      </w:r>
      <w:r>
        <w:fldChar w:fldCharType="begin"/>
      </w:r>
      <w:r>
        <w:instrText xml:space="preserve"> ADDIN EN.CITE &lt;EndNote&gt;&lt;Cite&gt;&lt;Author&gt;Sebastiani&lt;/Author&gt;&lt;Year&gt;2009&lt;/Year&gt;&lt;RecNum&gt;239&lt;/RecNum&gt;&lt;DisplayText&gt;(Sebastiani et al., 2009)&lt;/DisplayText&gt;&lt;record&gt;&lt;rec-number&gt;239&lt;/rec-number&gt;&lt;foreign-keys&gt;&lt;key app="EN" db-id="0zp99d9sst9pr8eteeo5xwxr5pzvxxe20swd" timestamp="1262210015"&gt;239&lt;/key&gt;&lt;/foreign-keys&gt;&lt;ref-type name="Journal Article"&gt;17&lt;/ref-type&gt;&lt;contributors&gt;&lt;authors&gt;&lt;author&gt;Sebastiani, P.&lt;/author&gt;&lt;author&gt;Hadley, E. C.&lt;/author&gt;&lt;author&gt;Province, M.&lt;/author&gt;&lt;author&gt;Christensen, K.&lt;/author&gt;&lt;author&gt;Rossi, W.&lt;/author&gt;&lt;author&gt;Perls, T. T.&lt;/author&gt;&lt;author&gt;Ash, A. S.&lt;/author&gt;&lt;/authors&gt;&lt;/contributors&gt;&lt;titles&gt;&lt;title&gt;A Family Longevity Selection Score: Ranking sibships by their longevity, size, and availability for study&lt;/title&gt;&lt;secondary-title&gt;American Journal of Epidemiology&lt;/secondary-title&gt;&lt;/titles&gt;&lt;periodical&gt;&lt;full-title&gt;American Journal of Epidemiology&lt;/full-title&gt;&lt;abbr-1&gt;Am. J. Epidemiol.&lt;/abbr-1&gt;&lt;/periodical&gt;&lt;pages&gt;1555-1562&lt;/pages&gt;&lt;volume&gt;170&lt;/volume&gt;&lt;number&gt;12&lt;/number&gt;&lt;dates&gt;&lt;year&gt;2009&lt;/year&gt;&lt;/dates&gt;&lt;isbn&gt;0002-9262&lt;/isbn&gt;&lt;urls&gt;&lt;related-urls&gt;&lt;url&gt;&lt;style face="underline" font="default" size="100%"&gt;&amp;lt;Go to ISI&amp;gt;://WOS:000272463600014&lt;/style&gt;&lt;/url&gt;&lt;url&gt;&lt;style face="underline" font="default" size="100%"&gt;http://aje.oxfordjournals.org/content/170/12/1555.full.pdf&lt;/style&gt;&lt;/url&gt;&lt;/related-urls&gt;&lt;/urls&gt;&lt;custom2&gt;PMC2800272&lt;/custom2&gt;&lt;electronic-resource-num&gt;10.1093/aje/kwp309&lt;/electronic-resource-num&gt;&lt;/record&gt;&lt;/Cite&gt;&lt;/EndNote&gt;</w:instrText>
      </w:r>
      <w:r>
        <w:fldChar w:fldCharType="separate"/>
      </w:r>
      <w:r>
        <w:rPr>
          <w:noProof/>
        </w:rPr>
        <w:t>(Sebastiani et al., 2009)</w:t>
      </w:r>
      <w:r>
        <w:fldChar w:fldCharType="end"/>
      </w:r>
      <w:r>
        <w:t>)</w:t>
      </w:r>
      <w:r w:rsidRPr="00D41F92">
        <w:t>.</w:t>
      </w:r>
      <w:r>
        <w:t xml:space="preserve"> Such modified scores are summed for all </w:t>
      </w:r>
      <w:r w:rsidR="00236FCF">
        <w:t>deceased</w:t>
      </w:r>
      <w:r>
        <w:t xml:space="preserve"> family members to produce the first component of the FLoSS. </w:t>
      </w:r>
    </w:p>
    <w:p w14:paraId="53B1556E" w14:textId="77777777" w:rsidR="008627FD" w:rsidRDefault="008627FD" w:rsidP="008627FD">
      <w:pPr>
        <w:jc w:val="both"/>
      </w:pPr>
      <w:r>
        <w:t xml:space="preserve">For those family members who are alive, the individual scores look similar but, as their actual lifespans are not known, instead of the </w:t>
      </w:r>
      <w:r w:rsidR="00236FCF">
        <w:t>achieved</w:t>
      </w:r>
      <w:r>
        <w:t xml:space="preserve"> age at death the expected age at death is used (i.e., gender- and</w:t>
      </w:r>
      <w:r w:rsidRPr="007D651B">
        <w:t xml:space="preserve"> cohort-specific expected age at death,</w:t>
      </w:r>
      <w:r>
        <w:t xml:space="preserve"> conditional on survival to the current age of an individual, as computed from respective life tables). Individual scores (with the constant subtracted, similarly to the </w:t>
      </w:r>
      <w:r>
        <w:lastRenderedPageBreak/>
        <w:t xml:space="preserve">score for died family members) are summed for all alive family members to produce the second component of the FLoSS. </w:t>
      </w:r>
    </w:p>
    <w:p w14:paraId="55274A94" w14:textId="77777777" w:rsidR="008627FD" w:rsidRPr="001B15A7" w:rsidRDefault="008627FD" w:rsidP="008627FD">
      <w:pPr>
        <w:jc w:val="both"/>
        <w:rPr>
          <w:rFonts w:cs="Times New Roman"/>
          <w:szCs w:val="24"/>
        </w:rPr>
      </w:pPr>
      <w:r>
        <w:t xml:space="preserve">As the FLoSS is targeted at selecting participants for family longevity studies, families with living siblings should have an additional value because </w:t>
      </w:r>
      <w:r w:rsidRPr="00994C9F">
        <w:rPr>
          <w:rFonts w:cs="Times New Roman"/>
          <w:szCs w:val="24"/>
        </w:rPr>
        <w:t>living siblings can provide essential epidemiological, demographic and biospecimen data</w:t>
      </w:r>
      <w:r>
        <w:t xml:space="preserve">. Therefore, an additional “bonus” for living siblings is computed in the </w:t>
      </w:r>
      <w:r w:rsidRPr="00F25F72">
        <w:rPr>
          <w:rFonts w:cs="Times New Roman"/>
          <w:szCs w:val="24"/>
        </w:rPr>
        <w:t xml:space="preserve">FLoSS </w:t>
      </w:r>
      <w:r>
        <w:rPr>
          <w:rFonts w:cs="Times New Roman"/>
          <w:szCs w:val="24"/>
        </w:rPr>
        <w:t xml:space="preserve">which sums </w:t>
      </w:r>
      <w:r w:rsidR="00236FCF">
        <w:rPr>
          <w:rFonts w:cs="Times New Roman"/>
          <w:szCs w:val="24"/>
        </w:rPr>
        <w:t>negative</w:t>
      </w:r>
      <w:r>
        <w:rPr>
          <w:rFonts w:cs="Times New Roman"/>
          <w:szCs w:val="24"/>
        </w:rPr>
        <w:t xml:space="preserve"> logarithms of the probabilities of survival until respective ages (with the constant subtracted, as in the other components of the score) but it does so only for those family members who survived until such ages that respective quantities become positive (so that younger living siblings are not accounted for in the “bonus”). The living siblings’ “bonus” is the third component of the FLoSS and the resulting FLoSS is the sum of the three components described above. See </w:t>
      </w:r>
      <w:r>
        <w:rPr>
          <w:noProof/>
        </w:rPr>
        <w:t xml:space="preserve">Sebastiani et al. </w:t>
      </w:r>
      <w:r>
        <w:fldChar w:fldCharType="begin"/>
      </w:r>
      <w:r>
        <w:instrText xml:space="preserve"> ADDIN EN.CITE &lt;EndNote&gt;&lt;Cite ExcludeAuth="1"&gt;&lt;Author&gt;Sebastiani&lt;/Author&gt;&lt;Year&gt;2009&lt;/Year&gt;&lt;RecNum&gt;239&lt;/RecNum&gt;&lt;DisplayText&gt;(2009)&lt;/DisplayText&gt;&lt;record&gt;&lt;rec-number&gt;239&lt;/rec-number&gt;&lt;foreign-keys&gt;&lt;key app="EN" db-id="0zp99d9sst9pr8eteeo5xwxr5pzvxxe20swd" timestamp="1262210015"&gt;239&lt;/key&gt;&lt;/foreign-keys&gt;&lt;ref-type name="Journal Article"&gt;17&lt;/ref-type&gt;&lt;contributors&gt;&lt;authors&gt;&lt;author&gt;Sebastiani, P.&lt;/author&gt;&lt;author&gt;Hadley, E. C.&lt;/author&gt;&lt;author&gt;Province, M.&lt;/author&gt;&lt;author&gt;Christensen, K.&lt;/author&gt;&lt;author&gt;Rossi, W.&lt;/author&gt;&lt;author&gt;Perls, T. T.&lt;/author&gt;&lt;author&gt;Ash, A. S.&lt;/author&gt;&lt;/authors&gt;&lt;/contributors&gt;&lt;titles&gt;&lt;title&gt;A Family Longevity Selection Score: Ranking sibships by their longevity, size, and availability for study&lt;/title&gt;&lt;secondary-title&gt;American Journal of Epidemiology&lt;/secondary-title&gt;&lt;/titles&gt;&lt;periodical&gt;&lt;full-title&gt;American Journal of Epidemiology&lt;/full-title&gt;&lt;abbr-1&gt;Am. J. Epidemiol.&lt;/abbr-1&gt;&lt;/periodical&gt;&lt;pages&gt;1555-1562&lt;/pages&gt;&lt;volume&gt;170&lt;/volume&gt;&lt;number&gt;12&lt;/number&gt;&lt;dates&gt;&lt;year&gt;2009&lt;/year&gt;&lt;/dates&gt;&lt;isbn&gt;0002-9262&lt;/isbn&gt;&lt;urls&gt;&lt;related-urls&gt;&lt;url&gt;&lt;style face="underline" font="default" size="100%"&gt;&amp;lt;Go to ISI&amp;gt;://WOS:000272463600014&lt;/style&gt;&lt;/url&gt;&lt;url&gt;&lt;style face="underline" font="default" size="100%"&gt;http://aje.oxfordjournals.org/content/170/12/1555.full.pdf&lt;/style&gt;&lt;/url&gt;&lt;/related-urls&gt;&lt;/urls&gt;&lt;custom2&gt;PMC2800272&lt;/custom2&gt;&lt;electronic-resource-num&gt;10.1093/aje/kwp309&lt;/electronic-resource-num&gt;&lt;/record&gt;&lt;/Cite&gt;&lt;/EndNote&gt;</w:instrText>
      </w:r>
      <w:r>
        <w:fldChar w:fldCharType="separate"/>
      </w:r>
      <w:r>
        <w:rPr>
          <w:noProof/>
        </w:rPr>
        <w:t>(2009)</w:t>
      </w:r>
      <w:r>
        <w:fldChar w:fldCharType="end"/>
      </w:r>
      <w:r>
        <w:t xml:space="preserve"> for additional details and illustration of computations.</w:t>
      </w:r>
    </w:p>
    <w:p w14:paraId="5F650600" w14:textId="77777777" w:rsidR="00994A3D" w:rsidRPr="00994A3D" w:rsidRDefault="00654E8F" w:rsidP="0001436A">
      <w:pPr>
        <w:pStyle w:val="Heading1"/>
      </w:pPr>
      <w:r w:rsidRPr="00994A3D">
        <w:t>Supplementary Figures and Tables</w:t>
      </w:r>
    </w:p>
    <w:p w14:paraId="41A41FF7" w14:textId="77777777" w:rsidR="00994A3D" w:rsidRPr="001549D3" w:rsidRDefault="00994A3D" w:rsidP="0001436A">
      <w:pPr>
        <w:pStyle w:val="Heading2"/>
      </w:pPr>
      <w:r w:rsidRPr="0001436A">
        <w:t>Supplementary</w:t>
      </w:r>
      <w:r w:rsidRPr="001549D3">
        <w:t xml:space="preserve"> Figures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3"/>
        <w:gridCol w:w="4884"/>
      </w:tblGrid>
      <w:tr w:rsidR="0043414B" w14:paraId="74B33C16" w14:textId="77777777" w:rsidTr="0043414B">
        <w:tc>
          <w:tcPr>
            <w:tcW w:w="4883" w:type="dxa"/>
          </w:tcPr>
          <w:p w14:paraId="506B2B22" w14:textId="77777777" w:rsidR="00E550D9" w:rsidRDefault="0043414B" w:rsidP="00E550D9">
            <w:pPr>
              <w:keepNext/>
              <w:spacing w:before="0" w:after="0"/>
              <w:rPr>
                <w:rFonts w:cs="Times New Roman"/>
                <w:szCs w:val="24"/>
              </w:rPr>
            </w:pPr>
            <w:r>
              <w:rPr>
                <w:noProof/>
              </w:rPr>
              <w:drawing>
                <wp:inline distT="0" distB="0" distL="0" distR="0" wp14:anchorId="6F1C90BD" wp14:editId="35E99B5F">
                  <wp:extent cx="2943225" cy="2757859"/>
                  <wp:effectExtent l="0" t="0" r="0" b="4445"/>
                  <wp:docPr id="6" name="Picture 6" descr="J:\Publications\Papers\InWork\Utah\Utah_FLoSS\figures\figureS1_DensityFLoSS\figureS1_DensityFLoSS_UPDB-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ublications\Papers\InWork\Utah\Utah_FLoSS\figures\figureS1_DensityFLoSS\figureS1_DensityFLoSS_UPDB-Al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7432" cy="2771171"/>
                          </a:xfrm>
                          <a:prstGeom prst="rect">
                            <a:avLst/>
                          </a:prstGeom>
                          <a:noFill/>
                          <a:ln>
                            <a:noFill/>
                          </a:ln>
                        </pic:spPr>
                      </pic:pic>
                    </a:graphicData>
                  </a:graphic>
                </wp:inline>
              </w:drawing>
            </w:r>
          </w:p>
        </w:tc>
        <w:tc>
          <w:tcPr>
            <w:tcW w:w="4884" w:type="dxa"/>
          </w:tcPr>
          <w:p w14:paraId="3A62A07A" w14:textId="77777777" w:rsidR="00E550D9" w:rsidRDefault="0043414B" w:rsidP="00E550D9">
            <w:pPr>
              <w:keepNext/>
              <w:spacing w:before="0" w:after="0"/>
              <w:rPr>
                <w:rFonts w:cs="Times New Roman"/>
                <w:szCs w:val="24"/>
              </w:rPr>
            </w:pPr>
            <w:r>
              <w:rPr>
                <w:noProof/>
              </w:rPr>
              <w:drawing>
                <wp:inline distT="0" distB="0" distL="0" distR="0" wp14:anchorId="7C0438DB" wp14:editId="49062C15">
                  <wp:extent cx="2958075" cy="2771775"/>
                  <wp:effectExtent l="0" t="0" r="0" b="0"/>
                  <wp:docPr id="8" name="Picture 8" descr="J:\Publications\Papers\InWork\Utah\Utah_FLoSS\figures\figureS1_DensityFLoSS\figureS1_DensityFLoSS_UPDB-FL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ublications\Papers\InWork\Utah\Utah_FLoSS\figures\figureS1_DensityFLoSS\figureS1_DensityFLoSS_UPDB-FLoS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3858" cy="2786564"/>
                          </a:xfrm>
                          <a:prstGeom prst="rect">
                            <a:avLst/>
                          </a:prstGeom>
                          <a:noFill/>
                          <a:ln>
                            <a:noFill/>
                          </a:ln>
                        </pic:spPr>
                      </pic:pic>
                    </a:graphicData>
                  </a:graphic>
                </wp:inline>
              </w:drawing>
            </w:r>
          </w:p>
        </w:tc>
      </w:tr>
    </w:tbl>
    <w:p w14:paraId="1B151B0B" w14:textId="4F46EA6A" w:rsidR="00994A3D" w:rsidRPr="002B4A57" w:rsidRDefault="00994A3D" w:rsidP="002D6B59">
      <w:pPr>
        <w:keepNext/>
        <w:jc w:val="both"/>
        <w:rPr>
          <w:rFonts w:cs="Times New Roman"/>
          <w:b/>
          <w:szCs w:val="24"/>
        </w:rPr>
      </w:pPr>
      <w:r w:rsidRPr="0001436A">
        <w:rPr>
          <w:rFonts w:cs="Times New Roman"/>
          <w:b/>
          <w:szCs w:val="24"/>
        </w:rPr>
        <w:t xml:space="preserve">Supplementary Figure </w:t>
      </w:r>
      <w:r w:rsidRPr="0001436A">
        <w:rPr>
          <w:rFonts w:cs="Times New Roman"/>
          <w:b/>
          <w:szCs w:val="24"/>
        </w:rPr>
        <w:fldChar w:fldCharType="begin"/>
      </w:r>
      <w:r w:rsidRPr="0001436A">
        <w:rPr>
          <w:rFonts w:cs="Times New Roman"/>
          <w:b/>
          <w:szCs w:val="24"/>
        </w:rPr>
        <w:instrText xml:space="preserve"> SEQ Figure \* ARABIC </w:instrText>
      </w:r>
      <w:r w:rsidRPr="0001436A">
        <w:rPr>
          <w:rFonts w:cs="Times New Roman"/>
          <w:b/>
          <w:szCs w:val="24"/>
        </w:rPr>
        <w:fldChar w:fldCharType="separate"/>
      </w:r>
      <w:r w:rsidR="0009280A">
        <w:rPr>
          <w:rFonts w:cs="Times New Roman"/>
          <w:b/>
          <w:noProof/>
          <w:szCs w:val="24"/>
        </w:rPr>
        <w:t>1</w:t>
      </w:r>
      <w:r w:rsidRPr="0001436A">
        <w:rPr>
          <w:rFonts w:cs="Times New Roman"/>
          <w:b/>
          <w:szCs w:val="24"/>
        </w:rPr>
        <w:fldChar w:fldCharType="end"/>
      </w:r>
      <w:r w:rsidRPr="0001436A">
        <w:rPr>
          <w:rFonts w:cs="Times New Roman"/>
          <w:b/>
          <w:szCs w:val="24"/>
        </w:rPr>
        <w:t>.</w:t>
      </w:r>
      <w:r w:rsidRPr="001549D3">
        <w:rPr>
          <w:rFonts w:cs="Times New Roman"/>
          <w:szCs w:val="24"/>
        </w:rPr>
        <w:t xml:space="preserve"> </w:t>
      </w:r>
      <w:r w:rsidR="008524FC">
        <w:rPr>
          <w:rFonts w:cs="Times New Roman"/>
          <w:szCs w:val="24"/>
        </w:rPr>
        <w:t xml:space="preserve">Distributions of standardized FLoSS (S-FLoSS) in the UPDB-All </w:t>
      </w:r>
      <w:r w:rsidR="008524FC" w:rsidRPr="00B67240">
        <w:rPr>
          <w:rFonts w:cs="Times New Roman"/>
          <w:b/>
          <w:szCs w:val="24"/>
        </w:rPr>
        <w:t>(</w:t>
      </w:r>
      <w:r w:rsidR="002B3F10" w:rsidRPr="00B67240">
        <w:rPr>
          <w:rFonts w:cs="Times New Roman"/>
          <w:b/>
          <w:szCs w:val="24"/>
        </w:rPr>
        <w:t>A</w:t>
      </w:r>
      <w:r w:rsidR="008524FC" w:rsidRPr="00B67240">
        <w:rPr>
          <w:rFonts w:cs="Times New Roman"/>
          <w:b/>
          <w:szCs w:val="24"/>
        </w:rPr>
        <w:t>)</w:t>
      </w:r>
      <w:r w:rsidR="008524FC">
        <w:rPr>
          <w:rFonts w:cs="Times New Roman"/>
          <w:szCs w:val="24"/>
        </w:rPr>
        <w:t xml:space="preserve"> and </w:t>
      </w:r>
      <w:r w:rsidR="00C872CD">
        <w:rPr>
          <w:rFonts w:cs="Times New Roman"/>
          <w:szCs w:val="24"/>
        </w:rPr>
        <w:t xml:space="preserve">the </w:t>
      </w:r>
      <w:r w:rsidR="008524FC">
        <w:rPr>
          <w:rFonts w:cs="Times New Roman"/>
          <w:szCs w:val="24"/>
        </w:rPr>
        <w:t xml:space="preserve">UPDB-FLoSS </w:t>
      </w:r>
      <w:r w:rsidR="008524FC" w:rsidRPr="00B67240">
        <w:rPr>
          <w:rFonts w:cs="Times New Roman"/>
          <w:b/>
          <w:szCs w:val="24"/>
        </w:rPr>
        <w:t>(</w:t>
      </w:r>
      <w:r w:rsidR="002B3F10" w:rsidRPr="00B67240">
        <w:rPr>
          <w:rFonts w:cs="Times New Roman"/>
          <w:b/>
          <w:szCs w:val="24"/>
        </w:rPr>
        <w:t>B</w:t>
      </w:r>
      <w:r w:rsidR="008524FC" w:rsidRPr="00B67240">
        <w:rPr>
          <w:rFonts w:cs="Times New Roman"/>
          <w:b/>
          <w:szCs w:val="24"/>
        </w:rPr>
        <w:t>)</w:t>
      </w:r>
      <w:r w:rsidR="008524FC">
        <w:rPr>
          <w:rFonts w:cs="Times New Roman"/>
          <w:szCs w:val="24"/>
        </w:rPr>
        <w:t xml:space="preserve"> samples. Standardized FLoSS is computed as S-FLoSS=(FLoSS-M)/S, where M=-0.234 and S=2.9 are mean and standard deviation of FLoSS in the UPDB-All sample. The red line shows the standard normal density and the blue line corresponds to the normal density with the mean and standard deviation (denoted as “mu” and “sigma”) of the respective sample. </w:t>
      </w:r>
      <w:r w:rsidR="00E411EF">
        <w:rPr>
          <w:rFonts w:cs="Times New Roman"/>
          <w:szCs w:val="24"/>
        </w:rPr>
        <w:t xml:space="preserve">Note that in </w:t>
      </w:r>
      <w:r w:rsidR="00E411EF" w:rsidRPr="00E411EF">
        <w:rPr>
          <w:rFonts w:cs="Times New Roman"/>
          <w:b/>
          <w:szCs w:val="24"/>
        </w:rPr>
        <w:t>(A)</w:t>
      </w:r>
      <w:r w:rsidR="00E411EF">
        <w:rPr>
          <w:rFonts w:cs="Times New Roman"/>
          <w:szCs w:val="24"/>
        </w:rPr>
        <w:t xml:space="preserve"> the red and blue lines overlap.</w:t>
      </w:r>
    </w:p>
    <w:p w14:paraId="13BB4300" w14:textId="77777777" w:rsidR="00DE23E8" w:rsidRDefault="00DE23E8" w:rsidP="00654E8F">
      <w:pPr>
        <w:spacing w:before="240"/>
      </w:pPr>
      <w:bookmarkStart w:id="0" w:name="_GoBack"/>
      <w:bookmarkEnd w:id="0"/>
    </w:p>
    <w:p w14:paraId="12060DDA" w14:textId="77777777" w:rsidR="007E2E38" w:rsidRDefault="007E2E38" w:rsidP="00654E8F">
      <w:pPr>
        <w:spacing w:before="240"/>
      </w:pPr>
    </w:p>
    <w:p w14:paraId="0D4E162D" w14:textId="77777777" w:rsidR="006C210D" w:rsidRDefault="006C210D" w:rsidP="00654E8F">
      <w:pPr>
        <w:spacing w:before="240"/>
      </w:pPr>
      <w:r>
        <w:rPr>
          <w:noProof/>
        </w:rPr>
        <w:lastRenderedPageBreak/>
        <w:drawing>
          <wp:inline distT="0" distB="0" distL="0" distR="0" wp14:anchorId="0CD60BA8" wp14:editId="0A89E056">
            <wp:extent cx="5334000" cy="4000500"/>
            <wp:effectExtent l="0" t="0" r="0" b="0"/>
            <wp:docPr id="10" name="Picture 10" descr="J:\Publications\Papers\InWork\Utah\Utah_FLoSS\figures\figureS2_Pyramids\figureS2_PopulPyramid_LSmort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Publications\Papers\InWork\Utah\Utah_FLoSS\figures\figureS2_Pyramids\figureS2_PopulPyramid_LSmort_colo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14:paraId="07B575BF" w14:textId="4A5E2961" w:rsidR="007E2E38" w:rsidRDefault="007E2E38" w:rsidP="002D6B59">
      <w:pPr>
        <w:spacing w:before="240"/>
        <w:jc w:val="both"/>
        <w:rPr>
          <w:rFonts w:cs="Times New Roman"/>
          <w:szCs w:val="24"/>
        </w:rPr>
      </w:pPr>
      <w:r>
        <w:rPr>
          <w:rFonts w:cs="Times New Roman"/>
          <w:b/>
          <w:szCs w:val="24"/>
        </w:rPr>
        <w:t xml:space="preserve">Supplementary </w:t>
      </w:r>
      <w:r w:rsidRPr="00087821">
        <w:rPr>
          <w:rFonts w:cs="Times New Roman"/>
          <w:b/>
          <w:szCs w:val="24"/>
        </w:rPr>
        <w:t xml:space="preserve">Figure </w:t>
      </w:r>
      <w:r>
        <w:rPr>
          <w:rFonts w:cs="Times New Roman"/>
          <w:b/>
          <w:szCs w:val="24"/>
        </w:rPr>
        <w:t>2</w:t>
      </w:r>
      <w:r w:rsidRPr="00087821">
        <w:rPr>
          <w:rFonts w:cs="Times New Roman"/>
          <w:b/>
          <w:szCs w:val="24"/>
        </w:rPr>
        <w:t>.</w:t>
      </w:r>
      <w:r>
        <w:rPr>
          <w:rFonts w:cs="Times New Roman"/>
          <w:szCs w:val="24"/>
        </w:rPr>
        <w:t xml:space="preserve"> Distributions of age at death for sibships from the UPDB</w:t>
      </w:r>
      <w:r w:rsidR="00C872CD">
        <w:rPr>
          <w:rFonts w:cs="Times New Roman"/>
          <w:szCs w:val="24"/>
        </w:rPr>
        <w:t>-All</w:t>
      </w:r>
      <w:r w:rsidRPr="00B67240">
        <w:rPr>
          <w:rFonts w:cs="Times New Roman"/>
          <w:b/>
          <w:szCs w:val="24"/>
        </w:rPr>
        <w:t xml:space="preserve"> </w:t>
      </w:r>
      <w:r w:rsidR="00C872CD" w:rsidRPr="00B67240">
        <w:rPr>
          <w:rFonts w:cs="Times New Roman"/>
          <w:b/>
          <w:szCs w:val="24"/>
        </w:rPr>
        <w:t xml:space="preserve">(A) </w:t>
      </w:r>
      <w:r>
        <w:rPr>
          <w:rFonts w:cs="Times New Roman"/>
          <w:szCs w:val="24"/>
        </w:rPr>
        <w:t xml:space="preserve">and </w:t>
      </w:r>
      <w:r w:rsidR="002D6B59">
        <w:rPr>
          <w:rFonts w:cs="Times New Roman"/>
          <w:szCs w:val="24"/>
        </w:rPr>
        <w:t xml:space="preserve">the </w:t>
      </w:r>
      <w:r>
        <w:rPr>
          <w:rFonts w:cs="Times New Roman"/>
          <w:szCs w:val="24"/>
        </w:rPr>
        <w:t xml:space="preserve">UPDB-FLoSS </w:t>
      </w:r>
      <w:r w:rsidR="00C872CD" w:rsidRPr="00B67240">
        <w:rPr>
          <w:rFonts w:cs="Times New Roman"/>
          <w:b/>
          <w:szCs w:val="24"/>
        </w:rPr>
        <w:t>(B)</w:t>
      </w:r>
      <w:r w:rsidR="00E7656E">
        <w:rPr>
          <w:rFonts w:cs="Times New Roman"/>
          <w:szCs w:val="24"/>
        </w:rPr>
        <w:t xml:space="preserve"> samples</w:t>
      </w:r>
      <w:r>
        <w:rPr>
          <w:rFonts w:cs="Times New Roman"/>
          <w:szCs w:val="24"/>
        </w:rPr>
        <w:t>. The figure is based on all individuals with known information on lifespan. Note that although FLoSS is computed using data on individuals surviving until age 40 (see main text), the score is defined at a sibship (not individual) level. That is, the computed score can be assigned to all siblings in a family including those who died before age 40 (or otherwise was not included in computations of FLoSS). Therefore, such individuals appear in panels at ages under 40.</w:t>
      </w:r>
    </w:p>
    <w:p w14:paraId="5772D91B" w14:textId="77777777" w:rsidR="007E2E38" w:rsidRDefault="007E2E38" w:rsidP="00654E8F">
      <w:pPr>
        <w:spacing w:before="240"/>
        <w:rPr>
          <w:rFonts w:cs="Times New Roman"/>
          <w:szCs w:val="24"/>
        </w:rPr>
      </w:pPr>
    </w:p>
    <w:p w14:paraId="6BFFCDE7" w14:textId="77777777" w:rsidR="002D6B59" w:rsidRDefault="002D6B59" w:rsidP="00654E8F">
      <w:pPr>
        <w:spacing w:before="240"/>
        <w:rPr>
          <w:rFonts w:cs="Times New Roman"/>
          <w:szCs w:val="24"/>
        </w:rPr>
        <w:sectPr w:rsidR="002D6B59" w:rsidSect="0093429D">
          <w:headerReference w:type="even" r:id="rId14"/>
          <w:footerReference w:type="even" r:id="rId15"/>
          <w:footerReference w:type="default" r:id="rId16"/>
          <w:headerReference w:type="first" r:id="rId17"/>
          <w:pgSz w:w="12240" w:h="15840"/>
          <w:pgMar w:top="1138" w:right="1181" w:bottom="1138" w:left="1282" w:header="720" w:footer="720" w:gutter="0"/>
          <w:cols w:space="720"/>
          <w:titlePg/>
          <w:docGrid w:linePitch="360"/>
        </w:sectPr>
      </w:pPr>
    </w:p>
    <w:p w14:paraId="4F8B02BD" w14:textId="77777777" w:rsidR="007E2E38" w:rsidRPr="001549D3" w:rsidRDefault="007E2E38" w:rsidP="007E2E38">
      <w:pPr>
        <w:pStyle w:val="Heading2"/>
      </w:pPr>
      <w:r w:rsidRPr="0001436A">
        <w:lastRenderedPageBreak/>
        <w:t>Supplementary</w:t>
      </w:r>
      <w:r w:rsidRPr="001549D3">
        <w:t xml:space="preserve"> </w:t>
      </w:r>
      <w:r>
        <w:t>Tabl</w:t>
      </w:r>
      <w:r w:rsidRPr="001549D3">
        <w:t>es</w:t>
      </w:r>
    </w:p>
    <w:p w14:paraId="22F4F530" w14:textId="77777777" w:rsidR="007E2E38" w:rsidRPr="00C82738" w:rsidRDefault="007E2E38" w:rsidP="007E2E38">
      <w:pPr>
        <w:jc w:val="both"/>
        <w:rPr>
          <w:rFonts w:cs="Times New Roman"/>
          <w:szCs w:val="24"/>
        </w:rPr>
      </w:pPr>
      <w:r>
        <w:rPr>
          <w:rFonts w:cs="Times New Roman"/>
          <w:b/>
          <w:szCs w:val="24"/>
        </w:rPr>
        <w:t xml:space="preserve">Supplementary </w:t>
      </w:r>
      <w:r w:rsidRPr="00C82738">
        <w:rPr>
          <w:rFonts w:cs="Times New Roman"/>
          <w:b/>
          <w:szCs w:val="24"/>
        </w:rPr>
        <w:t xml:space="preserve">Table 1. </w:t>
      </w:r>
      <w:r w:rsidRPr="00C82738">
        <w:rPr>
          <w:rFonts w:cs="Times New Roman"/>
          <w:szCs w:val="24"/>
        </w:rPr>
        <w:t>Description of different samples constructed from the original subset of the Utah Population Database available for this study (“UPDB sample”) and used in the paper</w:t>
      </w:r>
    </w:p>
    <w:tbl>
      <w:tblPr>
        <w:tblW w:w="11502" w:type="dxa"/>
        <w:tblInd w:w="108" w:type="dxa"/>
        <w:tblLook w:val="04A0" w:firstRow="1" w:lastRow="0" w:firstColumn="1" w:lastColumn="0" w:noHBand="0" w:noVBand="1"/>
      </w:tblPr>
      <w:tblGrid>
        <w:gridCol w:w="2610"/>
        <w:gridCol w:w="5209"/>
        <w:gridCol w:w="996"/>
        <w:gridCol w:w="950"/>
        <w:gridCol w:w="1763"/>
      </w:tblGrid>
      <w:tr w:rsidR="007E2E38" w:rsidRPr="00C82738" w14:paraId="0328FAD7" w14:textId="77777777" w:rsidTr="00CC3836">
        <w:trPr>
          <w:trHeight w:val="300"/>
        </w:trPr>
        <w:tc>
          <w:tcPr>
            <w:tcW w:w="2610" w:type="dxa"/>
            <w:tcBorders>
              <w:top w:val="nil"/>
              <w:left w:val="nil"/>
              <w:bottom w:val="single" w:sz="4" w:space="0" w:color="auto"/>
              <w:right w:val="nil"/>
            </w:tcBorders>
            <w:shd w:val="clear" w:color="auto" w:fill="auto"/>
            <w:noWrap/>
            <w:hideMark/>
          </w:tcPr>
          <w:p w14:paraId="2A6EF4D3" w14:textId="77777777" w:rsidR="007E2E38" w:rsidRPr="00C82738" w:rsidRDefault="007E2E38" w:rsidP="003A30D1">
            <w:pPr>
              <w:spacing w:after="0"/>
              <w:rPr>
                <w:rFonts w:eastAsia="Times New Roman" w:cs="Times New Roman"/>
                <w:b/>
                <w:bCs/>
                <w:color w:val="000000"/>
                <w:szCs w:val="24"/>
              </w:rPr>
            </w:pPr>
            <w:r w:rsidRPr="00C82738">
              <w:rPr>
                <w:rFonts w:eastAsia="Times New Roman" w:cs="Times New Roman"/>
                <w:b/>
                <w:bCs/>
                <w:color w:val="000000"/>
                <w:szCs w:val="24"/>
              </w:rPr>
              <w:t>Sample</w:t>
            </w:r>
          </w:p>
        </w:tc>
        <w:tc>
          <w:tcPr>
            <w:tcW w:w="5209" w:type="dxa"/>
            <w:tcBorders>
              <w:top w:val="nil"/>
              <w:left w:val="nil"/>
              <w:bottom w:val="single" w:sz="4" w:space="0" w:color="auto"/>
              <w:right w:val="nil"/>
            </w:tcBorders>
            <w:shd w:val="clear" w:color="auto" w:fill="auto"/>
            <w:noWrap/>
            <w:hideMark/>
          </w:tcPr>
          <w:p w14:paraId="7DB319F1" w14:textId="77777777" w:rsidR="007E2E38" w:rsidRPr="00C82738" w:rsidRDefault="007E2E38" w:rsidP="003A30D1">
            <w:pPr>
              <w:spacing w:after="0"/>
              <w:rPr>
                <w:rFonts w:eastAsia="Times New Roman" w:cs="Times New Roman"/>
                <w:b/>
                <w:bCs/>
                <w:color w:val="000000"/>
                <w:szCs w:val="24"/>
              </w:rPr>
            </w:pPr>
            <w:r w:rsidRPr="00C82738">
              <w:rPr>
                <w:rFonts w:eastAsia="Times New Roman" w:cs="Times New Roman"/>
                <w:b/>
                <w:bCs/>
                <w:color w:val="000000"/>
                <w:szCs w:val="24"/>
              </w:rPr>
              <w:t>Description</w:t>
            </w:r>
          </w:p>
        </w:tc>
        <w:tc>
          <w:tcPr>
            <w:tcW w:w="996" w:type="dxa"/>
            <w:tcBorders>
              <w:top w:val="nil"/>
              <w:left w:val="nil"/>
              <w:bottom w:val="single" w:sz="4" w:space="0" w:color="auto"/>
              <w:right w:val="nil"/>
            </w:tcBorders>
            <w:shd w:val="clear" w:color="auto" w:fill="auto"/>
            <w:noWrap/>
            <w:hideMark/>
          </w:tcPr>
          <w:p w14:paraId="5AF723D7" w14:textId="77777777" w:rsidR="007E2E38" w:rsidRPr="00C82738" w:rsidRDefault="007E2E38" w:rsidP="003A30D1">
            <w:pPr>
              <w:spacing w:after="0"/>
              <w:jc w:val="right"/>
              <w:rPr>
                <w:rFonts w:eastAsia="Times New Roman" w:cs="Times New Roman"/>
                <w:b/>
                <w:bCs/>
                <w:color w:val="000000"/>
                <w:szCs w:val="24"/>
              </w:rPr>
            </w:pPr>
            <w:r w:rsidRPr="00C82738">
              <w:rPr>
                <w:rFonts w:eastAsia="Times New Roman" w:cs="Times New Roman"/>
                <w:b/>
                <w:bCs/>
                <w:color w:val="000000"/>
                <w:szCs w:val="24"/>
              </w:rPr>
              <w:t>N</w:t>
            </w:r>
            <w:r w:rsidRPr="00C82738">
              <w:rPr>
                <w:rFonts w:eastAsia="Times New Roman" w:cs="Times New Roman"/>
                <w:b/>
                <w:bCs/>
                <w:color w:val="000000"/>
                <w:szCs w:val="24"/>
                <w:vertAlign w:val="subscript"/>
              </w:rPr>
              <w:t>ind</w:t>
            </w:r>
          </w:p>
        </w:tc>
        <w:tc>
          <w:tcPr>
            <w:tcW w:w="950" w:type="dxa"/>
            <w:tcBorders>
              <w:top w:val="nil"/>
              <w:left w:val="nil"/>
              <w:bottom w:val="single" w:sz="4" w:space="0" w:color="auto"/>
              <w:right w:val="nil"/>
            </w:tcBorders>
            <w:shd w:val="clear" w:color="auto" w:fill="auto"/>
            <w:noWrap/>
            <w:hideMark/>
          </w:tcPr>
          <w:p w14:paraId="5626E185" w14:textId="77777777" w:rsidR="007E2E38" w:rsidRPr="00C82738" w:rsidRDefault="007E2E38" w:rsidP="003A30D1">
            <w:pPr>
              <w:spacing w:after="0"/>
              <w:jc w:val="right"/>
              <w:rPr>
                <w:rFonts w:eastAsia="Times New Roman" w:cs="Times New Roman"/>
                <w:b/>
                <w:bCs/>
                <w:color w:val="000000"/>
                <w:szCs w:val="24"/>
              </w:rPr>
            </w:pPr>
            <w:r w:rsidRPr="00C82738">
              <w:rPr>
                <w:rFonts w:eastAsia="Times New Roman" w:cs="Times New Roman"/>
                <w:b/>
                <w:bCs/>
                <w:color w:val="000000"/>
                <w:szCs w:val="24"/>
              </w:rPr>
              <w:t>N</w:t>
            </w:r>
            <w:r w:rsidRPr="00C82738">
              <w:rPr>
                <w:rFonts w:eastAsia="Times New Roman" w:cs="Times New Roman"/>
                <w:b/>
                <w:bCs/>
                <w:color w:val="000000"/>
                <w:szCs w:val="24"/>
                <w:vertAlign w:val="subscript"/>
              </w:rPr>
              <w:t>sib</w:t>
            </w:r>
          </w:p>
        </w:tc>
        <w:tc>
          <w:tcPr>
            <w:tcW w:w="1737" w:type="dxa"/>
            <w:tcBorders>
              <w:top w:val="nil"/>
              <w:left w:val="nil"/>
              <w:bottom w:val="single" w:sz="4" w:space="0" w:color="auto"/>
              <w:right w:val="nil"/>
            </w:tcBorders>
            <w:shd w:val="clear" w:color="auto" w:fill="auto"/>
            <w:noWrap/>
            <w:hideMark/>
          </w:tcPr>
          <w:p w14:paraId="2CA6932B" w14:textId="77777777" w:rsidR="007E2E38" w:rsidRDefault="007E2E38" w:rsidP="003A30D1">
            <w:pPr>
              <w:spacing w:after="0"/>
              <w:rPr>
                <w:rFonts w:eastAsia="Times New Roman" w:cs="Times New Roman"/>
                <w:b/>
                <w:bCs/>
                <w:color w:val="000000"/>
                <w:szCs w:val="24"/>
              </w:rPr>
            </w:pPr>
            <w:r w:rsidRPr="00C82738">
              <w:rPr>
                <w:rFonts w:eastAsia="Times New Roman" w:cs="Times New Roman"/>
                <w:b/>
                <w:bCs/>
                <w:color w:val="000000"/>
                <w:szCs w:val="24"/>
              </w:rPr>
              <w:t xml:space="preserve">Corresponding </w:t>
            </w:r>
          </w:p>
          <w:p w14:paraId="0D68A906" w14:textId="77777777" w:rsidR="007E2E38" w:rsidRPr="00C82738" w:rsidRDefault="007E2E38" w:rsidP="003A30D1">
            <w:pPr>
              <w:spacing w:after="0"/>
              <w:rPr>
                <w:rFonts w:eastAsia="Times New Roman" w:cs="Times New Roman"/>
                <w:b/>
                <w:bCs/>
                <w:color w:val="000000"/>
                <w:szCs w:val="24"/>
              </w:rPr>
            </w:pPr>
            <w:r w:rsidRPr="00C82738">
              <w:rPr>
                <w:rFonts w:eastAsia="Times New Roman" w:cs="Times New Roman"/>
                <w:b/>
                <w:bCs/>
                <w:color w:val="000000"/>
                <w:szCs w:val="24"/>
              </w:rPr>
              <w:t>Figures</w:t>
            </w:r>
          </w:p>
        </w:tc>
      </w:tr>
      <w:tr w:rsidR="007E2E38" w:rsidRPr="00C82738" w14:paraId="66664D06" w14:textId="77777777" w:rsidTr="00CC3836">
        <w:trPr>
          <w:trHeight w:val="300"/>
        </w:trPr>
        <w:tc>
          <w:tcPr>
            <w:tcW w:w="2610" w:type="dxa"/>
            <w:tcBorders>
              <w:top w:val="single" w:sz="4" w:space="0" w:color="auto"/>
              <w:left w:val="nil"/>
              <w:bottom w:val="nil"/>
              <w:right w:val="nil"/>
            </w:tcBorders>
            <w:shd w:val="clear" w:color="auto" w:fill="auto"/>
            <w:noWrap/>
            <w:hideMark/>
          </w:tcPr>
          <w:p w14:paraId="562BAB4C" w14:textId="77777777" w:rsidR="007E2E38" w:rsidRPr="00C82738" w:rsidRDefault="007E2E38" w:rsidP="003A30D1">
            <w:pPr>
              <w:spacing w:after="0"/>
              <w:rPr>
                <w:rFonts w:eastAsia="Times New Roman" w:cs="Times New Roman"/>
                <w:color w:val="000000"/>
                <w:szCs w:val="24"/>
              </w:rPr>
            </w:pPr>
            <w:r w:rsidRPr="00C82738">
              <w:rPr>
                <w:rFonts w:eastAsia="Times New Roman" w:cs="Times New Roman"/>
                <w:color w:val="000000"/>
                <w:szCs w:val="24"/>
              </w:rPr>
              <w:t>UPDB-All</w:t>
            </w:r>
          </w:p>
        </w:tc>
        <w:tc>
          <w:tcPr>
            <w:tcW w:w="5209" w:type="dxa"/>
            <w:tcBorders>
              <w:top w:val="single" w:sz="4" w:space="0" w:color="auto"/>
              <w:left w:val="nil"/>
              <w:bottom w:val="nil"/>
              <w:right w:val="nil"/>
            </w:tcBorders>
            <w:shd w:val="clear" w:color="auto" w:fill="auto"/>
            <w:noWrap/>
            <w:hideMark/>
          </w:tcPr>
          <w:p w14:paraId="64576E5B" w14:textId="77777777" w:rsidR="007E2E38" w:rsidRPr="00C82738" w:rsidRDefault="007E2E38" w:rsidP="003A30D1">
            <w:pPr>
              <w:spacing w:after="0"/>
              <w:rPr>
                <w:rFonts w:eastAsia="Times New Roman" w:cs="Times New Roman"/>
                <w:color w:val="000000"/>
                <w:szCs w:val="24"/>
              </w:rPr>
            </w:pPr>
            <w:r w:rsidRPr="00C82738">
              <w:rPr>
                <w:rFonts w:eastAsia="Times New Roman" w:cs="Times New Roman"/>
                <w:color w:val="000000"/>
                <w:szCs w:val="24"/>
              </w:rPr>
              <w:t>Subset from UPDB sample used in FLoSS computations</w:t>
            </w:r>
          </w:p>
        </w:tc>
        <w:tc>
          <w:tcPr>
            <w:tcW w:w="996" w:type="dxa"/>
            <w:tcBorders>
              <w:top w:val="single" w:sz="4" w:space="0" w:color="auto"/>
              <w:left w:val="nil"/>
              <w:bottom w:val="nil"/>
              <w:right w:val="nil"/>
            </w:tcBorders>
            <w:shd w:val="clear" w:color="auto" w:fill="auto"/>
            <w:noWrap/>
            <w:hideMark/>
          </w:tcPr>
          <w:p w14:paraId="0931918C" w14:textId="77777777" w:rsidR="007E2E38" w:rsidRPr="00C82738" w:rsidRDefault="007E2E38" w:rsidP="003A30D1">
            <w:pPr>
              <w:spacing w:after="0"/>
              <w:jc w:val="right"/>
              <w:rPr>
                <w:rFonts w:eastAsia="Times New Roman" w:cs="Times New Roman"/>
                <w:color w:val="000000"/>
                <w:szCs w:val="24"/>
              </w:rPr>
            </w:pPr>
            <w:r w:rsidRPr="00C82738">
              <w:rPr>
                <w:rFonts w:eastAsia="Times New Roman" w:cs="Times New Roman"/>
                <w:color w:val="000000"/>
                <w:szCs w:val="24"/>
              </w:rPr>
              <w:t>234,155</w:t>
            </w:r>
          </w:p>
        </w:tc>
        <w:tc>
          <w:tcPr>
            <w:tcW w:w="950" w:type="dxa"/>
            <w:tcBorders>
              <w:top w:val="single" w:sz="4" w:space="0" w:color="auto"/>
              <w:left w:val="nil"/>
              <w:bottom w:val="nil"/>
              <w:right w:val="nil"/>
            </w:tcBorders>
            <w:shd w:val="clear" w:color="auto" w:fill="auto"/>
            <w:noWrap/>
            <w:hideMark/>
          </w:tcPr>
          <w:p w14:paraId="4DA95E55" w14:textId="77777777" w:rsidR="007E2E38" w:rsidRPr="00C82738" w:rsidRDefault="007E2E38" w:rsidP="003A30D1">
            <w:pPr>
              <w:spacing w:after="0"/>
              <w:jc w:val="right"/>
              <w:rPr>
                <w:rFonts w:eastAsia="Times New Roman" w:cs="Times New Roman"/>
                <w:color w:val="000000"/>
                <w:szCs w:val="24"/>
              </w:rPr>
            </w:pPr>
            <w:r w:rsidRPr="00C82738">
              <w:rPr>
                <w:rFonts w:eastAsia="Times New Roman" w:cs="Times New Roman"/>
                <w:color w:val="000000"/>
                <w:szCs w:val="24"/>
              </w:rPr>
              <w:t>57,192</w:t>
            </w:r>
          </w:p>
        </w:tc>
        <w:tc>
          <w:tcPr>
            <w:tcW w:w="1737" w:type="dxa"/>
            <w:tcBorders>
              <w:top w:val="single" w:sz="4" w:space="0" w:color="auto"/>
              <w:left w:val="nil"/>
              <w:bottom w:val="nil"/>
              <w:right w:val="nil"/>
            </w:tcBorders>
            <w:shd w:val="clear" w:color="auto" w:fill="auto"/>
            <w:noWrap/>
            <w:hideMark/>
          </w:tcPr>
          <w:p w14:paraId="7594BEBD" w14:textId="77777777" w:rsidR="007E2E38" w:rsidRPr="00C82738" w:rsidRDefault="00CC3836" w:rsidP="007E2E38">
            <w:pPr>
              <w:spacing w:after="0"/>
              <w:rPr>
                <w:rFonts w:eastAsia="Times New Roman" w:cs="Times New Roman"/>
                <w:color w:val="000000"/>
                <w:szCs w:val="24"/>
              </w:rPr>
            </w:pPr>
            <w:r>
              <w:rPr>
                <w:rFonts w:eastAsia="Times New Roman" w:cs="Times New Roman"/>
                <w:color w:val="000000"/>
                <w:szCs w:val="24"/>
              </w:rPr>
              <w:t xml:space="preserve">Figures </w:t>
            </w:r>
            <w:r w:rsidR="007E2E38" w:rsidRPr="00C82738">
              <w:rPr>
                <w:rFonts w:eastAsia="Times New Roman" w:cs="Times New Roman"/>
                <w:color w:val="000000"/>
                <w:szCs w:val="24"/>
              </w:rPr>
              <w:t>S</w:t>
            </w:r>
            <w:r w:rsidR="007E2E38">
              <w:rPr>
                <w:rFonts w:eastAsia="Times New Roman" w:cs="Times New Roman"/>
                <w:color w:val="000000"/>
                <w:szCs w:val="24"/>
              </w:rPr>
              <w:t>1</w:t>
            </w:r>
            <w:r w:rsidR="007E2E38" w:rsidRPr="00C82738">
              <w:rPr>
                <w:rFonts w:eastAsia="Times New Roman" w:cs="Times New Roman"/>
                <w:color w:val="000000"/>
                <w:szCs w:val="24"/>
              </w:rPr>
              <w:t>, S</w:t>
            </w:r>
            <w:r w:rsidR="007E2E38">
              <w:rPr>
                <w:rFonts w:eastAsia="Times New Roman" w:cs="Times New Roman"/>
                <w:color w:val="000000"/>
                <w:szCs w:val="24"/>
              </w:rPr>
              <w:t>2</w:t>
            </w:r>
          </w:p>
        </w:tc>
      </w:tr>
      <w:tr w:rsidR="007E2E38" w:rsidRPr="00C82738" w14:paraId="6C6DF054" w14:textId="77777777" w:rsidTr="00CC3836">
        <w:trPr>
          <w:trHeight w:val="300"/>
        </w:trPr>
        <w:tc>
          <w:tcPr>
            <w:tcW w:w="2610" w:type="dxa"/>
            <w:tcBorders>
              <w:top w:val="nil"/>
              <w:left w:val="nil"/>
              <w:bottom w:val="nil"/>
              <w:right w:val="nil"/>
            </w:tcBorders>
            <w:shd w:val="clear" w:color="auto" w:fill="auto"/>
            <w:noWrap/>
            <w:hideMark/>
          </w:tcPr>
          <w:p w14:paraId="7DA5BC76" w14:textId="77777777" w:rsidR="007E2E38" w:rsidRPr="00C82738" w:rsidRDefault="007E2E38" w:rsidP="003A30D1">
            <w:pPr>
              <w:spacing w:after="0"/>
              <w:rPr>
                <w:rFonts w:eastAsia="Times New Roman" w:cs="Times New Roman"/>
                <w:color w:val="000000"/>
                <w:szCs w:val="24"/>
              </w:rPr>
            </w:pPr>
            <w:r w:rsidRPr="00C82738">
              <w:rPr>
                <w:rFonts w:eastAsia="Times New Roman" w:cs="Times New Roman"/>
                <w:color w:val="000000"/>
                <w:szCs w:val="24"/>
              </w:rPr>
              <w:t>UPDB-FLoSS</w:t>
            </w:r>
          </w:p>
        </w:tc>
        <w:tc>
          <w:tcPr>
            <w:tcW w:w="5209" w:type="dxa"/>
            <w:tcBorders>
              <w:top w:val="nil"/>
              <w:left w:val="nil"/>
              <w:bottom w:val="nil"/>
              <w:right w:val="nil"/>
            </w:tcBorders>
            <w:shd w:val="clear" w:color="auto" w:fill="auto"/>
            <w:noWrap/>
            <w:hideMark/>
          </w:tcPr>
          <w:p w14:paraId="5A3C008A" w14:textId="77777777" w:rsidR="007E2E38" w:rsidRPr="00C82738" w:rsidRDefault="007E2E38" w:rsidP="003A30D1">
            <w:pPr>
              <w:spacing w:after="0"/>
              <w:rPr>
                <w:rFonts w:eastAsia="Times New Roman" w:cs="Times New Roman"/>
                <w:color w:val="000000"/>
                <w:szCs w:val="24"/>
              </w:rPr>
            </w:pPr>
            <w:r w:rsidRPr="00C82738">
              <w:rPr>
                <w:rFonts w:eastAsia="Times New Roman" w:cs="Times New Roman"/>
                <w:color w:val="000000"/>
                <w:szCs w:val="24"/>
              </w:rPr>
              <w:t xml:space="preserve">Subset from UPDB-All with FLoSS ≥ 7 </w:t>
            </w:r>
          </w:p>
        </w:tc>
        <w:tc>
          <w:tcPr>
            <w:tcW w:w="996" w:type="dxa"/>
            <w:tcBorders>
              <w:top w:val="nil"/>
              <w:left w:val="nil"/>
              <w:bottom w:val="nil"/>
              <w:right w:val="nil"/>
            </w:tcBorders>
            <w:shd w:val="clear" w:color="auto" w:fill="auto"/>
            <w:noWrap/>
            <w:hideMark/>
          </w:tcPr>
          <w:p w14:paraId="4AED89C5" w14:textId="77777777" w:rsidR="007E2E38" w:rsidRPr="00C82738" w:rsidRDefault="007E2E38" w:rsidP="003A30D1">
            <w:pPr>
              <w:spacing w:after="0"/>
              <w:jc w:val="right"/>
              <w:rPr>
                <w:rFonts w:eastAsia="Times New Roman" w:cs="Times New Roman"/>
                <w:color w:val="000000"/>
                <w:szCs w:val="24"/>
              </w:rPr>
            </w:pPr>
            <w:r w:rsidRPr="00C82738">
              <w:rPr>
                <w:rFonts w:eastAsia="Times New Roman" w:cs="Times New Roman"/>
                <w:color w:val="000000"/>
                <w:szCs w:val="24"/>
              </w:rPr>
              <w:t>5,684</w:t>
            </w:r>
          </w:p>
        </w:tc>
        <w:tc>
          <w:tcPr>
            <w:tcW w:w="950" w:type="dxa"/>
            <w:tcBorders>
              <w:top w:val="nil"/>
              <w:left w:val="nil"/>
              <w:bottom w:val="nil"/>
              <w:right w:val="nil"/>
            </w:tcBorders>
            <w:shd w:val="clear" w:color="auto" w:fill="auto"/>
            <w:noWrap/>
            <w:hideMark/>
          </w:tcPr>
          <w:p w14:paraId="15CB2A07" w14:textId="77777777" w:rsidR="007E2E38" w:rsidRPr="00C82738" w:rsidRDefault="007E2E38" w:rsidP="003A30D1">
            <w:pPr>
              <w:spacing w:after="0"/>
              <w:jc w:val="right"/>
              <w:rPr>
                <w:rFonts w:eastAsia="Times New Roman" w:cs="Times New Roman"/>
                <w:color w:val="000000"/>
                <w:szCs w:val="24"/>
              </w:rPr>
            </w:pPr>
            <w:r w:rsidRPr="00C82738">
              <w:rPr>
                <w:rFonts w:eastAsia="Times New Roman" w:cs="Times New Roman"/>
                <w:color w:val="000000"/>
                <w:szCs w:val="24"/>
              </w:rPr>
              <w:t>799</w:t>
            </w:r>
          </w:p>
        </w:tc>
        <w:tc>
          <w:tcPr>
            <w:tcW w:w="1737" w:type="dxa"/>
            <w:tcBorders>
              <w:top w:val="nil"/>
              <w:left w:val="nil"/>
              <w:bottom w:val="nil"/>
              <w:right w:val="nil"/>
            </w:tcBorders>
            <w:shd w:val="clear" w:color="auto" w:fill="auto"/>
            <w:noWrap/>
            <w:hideMark/>
          </w:tcPr>
          <w:p w14:paraId="2E1811C1" w14:textId="77777777" w:rsidR="007E2E38" w:rsidRPr="00C82738" w:rsidRDefault="00CC3836" w:rsidP="007E2E38">
            <w:pPr>
              <w:spacing w:after="0"/>
              <w:rPr>
                <w:rFonts w:eastAsia="Times New Roman" w:cs="Times New Roman"/>
                <w:color w:val="000000"/>
                <w:szCs w:val="24"/>
              </w:rPr>
            </w:pPr>
            <w:r>
              <w:rPr>
                <w:rFonts w:eastAsia="Times New Roman" w:cs="Times New Roman"/>
                <w:color w:val="000000"/>
                <w:szCs w:val="24"/>
              </w:rPr>
              <w:t xml:space="preserve">Figures </w:t>
            </w:r>
            <w:r w:rsidR="007E2E38" w:rsidRPr="00C82738">
              <w:rPr>
                <w:rFonts w:eastAsia="Times New Roman" w:cs="Times New Roman"/>
                <w:color w:val="000000"/>
                <w:szCs w:val="24"/>
              </w:rPr>
              <w:t>S</w:t>
            </w:r>
            <w:r w:rsidR="007E2E38">
              <w:rPr>
                <w:rFonts w:eastAsia="Times New Roman" w:cs="Times New Roman"/>
                <w:color w:val="000000"/>
                <w:szCs w:val="24"/>
              </w:rPr>
              <w:t>1</w:t>
            </w:r>
            <w:r w:rsidR="007E2E38" w:rsidRPr="00C82738">
              <w:rPr>
                <w:rFonts w:eastAsia="Times New Roman" w:cs="Times New Roman"/>
                <w:color w:val="000000"/>
                <w:szCs w:val="24"/>
              </w:rPr>
              <w:t>, S</w:t>
            </w:r>
            <w:r w:rsidR="007E2E38">
              <w:rPr>
                <w:rFonts w:eastAsia="Times New Roman" w:cs="Times New Roman"/>
                <w:color w:val="000000"/>
                <w:szCs w:val="24"/>
              </w:rPr>
              <w:t>2</w:t>
            </w:r>
          </w:p>
        </w:tc>
      </w:tr>
      <w:tr w:rsidR="007E2E38" w:rsidRPr="00C82738" w14:paraId="73849409" w14:textId="77777777" w:rsidTr="00CC3836">
        <w:trPr>
          <w:trHeight w:val="300"/>
        </w:trPr>
        <w:tc>
          <w:tcPr>
            <w:tcW w:w="2610" w:type="dxa"/>
            <w:tcBorders>
              <w:top w:val="nil"/>
              <w:left w:val="nil"/>
              <w:bottom w:val="nil"/>
              <w:right w:val="nil"/>
            </w:tcBorders>
            <w:shd w:val="clear" w:color="auto" w:fill="auto"/>
            <w:noWrap/>
            <w:hideMark/>
          </w:tcPr>
          <w:p w14:paraId="50A9B0D7" w14:textId="77777777" w:rsidR="007E2E38" w:rsidRPr="00C82738" w:rsidRDefault="007E2E38" w:rsidP="003A30D1">
            <w:pPr>
              <w:spacing w:after="0"/>
              <w:rPr>
                <w:rFonts w:eastAsia="Times New Roman" w:cs="Times New Roman"/>
                <w:color w:val="000000"/>
                <w:szCs w:val="24"/>
              </w:rPr>
            </w:pPr>
            <w:r w:rsidRPr="00C82738">
              <w:rPr>
                <w:rFonts w:eastAsia="Times New Roman" w:cs="Times New Roman"/>
                <w:color w:val="000000"/>
                <w:szCs w:val="24"/>
              </w:rPr>
              <w:t>UPDB-1900</w:t>
            </w:r>
          </w:p>
        </w:tc>
        <w:tc>
          <w:tcPr>
            <w:tcW w:w="5209" w:type="dxa"/>
            <w:tcBorders>
              <w:top w:val="nil"/>
              <w:left w:val="nil"/>
              <w:bottom w:val="nil"/>
              <w:right w:val="nil"/>
            </w:tcBorders>
            <w:shd w:val="clear" w:color="auto" w:fill="auto"/>
            <w:noWrap/>
            <w:hideMark/>
          </w:tcPr>
          <w:p w14:paraId="18F1F85B" w14:textId="77777777" w:rsidR="007E2E38" w:rsidRPr="00C82738" w:rsidRDefault="007E2E38" w:rsidP="003A30D1">
            <w:pPr>
              <w:spacing w:after="0"/>
              <w:rPr>
                <w:rFonts w:eastAsia="Times New Roman" w:cs="Times New Roman"/>
                <w:color w:val="000000"/>
                <w:szCs w:val="24"/>
              </w:rPr>
            </w:pPr>
            <w:r w:rsidRPr="00C82738">
              <w:rPr>
                <w:rFonts w:eastAsia="Times New Roman" w:cs="Times New Roman"/>
                <w:color w:val="000000"/>
                <w:szCs w:val="24"/>
              </w:rPr>
              <w:t xml:space="preserve">Subset from UPDB-All with year of birth ≥ 1900 </w:t>
            </w:r>
          </w:p>
        </w:tc>
        <w:tc>
          <w:tcPr>
            <w:tcW w:w="996" w:type="dxa"/>
            <w:tcBorders>
              <w:top w:val="nil"/>
              <w:left w:val="nil"/>
              <w:bottom w:val="nil"/>
              <w:right w:val="nil"/>
            </w:tcBorders>
            <w:shd w:val="clear" w:color="auto" w:fill="auto"/>
            <w:noWrap/>
            <w:hideMark/>
          </w:tcPr>
          <w:p w14:paraId="15D18324" w14:textId="77777777" w:rsidR="007E2E38" w:rsidRPr="00C82738" w:rsidRDefault="007E2E38" w:rsidP="003A30D1">
            <w:pPr>
              <w:spacing w:after="0"/>
              <w:jc w:val="right"/>
              <w:rPr>
                <w:rFonts w:eastAsia="Times New Roman" w:cs="Times New Roman"/>
                <w:color w:val="000000"/>
                <w:szCs w:val="24"/>
              </w:rPr>
            </w:pPr>
            <w:r w:rsidRPr="00C82738">
              <w:rPr>
                <w:rFonts w:eastAsia="Times New Roman" w:cs="Times New Roman"/>
                <w:color w:val="000000"/>
                <w:szCs w:val="24"/>
              </w:rPr>
              <w:t>29,001</w:t>
            </w:r>
          </w:p>
        </w:tc>
        <w:tc>
          <w:tcPr>
            <w:tcW w:w="950" w:type="dxa"/>
            <w:tcBorders>
              <w:top w:val="nil"/>
              <w:left w:val="nil"/>
              <w:bottom w:val="nil"/>
              <w:right w:val="nil"/>
            </w:tcBorders>
            <w:shd w:val="clear" w:color="auto" w:fill="auto"/>
            <w:noWrap/>
            <w:hideMark/>
          </w:tcPr>
          <w:p w14:paraId="21A0CBE1" w14:textId="77777777" w:rsidR="007E2E38" w:rsidRPr="00C82738" w:rsidRDefault="007E2E38" w:rsidP="003A30D1">
            <w:pPr>
              <w:spacing w:after="0"/>
              <w:jc w:val="right"/>
              <w:rPr>
                <w:rFonts w:eastAsia="Times New Roman" w:cs="Times New Roman"/>
                <w:color w:val="000000"/>
                <w:szCs w:val="24"/>
              </w:rPr>
            </w:pPr>
            <w:r w:rsidRPr="00C82738">
              <w:rPr>
                <w:rFonts w:eastAsia="Times New Roman" w:cs="Times New Roman"/>
                <w:color w:val="000000"/>
                <w:szCs w:val="24"/>
              </w:rPr>
              <w:t>16,201</w:t>
            </w:r>
          </w:p>
        </w:tc>
        <w:tc>
          <w:tcPr>
            <w:tcW w:w="1737" w:type="dxa"/>
            <w:tcBorders>
              <w:top w:val="nil"/>
              <w:left w:val="nil"/>
              <w:bottom w:val="nil"/>
              <w:right w:val="nil"/>
            </w:tcBorders>
            <w:shd w:val="clear" w:color="auto" w:fill="auto"/>
            <w:noWrap/>
            <w:hideMark/>
          </w:tcPr>
          <w:p w14:paraId="30BA3B60" w14:textId="77777777" w:rsidR="007E2E38" w:rsidRPr="00C82738" w:rsidRDefault="007E2E38" w:rsidP="003A30D1">
            <w:pPr>
              <w:spacing w:after="0"/>
              <w:rPr>
                <w:rFonts w:eastAsia="Times New Roman" w:cs="Times New Roman"/>
                <w:color w:val="000000"/>
                <w:szCs w:val="24"/>
              </w:rPr>
            </w:pPr>
            <w:r w:rsidRPr="00C82738">
              <w:rPr>
                <w:rFonts w:eastAsia="Times New Roman" w:cs="Times New Roman"/>
                <w:color w:val="000000"/>
                <w:szCs w:val="24"/>
              </w:rPr>
              <w:t>Figure 1</w:t>
            </w:r>
          </w:p>
        </w:tc>
      </w:tr>
      <w:tr w:rsidR="007E2E38" w:rsidRPr="00C82738" w14:paraId="6903FB0B" w14:textId="77777777" w:rsidTr="00CC3836">
        <w:trPr>
          <w:trHeight w:val="300"/>
        </w:trPr>
        <w:tc>
          <w:tcPr>
            <w:tcW w:w="2610" w:type="dxa"/>
            <w:tcBorders>
              <w:top w:val="nil"/>
              <w:left w:val="nil"/>
              <w:bottom w:val="nil"/>
              <w:right w:val="nil"/>
            </w:tcBorders>
            <w:shd w:val="clear" w:color="auto" w:fill="auto"/>
            <w:noWrap/>
            <w:hideMark/>
          </w:tcPr>
          <w:p w14:paraId="40300605" w14:textId="77777777" w:rsidR="007E2E38" w:rsidRPr="00C82738" w:rsidRDefault="007E2E38" w:rsidP="003A30D1">
            <w:pPr>
              <w:spacing w:after="0"/>
              <w:rPr>
                <w:rFonts w:eastAsia="Times New Roman" w:cs="Times New Roman"/>
                <w:color w:val="000000"/>
                <w:szCs w:val="24"/>
              </w:rPr>
            </w:pPr>
            <w:r w:rsidRPr="00C82738">
              <w:rPr>
                <w:rFonts w:eastAsia="Times New Roman" w:cs="Times New Roman"/>
                <w:color w:val="000000"/>
                <w:szCs w:val="24"/>
              </w:rPr>
              <w:t>UPDB-1900-FLoSS</w:t>
            </w:r>
          </w:p>
        </w:tc>
        <w:tc>
          <w:tcPr>
            <w:tcW w:w="5209" w:type="dxa"/>
            <w:tcBorders>
              <w:top w:val="nil"/>
              <w:left w:val="nil"/>
              <w:bottom w:val="nil"/>
              <w:right w:val="nil"/>
            </w:tcBorders>
            <w:shd w:val="clear" w:color="auto" w:fill="auto"/>
            <w:noWrap/>
            <w:hideMark/>
          </w:tcPr>
          <w:p w14:paraId="0D63C543" w14:textId="77777777" w:rsidR="007E2E38" w:rsidRPr="00C82738" w:rsidRDefault="007E2E38" w:rsidP="003A30D1">
            <w:pPr>
              <w:spacing w:after="0"/>
              <w:rPr>
                <w:rFonts w:eastAsia="Times New Roman" w:cs="Times New Roman"/>
                <w:color w:val="000000"/>
                <w:szCs w:val="24"/>
              </w:rPr>
            </w:pPr>
            <w:r w:rsidRPr="00C82738">
              <w:rPr>
                <w:rFonts w:eastAsia="Times New Roman" w:cs="Times New Roman"/>
                <w:color w:val="000000"/>
                <w:szCs w:val="24"/>
              </w:rPr>
              <w:t>Subset from UPDB-FLoSS with year of birth ≥ 1900</w:t>
            </w:r>
          </w:p>
        </w:tc>
        <w:tc>
          <w:tcPr>
            <w:tcW w:w="996" w:type="dxa"/>
            <w:tcBorders>
              <w:top w:val="nil"/>
              <w:left w:val="nil"/>
              <w:bottom w:val="nil"/>
              <w:right w:val="nil"/>
            </w:tcBorders>
            <w:shd w:val="clear" w:color="auto" w:fill="auto"/>
            <w:noWrap/>
            <w:hideMark/>
          </w:tcPr>
          <w:p w14:paraId="47934DD7" w14:textId="77777777" w:rsidR="007E2E38" w:rsidRPr="00C82738" w:rsidRDefault="007E2E38" w:rsidP="003A30D1">
            <w:pPr>
              <w:spacing w:after="0"/>
              <w:jc w:val="right"/>
              <w:rPr>
                <w:rFonts w:eastAsia="Times New Roman" w:cs="Times New Roman"/>
                <w:color w:val="000000"/>
                <w:szCs w:val="24"/>
              </w:rPr>
            </w:pPr>
            <w:r w:rsidRPr="00C82738">
              <w:rPr>
                <w:rFonts w:eastAsia="Times New Roman" w:cs="Times New Roman"/>
                <w:color w:val="000000"/>
                <w:szCs w:val="24"/>
              </w:rPr>
              <w:t>647</w:t>
            </w:r>
          </w:p>
        </w:tc>
        <w:tc>
          <w:tcPr>
            <w:tcW w:w="950" w:type="dxa"/>
            <w:tcBorders>
              <w:top w:val="nil"/>
              <w:left w:val="nil"/>
              <w:bottom w:val="nil"/>
              <w:right w:val="nil"/>
            </w:tcBorders>
            <w:shd w:val="clear" w:color="auto" w:fill="auto"/>
            <w:noWrap/>
            <w:hideMark/>
          </w:tcPr>
          <w:p w14:paraId="791E1B47" w14:textId="77777777" w:rsidR="007E2E38" w:rsidRPr="00C82738" w:rsidRDefault="007E2E38" w:rsidP="003A30D1">
            <w:pPr>
              <w:spacing w:after="0"/>
              <w:jc w:val="right"/>
              <w:rPr>
                <w:rFonts w:eastAsia="Times New Roman" w:cs="Times New Roman"/>
                <w:color w:val="000000"/>
                <w:szCs w:val="24"/>
              </w:rPr>
            </w:pPr>
            <w:r w:rsidRPr="00C82738">
              <w:rPr>
                <w:rFonts w:eastAsia="Times New Roman" w:cs="Times New Roman"/>
                <w:color w:val="000000"/>
                <w:szCs w:val="24"/>
              </w:rPr>
              <w:t>292</w:t>
            </w:r>
          </w:p>
        </w:tc>
        <w:tc>
          <w:tcPr>
            <w:tcW w:w="1737" w:type="dxa"/>
            <w:tcBorders>
              <w:top w:val="nil"/>
              <w:left w:val="nil"/>
              <w:bottom w:val="nil"/>
              <w:right w:val="nil"/>
            </w:tcBorders>
            <w:shd w:val="clear" w:color="auto" w:fill="auto"/>
            <w:noWrap/>
            <w:hideMark/>
          </w:tcPr>
          <w:p w14:paraId="13095B65" w14:textId="77777777" w:rsidR="007E2E38" w:rsidRPr="00C82738" w:rsidRDefault="007E2E38" w:rsidP="003A30D1">
            <w:pPr>
              <w:spacing w:after="0"/>
              <w:rPr>
                <w:rFonts w:eastAsia="Times New Roman" w:cs="Times New Roman"/>
                <w:color w:val="000000"/>
                <w:szCs w:val="24"/>
              </w:rPr>
            </w:pPr>
            <w:r w:rsidRPr="00C82738">
              <w:rPr>
                <w:rFonts w:eastAsia="Times New Roman" w:cs="Times New Roman"/>
                <w:color w:val="000000"/>
                <w:szCs w:val="24"/>
              </w:rPr>
              <w:t>Figure 1</w:t>
            </w:r>
          </w:p>
        </w:tc>
      </w:tr>
      <w:tr w:rsidR="007E2E38" w:rsidRPr="00C82738" w14:paraId="4E69868C" w14:textId="77777777" w:rsidTr="00CC3836">
        <w:trPr>
          <w:trHeight w:val="300"/>
        </w:trPr>
        <w:tc>
          <w:tcPr>
            <w:tcW w:w="2610" w:type="dxa"/>
            <w:tcBorders>
              <w:top w:val="nil"/>
              <w:left w:val="nil"/>
              <w:bottom w:val="nil"/>
              <w:right w:val="nil"/>
            </w:tcBorders>
            <w:shd w:val="clear" w:color="auto" w:fill="auto"/>
            <w:noWrap/>
            <w:hideMark/>
          </w:tcPr>
          <w:p w14:paraId="58C2CE87" w14:textId="77777777" w:rsidR="007E2E38" w:rsidRPr="00C82738" w:rsidRDefault="007E2E38" w:rsidP="003A30D1">
            <w:pPr>
              <w:spacing w:after="0"/>
              <w:rPr>
                <w:rFonts w:eastAsia="Times New Roman" w:cs="Times New Roman"/>
                <w:color w:val="000000"/>
                <w:szCs w:val="24"/>
              </w:rPr>
            </w:pPr>
            <w:r w:rsidRPr="00C82738">
              <w:rPr>
                <w:rFonts w:eastAsia="Times New Roman" w:cs="Times New Roman"/>
                <w:color w:val="000000"/>
                <w:szCs w:val="24"/>
              </w:rPr>
              <w:t>UPDB-1900-AntiFLoSS</w:t>
            </w:r>
          </w:p>
        </w:tc>
        <w:tc>
          <w:tcPr>
            <w:tcW w:w="5209" w:type="dxa"/>
            <w:tcBorders>
              <w:top w:val="nil"/>
              <w:left w:val="nil"/>
              <w:bottom w:val="nil"/>
              <w:right w:val="nil"/>
            </w:tcBorders>
            <w:shd w:val="clear" w:color="auto" w:fill="auto"/>
            <w:noWrap/>
            <w:hideMark/>
          </w:tcPr>
          <w:p w14:paraId="447A02B6" w14:textId="77777777" w:rsidR="007E2E38" w:rsidRPr="00C82738" w:rsidRDefault="007E2E38" w:rsidP="003A30D1">
            <w:pPr>
              <w:spacing w:after="0"/>
              <w:rPr>
                <w:rFonts w:eastAsia="Times New Roman" w:cs="Times New Roman"/>
                <w:color w:val="000000"/>
                <w:szCs w:val="24"/>
              </w:rPr>
            </w:pPr>
            <w:r w:rsidRPr="00C82738">
              <w:rPr>
                <w:rFonts w:eastAsia="Times New Roman" w:cs="Times New Roman"/>
                <w:color w:val="000000"/>
                <w:szCs w:val="24"/>
              </w:rPr>
              <w:t>Subset from UPDB-All with year of birth ≥ 1900 and FLoSS ≤ -4.5</w:t>
            </w:r>
          </w:p>
        </w:tc>
        <w:tc>
          <w:tcPr>
            <w:tcW w:w="996" w:type="dxa"/>
            <w:tcBorders>
              <w:top w:val="nil"/>
              <w:left w:val="nil"/>
              <w:bottom w:val="nil"/>
              <w:right w:val="nil"/>
            </w:tcBorders>
            <w:shd w:val="clear" w:color="auto" w:fill="auto"/>
            <w:noWrap/>
            <w:hideMark/>
          </w:tcPr>
          <w:p w14:paraId="17C6C8A7" w14:textId="77777777" w:rsidR="007E2E38" w:rsidRPr="00C82738" w:rsidRDefault="007E2E38" w:rsidP="003A30D1">
            <w:pPr>
              <w:spacing w:after="0"/>
              <w:jc w:val="right"/>
              <w:rPr>
                <w:rFonts w:eastAsia="Times New Roman" w:cs="Times New Roman"/>
                <w:color w:val="000000"/>
                <w:szCs w:val="24"/>
              </w:rPr>
            </w:pPr>
            <w:r w:rsidRPr="00C82738">
              <w:rPr>
                <w:rFonts w:eastAsia="Times New Roman" w:cs="Times New Roman"/>
                <w:color w:val="000000"/>
                <w:szCs w:val="24"/>
              </w:rPr>
              <w:t>629</w:t>
            </w:r>
          </w:p>
        </w:tc>
        <w:tc>
          <w:tcPr>
            <w:tcW w:w="950" w:type="dxa"/>
            <w:tcBorders>
              <w:top w:val="nil"/>
              <w:left w:val="nil"/>
              <w:bottom w:val="nil"/>
              <w:right w:val="nil"/>
            </w:tcBorders>
            <w:shd w:val="clear" w:color="auto" w:fill="auto"/>
            <w:noWrap/>
            <w:hideMark/>
          </w:tcPr>
          <w:p w14:paraId="400C5B8D" w14:textId="77777777" w:rsidR="007E2E38" w:rsidRPr="00C82738" w:rsidRDefault="007E2E38" w:rsidP="003A30D1">
            <w:pPr>
              <w:spacing w:after="0"/>
              <w:jc w:val="right"/>
              <w:rPr>
                <w:rFonts w:eastAsia="Times New Roman" w:cs="Times New Roman"/>
                <w:color w:val="000000"/>
                <w:szCs w:val="24"/>
              </w:rPr>
            </w:pPr>
            <w:r w:rsidRPr="00C82738">
              <w:rPr>
                <w:rFonts w:eastAsia="Times New Roman" w:cs="Times New Roman"/>
                <w:color w:val="000000"/>
                <w:szCs w:val="24"/>
              </w:rPr>
              <w:t>294</w:t>
            </w:r>
          </w:p>
        </w:tc>
        <w:tc>
          <w:tcPr>
            <w:tcW w:w="1737" w:type="dxa"/>
            <w:tcBorders>
              <w:top w:val="nil"/>
              <w:left w:val="nil"/>
              <w:bottom w:val="nil"/>
              <w:right w:val="nil"/>
            </w:tcBorders>
            <w:shd w:val="clear" w:color="auto" w:fill="auto"/>
            <w:noWrap/>
            <w:hideMark/>
          </w:tcPr>
          <w:p w14:paraId="3521027F" w14:textId="77777777" w:rsidR="007E2E38" w:rsidRPr="00C82738" w:rsidRDefault="007E2E38" w:rsidP="003A30D1">
            <w:pPr>
              <w:spacing w:after="0"/>
              <w:rPr>
                <w:rFonts w:eastAsia="Times New Roman" w:cs="Times New Roman"/>
                <w:color w:val="000000"/>
                <w:szCs w:val="24"/>
              </w:rPr>
            </w:pPr>
            <w:r w:rsidRPr="00C82738">
              <w:rPr>
                <w:rFonts w:eastAsia="Times New Roman" w:cs="Times New Roman"/>
                <w:color w:val="000000"/>
                <w:szCs w:val="24"/>
              </w:rPr>
              <w:t>Figure 1</w:t>
            </w:r>
          </w:p>
        </w:tc>
      </w:tr>
      <w:tr w:rsidR="007E2E38" w:rsidRPr="00C82738" w14:paraId="3F216B23" w14:textId="77777777" w:rsidTr="00CC3836">
        <w:trPr>
          <w:trHeight w:val="300"/>
        </w:trPr>
        <w:tc>
          <w:tcPr>
            <w:tcW w:w="2610" w:type="dxa"/>
            <w:tcBorders>
              <w:top w:val="nil"/>
              <w:left w:val="nil"/>
              <w:bottom w:val="nil"/>
              <w:right w:val="nil"/>
            </w:tcBorders>
            <w:shd w:val="clear" w:color="auto" w:fill="auto"/>
            <w:noWrap/>
            <w:hideMark/>
          </w:tcPr>
          <w:p w14:paraId="415B7C7B" w14:textId="77777777" w:rsidR="007E2E38" w:rsidRPr="00C82738" w:rsidRDefault="007E2E38" w:rsidP="003A30D1">
            <w:pPr>
              <w:spacing w:after="0"/>
              <w:rPr>
                <w:rFonts w:eastAsia="Times New Roman" w:cs="Times New Roman"/>
                <w:color w:val="000000"/>
                <w:szCs w:val="24"/>
              </w:rPr>
            </w:pPr>
            <w:r w:rsidRPr="00C82738">
              <w:rPr>
                <w:rFonts w:eastAsia="Times New Roman" w:cs="Times New Roman"/>
                <w:color w:val="000000"/>
                <w:szCs w:val="24"/>
              </w:rPr>
              <w:t>UPDB-y1980-E</w:t>
            </w:r>
          </w:p>
        </w:tc>
        <w:tc>
          <w:tcPr>
            <w:tcW w:w="5209" w:type="dxa"/>
            <w:tcBorders>
              <w:top w:val="nil"/>
              <w:left w:val="nil"/>
              <w:bottom w:val="nil"/>
              <w:right w:val="nil"/>
            </w:tcBorders>
            <w:shd w:val="clear" w:color="auto" w:fill="auto"/>
            <w:noWrap/>
            <w:hideMark/>
          </w:tcPr>
          <w:p w14:paraId="6DC3496E" w14:textId="77777777" w:rsidR="007E2E38" w:rsidRPr="00C82738" w:rsidRDefault="007E2E38" w:rsidP="003A30D1">
            <w:pPr>
              <w:spacing w:after="0"/>
              <w:rPr>
                <w:rFonts w:eastAsia="Times New Roman" w:cs="Times New Roman"/>
                <w:color w:val="000000"/>
                <w:szCs w:val="24"/>
              </w:rPr>
            </w:pPr>
            <w:r w:rsidRPr="00C82738">
              <w:rPr>
                <w:rFonts w:eastAsia="Times New Roman" w:cs="Times New Roman"/>
                <w:color w:val="000000"/>
                <w:szCs w:val="24"/>
              </w:rPr>
              <w:t>Subset of UPDB-All who were alive and aged 80+ in year 1980 and had FLoSS ≥ 7</w:t>
            </w:r>
          </w:p>
        </w:tc>
        <w:tc>
          <w:tcPr>
            <w:tcW w:w="996" w:type="dxa"/>
            <w:tcBorders>
              <w:top w:val="nil"/>
              <w:left w:val="nil"/>
              <w:bottom w:val="nil"/>
              <w:right w:val="nil"/>
            </w:tcBorders>
            <w:shd w:val="clear" w:color="auto" w:fill="auto"/>
            <w:noWrap/>
            <w:hideMark/>
          </w:tcPr>
          <w:p w14:paraId="77E4FD7D" w14:textId="77777777" w:rsidR="007E2E38" w:rsidRPr="00C82738" w:rsidRDefault="007E2E38" w:rsidP="003A30D1">
            <w:pPr>
              <w:spacing w:after="0"/>
              <w:jc w:val="right"/>
              <w:rPr>
                <w:rFonts w:eastAsia="Times New Roman" w:cs="Times New Roman"/>
                <w:color w:val="000000"/>
                <w:szCs w:val="24"/>
              </w:rPr>
            </w:pPr>
            <w:r w:rsidRPr="00C82738">
              <w:rPr>
                <w:rFonts w:eastAsia="Times New Roman" w:cs="Times New Roman"/>
                <w:color w:val="000000"/>
                <w:szCs w:val="24"/>
              </w:rPr>
              <w:t>1,193</w:t>
            </w:r>
          </w:p>
        </w:tc>
        <w:tc>
          <w:tcPr>
            <w:tcW w:w="950" w:type="dxa"/>
            <w:tcBorders>
              <w:top w:val="nil"/>
              <w:left w:val="nil"/>
              <w:bottom w:val="nil"/>
              <w:right w:val="nil"/>
            </w:tcBorders>
            <w:shd w:val="clear" w:color="auto" w:fill="auto"/>
            <w:noWrap/>
            <w:hideMark/>
          </w:tcPr>
          <w:p w14:paraId="26DDA06B" w14:textId="77777777" w:rsidR="007E2E38" w:rsidRPr="00C82738" w:rsidRDefault="007E2E38" w:rsidP="003A30D1">
            <w:pPr>
              <w:spacing w:after="0"/>
              <w:jc w:val="right"/>
              <w:rPr>
                <w:rFonts w:eastAsia="Times New Roman" w:cs="Times New Roman"/>
                <w:color w:val="000000"/>
                <w:szCs w:val="24"/>
              </w:rPr>
            </w:pPr>
            <w:r w:rsidRPr="00C82738">
              <w:rPr>
                <w:rFonts w:eastAsia="Times New Roman" w:cs="Times New Roman"/>
                <w:color w:val="000000"/>
                <w:szCs w:val="24"/>
              </w:rPr>
              <w:t>491</w:t>
            </w:r>
          </w:p>
        </w:tc>
        <w:tc>
          <w:tcPr>
            <w:tcW w:w="1737" w:type="dxa"/>
            <w:tcBorders>
              <w:top w:val="nil"/>
              <w:left w:val="nil"/>
              <w:bottom w:val="nil"/>
              <w:right w:val="nil"/>
            </w:tcBorders>
            <w:shd w:val="clear" w:color="auto" w:fill="auto"/>
            <w:noWrap/>
            <w:hideMark/>
          </w:tcPr>
          <w:p w14:paraId="1F5FF407" w14:textId="77777777" w:rsidR="007E2E38" w:rsidRPr="00C82738" w:rsidRDefault="007E2E38" w:rsidP="003A30D1">
            <w:pPr>
              <w:spacing w:after="0"/>
              <w:rPr>
                <w:rFonts w:eastAsia="Times New Roman" w:cs="Times New Roman"/>
                <w:color w:val="000000"/>
                <w:szCs w:val="24"/>
              </w:rPr>
            </w:pPr>
            <w:r w:rsidRPr="00C82738">
              <w:rPr>
                <w:rFonts w:eastAsia="Times New Roman" w:cs="Times New Roman"/>
                <w:color w:val="000000"/>
                <w:szCs w:val="24"/>
              </w:rPr>
              <w:t>Figure 2</w:t>
            </w:r>
          </w:p>
        </w:tc>
      </w:tr>
      <w:tr w:rsidR="007E2E38" w:rsidRPr="00C82738" w14:paraId="7CB57381" w14:textId="77777777" w:rsidTr="00CC3836">
        <w:trPr>
          <w:trHeight w:val="300"/>
        </w:trPr>
        <w:tc>
          <w:tcPr>
            <w:tcW w:w="2610" w:type="dxa"/>
            <w:tcBorders>
              <w:top w:val="nil"/>
              <w:left w:val="nil"/>
              <w:bottom w:val="nil"/>
              <w:right w:val="nil"/>
            </w:tcBorders>
            <w:shd w:val="clear" w:color="auto" w:fill="auto"/>
            <w:noWrap/>
            <w:hideMark/>
          </w:tcPr>
          <w:p w14:paraId="0017F935" w14:textId="77777777" w:rsidR="007E2E38" w:rsidRPr="00C82738" w:rsidRDefault="007E2E38" w:rsidP="003A30D1">
            <w:pPr>
              <w:spacing w:after="0"/>
              <w:rPr>
                <w:rFonts w:eastAsia="Times New Roman" w:cs="Times New Roman"/>
                <w:color w:val="000000"/>
                <w:szCs w:val="24"/>
              </w:rPr>
            </w:pPr>
            <w:r w:rsidRPr="00C82738">
              <w:rPr>
                <w:rFonts w:eastAsia="Times New Roman" w:cs="Times New Roman"/>
                <w:color w:val="000000"/>
                <w:szCs w:val="24"/>
              </w:rPr>
              <w:t>UPDB-y1980-O</w:t>
            </w:r>
          </w:p>
        </w:tc>
        <w:tc>
          <w:tcPr>
            <w:tcW w:w="5209" w:type="dxa"/>
            <w:tcBorders>
              <w:top w:val="nil"/>
              <w:left w:val="nil"/>
              <w:bottom w:val="nil"/>
              <w:right w:val="nil"/>
            </w:tcBorders>
            <w:shd w:val="clear" w:color="auto" w:fill="auto"/>
            <w:noWrap/>
            <w:hideMark/>
          </w:tcPr>
          <w:p w14:paraId="32C0116A" w14:textId="77777777" w:rsidR="007E2E38" w:rsidRPr="00C82738" w:rsidRDefault="007E2E38" w:rsidP="003A30D1">
            <w:pPr>
              <w:spacing w:after="0"/>
              <w:rPr>
                <w:rFonts w:eastAsia="Times New Roman" w:cs="Times New Roman"/>
                <w:color w:val="000000"/>
                <w:szCs w:val="24"/>
              </w:rPr>
            </w:pPr>
            <w:r w:rsidRPr="00C82738">
              <w:rPr>
                <w:rFonts w:eastAsia="Times New Roman" w:cs="Times New Roman"/>
                <w:color w:val="000000"/>
                <w:szCs w:val="24"/>
              </w:rPr>
              <w:t>Subset of UPDB-All who were alive and aged 80+ in year 1980 and had FLoSS &lt; 7</w:t>
            </w:r>
          </w:p>
        </w:tc>
        <w:tc>
          <w:tcPr>
            <w:tcW w:w="996" w:type="dxa"/>
            <w:tcBorders>
              <w:top w:val="nil"/>
              <w:left w:val="nil"/>
              <w:bottom w:val="nil"/>
              <w:right w:val="nil"/>
            </w:tcBorders>
            <w:shd w:val="clear" w:color="auto" w:fill="auto"/>
            <w:noWrap/>
            <w:hideMark/>
          </w:tcPr>
          <w:p w14:paraId="0D68DAF7" w14:textId="77777777" w:rsidR="007E2E38" w:rsidRPr="00C82738" w:rsidRDefault="007E2E38" w:rsidP="003A30D1">
            <w:pPr>
              <w:spacing w:after="0"/>
              <w:jc w:val="right"/>
              <w:rPr>
                <w:rFonts w:eastAsia="Times New Roman" w:cs="Times New Roman"/>
                <w:color w:val="000000"/>
                <w:szCs w:val="24"/>
              </w:rPr>
            </w:pPr>
            <w:r w:rsidRPr="00C82738">
              <w:rPr>
                <w:rFonts w:eastAsia="Times New Roman" w:cs="Times New Roman"/>
                <w:color w:val="000000"/>
                <w:szCs w:val="24"/>
              </w:rPr>
              <w:t>13,951</w:t>
            </w:r>
          </w:p>
        </w:tc>
        <w:tc>
          <w:tcPr>
            <w:tcW w:w="950" w:type="dxa"/>
            <w:tcBorders>
              <w:top w:val="nil"/>
              <w:left w:val="nil"/>
              <w:bottom w:val="nil"/>
              <w:right w:val="nil"/>
            </w:tcBorders>
            <w:shd w:val="clear" w:color="auto" w:fill="auto"/>
            <w:noWrap/>
            <w:hideMark/>
          </w:tcPr>
          <w:p w14:paraId="0AA4F37A" w14:textId="77777777" w:rsidR="007E2E38" w:rsidRPr="00C82738" w:rsidRDefault="007E2E38" w:rsidP="003A30D1">
            <w:pPr>
              <w:spacing w:after="0"/>
              <w:jc w:val="right"/>
              <w:rPr>
                <w:rFonts w:eastAsia="Times New Roman" w:cs="Times New Roman"/>
                <w:color w:val="000000"/>
                <w:szCs w:val="24"/>
              </w:rPr>
            </w:pPr>
            <w:r w:rsidRPr="00C82738">
              <w:rPr>
                <w:rFonts w:eastAsia="Times New Roman" w:cs="Times New Roman"/>
                <w:color w:val="000000"/>
                <w:szCs w:val="24"/>
              </w:rPr>
              <w:t>10,663</w:t>
            </w:r>
          </w:p>
        </w:tc>
        <w:tc>
          <w:tcPr>
            <w:tcW w:w="1737" w:type="dxa"/>
            <w:tcBorders>
              <w:top w:val="nil"/>
              <w:left w:val="nil"/>
              <w:bottom w:val="nil"/>
              <w:right w:val="nil"/>
            </w:tcBorders>
            <w:shd w:val="clear" w:color="auto" w:fill="auto"/>
            <w:noWrap/>
            <w:hideMark/>
          </w:tcPr>
          <w:p w14:paraId="751D3635" w14:textId="77777777" w:rsidR="007E2E38" w:rsidRPr="00C82738" w:rsidRDefault="007E2E38" w:rsidP="003A30D1">
            <w:pPr>
              <w:spacing w:after="0"/>
              <w:rPr>
                <w:rFonts w:eastAsia="Times New Roman" w:cs="Times New Roman"/>
                <w:color w:val="000000"/>
                <w:szCs w:val="24"/>
              </w:rPr>
            </w:pPr>
            <w:r w:rsidRPr="00C82738">
              <w:rPr>
                <w:rFonts w:eastAsia="Times New Roman" w:cs="Times New Roman"/>
                <w:color w:val="000000"/>
                <w:szCs w:val="24"/>
              </w:rPr>
              <w:t>Figure 2</w:t>
            </w:r>
          </w:p>
        </w:tc>
      </w:tr>
      <w:tr w:rsidR="007E2E38" w:rsidRPr="00C82738" w14:paraId="40A4522C" w14:textId="77777777" w:rsidTr="00CC3836">
        <w:trPr>
          <w:trHeight w:val="300"/>
        </w:trPr>
        <w:tc>
          <w:tcPr>
            <w:tcW w:w="2610" w:type="dxa"/>
            <w:tcBorders>
              <w:top w:val="nil"/>
              <w:left w:val="nil"/>
              <w:right w:val="nil"/>
            </w:tcBorders>
            <w:shd w:val="clear" w:color="auto" w:fill="auto"/>
            <w:noWrap/>
            <w:hideMark/>
          </w:tcPr>
          <w:p w14:paraId="581D1D90" w14:textId="77777777" w:rsidR="007E2E38" w:rsidRPr="00C82738" w:rsidRDefault="007E2E38" w:rsidP="003A30D1">
            <w:pPr>
              <w:spacing w:after="0"/>
              <w:rPr>
                <w:rFonts w:eastAsia="Times New Roman" w:cs="Times New Roman"/>
                <w:color w:val="000000"/>
                <w:szCs w:val="24"/>
              </w:rPr>
            </w:pPr>
            <w:r w:rsidRPr="00C82738">
              <w:rPr>
                <w:rFonts w:eastAsia="Times New Roman" w:cs="Times New Roman"/>
                <w:color w:val="000000"/>
                <w:szCs w:val="24"/>
              </w:rPr>
              <w:t>UPDB-1900-EO</w:t>
            </w:r>
          </w:p>
        </w:tc>
        <w:tc>
          <w:tcPr>
            <w:tcW w:w="5209" w:type="dxa"/>
            <w:tcBorders>
              <w:top w:val="nil"/>
              <w:left w:val="nil"/>
              <w:right w:val="nil"/>
            </w:tcBorders>
            <w:shd w:val="clear" w:color="auto" w:fill="auto"/>
            <w:noWrap/>
            <w:hideMark/>
          </w:tcPr>
          <w:p w14:paraId="70040755" w14:textId="77777777" w:rsidR="007E2E38" w:rsidRPr="00C82738" w:rsidRDefault="007E2E38" w:rsidP="003A30D1">
            <w:pPr>
              <w:spacing w:after="0"/>
              <w:rPr>
                <w:rFonts w:eastAsia="Times New Roman" w:cs="Times New Roman"/>
                <w:color w:val="000000"/>
                <w:szCs w:val="24"/>
              </w:rPr>
            </w:pPr>
            <w:r w:rsidRPr="00C82738">
              <w:rPr>
                <w:rFonts w:eastAsia="Times New Roman" w:cs="Times New Roman"/>
                <w:color w:val="000000"/>
                <w:szCs w:val="24"/>
              </w:rPr>
              <w:t>Subset from UPDB-All with year of birth ≥ 1900 and with at least one parent having FLoSS ≥ 7</w:t>
            </w:r>
          </w:p>
        </w:tc>
        <w:tc>
          <w:tcPr>
            <w:tcW w:w="996" w:type="dxa"/>
            <w:tcBorders>
              <w:top w:val="nil"/>
              <w:left w:val="nil"/>
              <w:right w:val="nil"/>
            </w:tcBorders>
            <w:shd w:val="clear" w:color="auto" w:fill="auto"/>
            <w:noWrap/>
            <w:hideMark/>
          </w:tcPr>
          <w:p w14:paraId="659A48E7" w14:textId="77777777" w:rsidR="007E2E38" w:rsidRPr="00C82738" w:rsidRDefault="007E2E38" w:rsidP="003A30D1">
            <w:pPr>
              <w:spacing w:after="0"/>
              <w:jc w:val="right"/>
              <w:rPr>
                <w:rFonts w:eastAsia="Times New Roman" w:cs="Times New Roman"/>
                <w:color w:val="000000"/>
                <w:szCs w:val="24"/>
              </w:rPr>
            </w:pPr>
            <w:r w:rsidRPr="00C82738">
              <w:rPr>
                <w:rFonts w:eastAsia="Times New Roman" w:cs="Times New Roman"/>
                <w:color w:val="000000"/>
                <w:szCs w:val="24"/>
              </w:rPr>
              <w:t>993</w:t>
            </w:r>
          </w:p>
        </w:tc>
        <w:tc>
          <w:tcPr>
            <w:tcW w:w="950" w:type="dxa"/>
            <w:tcBorders>
              <w:top w:val="nil"/>
              <w:left w:val="nil"/>
              <w:right w:val="nil"/>
            </w:tcBorders>
            <w:shd w:val="clear" w:color="auto" w:fill="auto"/>
            <w:noWrap/>
            <w:hideMark/>
          </w:tcPr>
          <w:p w14:paraId="6AEBBE07" w14:textId="77777777" w:rsidR="007E2E38" w:rsidRPr="00C82738" w:rsidRDefault="007E2E38" w:rsidP="003A30D1">
            <w:pPr>
              <w:spacing w:after="0"/>
              <w:jc w:val="right"/>
              <w:rPr>
                <w:rFonts w:eastAsia="Times New Roman" w:cs="Times New Roman"/>
                <w:color w:val="000000"/>
                <w:szCs w:val="24"/>
              </w:rPr>
            </w:pPr>
            <w:r w:rsidRPr="00C82738">
              <w:rPr>
                <w:rFonts w:eastAsia="Times New Roman" w:cs="Times New Roman"/>
                <w:color w:val="000000"/>
                <w:szCs w:val="24"/>
              </w:rPr>
              <w:t>496</w:t>
            </w:r>
          </w:p>
        </w:tc>
        <w:tc>
          <w:tcPr>
            <w:tcW w:w="1737" w:type="dxa"/>
            <w:tcBorders>
              <w:top w:val="nil"/>
              <w:left w:val="nil"/>
              <w:right w:val="nil"/>
            </w:tcBorders>
            <w:shd w:val="clear" w:color="auto" w:fill="auto"/>
            <w:noWrap/>
            <w:hideMark/>
          </w:tcPr>
          <w:p w14:paraId="70E5F2E6" w14:textId="77777777" w:rsidR="007E2E38" w:rsidRPr="00C82738" w:rsidRDefault="007E2E38" w:rsidP="003A30D1">
            <w:pPr>
              <w:spacing w:after="0"/>
              <w:rPr>
                <w:rFonts w:eastAsia="Times New Roman" w:cs="Times New Roman"/>
                <w:color w:val="000000"/>
                <w:szCs w:val="24"/>
              </w:rPr>
            </w:pPr>
            <w:r w:rsidRPr="00C82738">
              <w:rPr>
                <w:rFonts w:eastAsia="Times New Roman" w:cs="Times New Roman"/>
                <w:color w:val="000000"/>
                <w:szCs w:val="24"/>
              </w:rPr>
              <w:t>Figure 3</w:t>
            </w:r>
          </w:p>
        </w:tc>
      </w:tr>
      <w:tr w:rsidR="007E2E38" w:rsidRPr="00C82738" w14:paraId="3B40B731" w14:textId="77777777" w:rsidTr="00CC3836">
        <w:trPr>
          <w:trHeight w:val="300"/>
        </w:trPr>
        <w:tc>
          <w:tcPr>
            <w:tcW w:w="2610" w:type="dxa"/>
            <w:tcBorders>
              <w:top w:val="nil"/>
              <w:left w:val="nil"/>
              <w:bottom w:val="single" w:sz="4" w:space="0" w:color="auto"/>
              <w:right w:val="nil"/>
            </w:tcBorders>
            <w:shd w:val="clear" w:color="auto" w:fill="auto"/>
            <w:noWrap/>
            <w:hideMark/>
          </w:tcPr>
          <w:p w14:paraId="7AF13C1F" w14:textId="77777777" w:rsidR="007E2E38" w:rsidRPr="00C82738" w:rsidRDefault="007E2E38" w:rsidP="003A30D1">
            <w:pPr>
              <w:spacing w:after="0"/>
              <w:rPr>
                <w:rFonts w:eastAsia="Times New Roman" w:cs="Times New Roman"/>
                <w:color w:val="000000"/>
                <w:szCs w:val="24"/>
              </w:rPr>
            </w:pPr>
            <w:r w:rsidRPr="00C82738">
              <w:rPr>
                <w:rFonts w:eastAsia="Times New Roman" w:cs="Times New Roman"/>
                <w:color w:val="000000"/>
                <w:szCs w:val="24"/>
              </w:rPr>
              <w:t>UPDB-1900-OO</w:t>
            </w:r>
          </w:p>
        </w:tc>
        <w:tc>
          <w:tcPr>
            <w:tcW w:w="5209" w:type="dxa"/>
            <w:tcBorders>
              <w:top w:val="nil"/>
              <w:left w:val="nil"/>
              <w:bottom w:val="single" w:sz="4" w:space="0" w:color="auto"/>
              <w:right w:val="nil"/>
            </w:tcBorders>
            <w:shd w:val="clear" w:color="auto" w:fill="auto"/>
            <w:noWrap/>
            <w:hideMark/>
          </w:tcPr>
          <w:p w14:paraId="139C5ECF" w14:textId="77777777" w:rsidR="007E2E38" w:rsidRPr="00C82738" w:rsidRDefault="007E2E38" w:rsidP="003A30D1">
            <w:pPr>
              <w:spacing w:after="0"/>
              <w:rPr>
                <w:rFonts w:eastAsia="Times New Roman" w:cs="Times New Roman"/>
                <w:color w:val="000000"/>
                <w:szCs w:val="24"/>
              </w:rPr>
            </w:pPr>
            <w:r w:rsidRPr="00C82738">
              <w:rPr>
                <w:rFonts w:eastAsia="Times New Roman" w:cs="Times New Roman"/>
                <w:color w:val="000000"/>
                <w:szCs w:val="24"/>
              </w:rPr>
              <w:t>Subset from UPDB-All with year of birth ≥ 1900 and with both parents having FLoSS &lt; 7</w:t>
            </w:r>
          </w:p>
        </w:tc>
        <w:tc>
          <w:tcPr>
            <w:tcW w:w="996" w:type="dxa"/>
            <w:tcBorders>
              <w:top w:val="nil"/>
              <w:left w:val="nil"/>
              <w:bottom w:val="single" w:sz="4" w:space="0" w:color="auto"/>
              <w:right w:val="nil"/>
            </w:tcBorders>
            <w:shd w:val="clear" w:color="auto" w:fill="auto"/>
            <w:noWrap/>
            <w:hideMark/>
          </w:tcPr>
          <w:p w14:paraId="70EDF440" w14:textId="77777777" w:rsidR="007E2E38" w:rsidRPr="00C82738" w:rsidRDefault="007E2E38" w:rsidP="003A30D1">
            <w:pPr>
              <w:spacing w:after="0"/>
              <w:jc w:val="right"/>
              <w:rPr>
                <w:rFonts w:eastAsia="Times New Roman" w:cs="Times New Roman"/>
                <w:color w:val="000000"/>
                <w:szCs w:val="24"/>
              </w:rPr>
            </w:pPr>
            <w:r w:rsidRPr="00C82738">
              <w:rPr>
                <w:rFonts w:eastAsia="Times New Roman" w:cs="Times New Roman"/>
                <w:color w:val="000000"/>
                <w:szCs w:val="24"/>
              </w:rPr>
              <w:t>16,541</w:t>
            </w:r>
          </w:p>
        </w:tc>
        <w:tc>
          <w:tcPr>
            <w:tcW w:w="950" w:type="dxa"/>
            <w:tcBorders>
              <w:top w:val="nil"/>
              <w:left w:val="nil"/>
              <w:bottom w:val="single" w:sz="4" w:space="0" w:color="auto"/>
              <w:right w:val="nil"/>
            </w:tcBorders>
            <w:shd w:val="clear" w:color="auto" w:fill="auto"/>
            <w:noWrap/>
            <w:hideMark/>
          </w:tcPr>
          <w:p w14:paraId="73C03F45" w14:textId="77777777" w:rsidR="007E2E38" w:rsidRPr="00C82738" w:rsidRDefault="007E2E38" w:rsidP="003A30D1">
            <w:pPr>
              <w:spacing w:after="0"/>
              <w:jc w:val="right"/>
              <w:rPr>
                <w:rFonts w:eastAsia="Times New Roman" w:cs="Times New Roman"/>
                <w:color w:val="000000"/>
                <w:szCs w:val="24"/>
              </w:rPr>
            </w:pPr>
            <w:r w:rsidRPr="00C82738">
              <w:rPr>
                <w:rFonts w:eastAsia="Times New Roman" w:cs="Times New Roman"/>
                <w:color w:val="000000"/>
                <w:szCs w:val="24"/>
              </w:rPr>
              <w:t>8,922</w:t>
            </w:r>
          </w:p>
        </w:tc>
        <w:tc>
          <w:tcPr>
            <w:tcW w:w="1737" w:type="dxa"/>
            <w:tcBorders>
              <w:top w:val="nil"/>
              <w:left w:val="nil"/>
              <w:bottom w:val="single" w:sz="4" w:space="0" w:color="auto"/>
              <w:right w:val="nil"/>
            </w:tcBorders>
            <w:shd w:val="clear" w:color="auto" w:fill="auto"/>
            <w:noWrap/>
            <w:hideMark/>
          </w:tcPr>
          <w:p w14:paraId="31483C5E" w14:textId="77777777" w:rsidR="007E2E38" w:rsidRPr="00C82738" w:rsidRDefault="007E2E38" w:rsidP="003A30D1">
            <w:pPr>
              <w:spacing w:after="0"/>
              <w:rPr>
                <w:rFonts w:eastAsia="Times New Roman" w:cs="Times New Roman"/>
                <w:color w:val="000000"/>
                <w:szCs w:val="24"/>
              </w:rPr>
            </w:pPr>
            <w:r w:rsidRPr="00C82738">
              <w:rPr>
                <w:rFonts w:eastAsia="Times New Roman" w:cs="Times New Roman"/>
                <w:color w:val="000000"/>
                <w:szCs w:val="24"/>
              </w:rPr>
              <w:t>Figure 3</w:t>
            </w:r>
          </w:p>
        </w:tc>
      </w:tr>
    </w:tbl>
    <w:p w14:paraId="3CC0B2DC" w14:textId="77777777" w:rsidR="007E2E38" w:rsidRDefault="007E2E38" w:rsidP="007E2E38">
      <w:pPr>
        <w:rPr>
          <w:rFonts w:cs="Times New Roman"/>
          <w:szCs w:val="24"/>
        </w:rPr>
      </w:pPr>
      <w:r w:rsidRPr="00C82738">
        <w:rPr>
          <w:rFonts w:cs="Times New Roman"/>
          <w:b/>
          <w:szCs w:val="24"/>
        </w:rPr>
        <w:t>Notes: N</w:t>
      </w:r>
      <w:r w:rsidRPr="00C82738">
        <w:rPr>
          <w:rFonts w:cs="Times New Roman"/>
          <w:b/>
          <w:szCs w:val="24"/>
          <w:vertAlign w:val="subscript"/>
        </w:rPr>
        <w:t>ind</w:t>
      </w:r>
      <w:r w:rsidRPr="00C82738">
        <w:rPr>
          <w:rFonts w:cs="Times New Roman"/>
          <w:szCs w:val="24"/>
        </w:rPr>
        <w:t xml:space="preserve"> – number of individuals in the sample; </w:t>
      </w:r>
      <w:r w:rsidRPr="00C82738">
        <w:rPr>
          <w:rFonts w:cs="Times New Roman"/>
          <w:b/>
          <w:szCs w:val="24"/>
        </w:rPr>
        <w:t>N</w:t>
      </w:r>
      <w:r w:rsidRPr="00C82738">
        <w:rPr>
          <w:rFonts w:cs="Times New Roman"/>
          <w:b/>
          <w:szCs w:val="24"/>
          <w:vertAlign w:val="subscript"/>
        </w:rPr>
        <w:t>sib</w:t>
      </w:r>
      <w:r w:rsidRPr="00C82738">
        <w:rPr>
          <w:rFonts w:cs="Times New Roman"/>
          <w:szCs w:val="24"/>
        </w:rPr>
        <w:t xml:space="preserve"> – number of sibships in the sample</w:t>
      </w:r>
      <w:r>
        <w:rPr>
          <w:rFonts w:cs="Times New Roman"/>
          <w:szCs w:val="24"/>
        </w:rPr>
        <w:t>; “S” in figures denotes “Supplementary”</w:t>
      </w:r>
    </w:p>
    <w:p w14:paraId="479A7684" w14:textId="77777777" w:rsidR="003B09FF" w:rsidRDefault="003B09FF" w:rsidP="007E2E38">
      <w:pPr>
        <w:rPr>
          <w:rFonts w:cs="Times New Roman"/>
          <w:szCs w:val="24"/>
        </w:rPr>
        <w:sectPr w:rsidR="003B09FF" w:rsidSect="00CC3836">
          <w:pgSz w:w="15840" w:h="12240" w:orient="landscape"/>
          <w:pgMar w:top="1282" w:right="1138" w:bottom="1181" w:left="1138" w:header="720" w:footer="720" w:gutter="0"/>
          <w:cols w:space="720"/>
          <w:titlePg/>
          <w:docGrid w:linePitch="360"/>
        </w:sectPr>
      </w:pPr>
    </w:p>
    <w:p w14:paraId="0BC18291" w14:textId="77777777" w:rsidR="008627FD" w:rsidRPr="008627FD" w:rsidRDefault="008627FD" w:rsidP="00033415">
      <w:pPr>
        <w:jc w:val="both"/>
        <w:rPr>
          <w:b/>
        </w:rPr>
      </w:pPr>
      <w:r w:rsidRPr="008627FD">
        <w:rPr>
          <w:b/>
        </w:rPr>
        <w:lastRenderedPageBreak/>
        <w:t>References:</w:t>
      </w:r>
    </w:p>
    <w:p w14:paraId="19BABBA3" w14:textId="77777777" w:rsidR="008627FD" w:rsidRPr="008627FD" w:rsidRDefault="008627FD" w:rsidP="00E411EF">
      <w:pPr>
        <w:pStyle w:val="EndNoteBibliography"/>
        <w:spacing w:after="0"/>
        <w:ind w:left="720" w:hanging="720"/>
        <w:jc w:val="both"/>
      </w:pPr>
      <w:r>
        <w:fldChar w:fldCharType="begin"/>
      </w:r>
      <w:r>
        <w:instrText xml:space="preserve"> ADDIN EN.REFLIST </w:instrText>
      </w:r>
      <w:r>
        <w:fldChar w:fldCharType="separate"/>
      </w:r>
      <w:r w:rsidRPr="008627FD">
        <w:t xml:space="preserve">Bell, F.C., and Miller, M.L. (2005). </w:t>
      </w:r>
      <w:r w:rsidRPr="008627FD">
        <w:rPr>
          <w:i/>
        </w:rPr>
        <w:t>Life Tables for the United States Social Security Area 1900-2100. Actuarial Study No. 120.</w:t>
      </w:r>
      <w:r w:rsidRPr="008627FD">
        <w:t xml:space="preserve"> Social Security Administration.</w:t>
      </w:r>
    </w:p>
    <w:p w14:paraId="2BBD1037" w14:textId="77777777" w:rsidR="008627FD" w:rsidRPr="008627FD" w:rsidRDefault="008627FD" w:rsidP="00E411EF">
      <w:pPr>
        <w:pStyle w:val="EndNoteBibliography"/>
        <w:ind w:left="720" w:hanging="720"/>
        <w:jc w:val="both"/>
      </w:pPr>
      <w:r w:rsidRPr="008627FD">
        <w:t xml:space="preserve">Sebastiani, P., Hadley, E.C., Province, M., Christensen, K., Rossi, W., Perls, T.T., and Ash, A.S. (2009). A Family Longevity Selection Score: Ranking sibships by their longevity, size, and availability for study. </w:t>
      </w:r>
      <w:r w:rsidRPr="008627FD">
        <w:rPr>
          <w:i/>
        </w:rPr>
        <w:t>American Journal of Epidemiology</w:t>
      </w:r>
      <w:r w:rsidRPr="008627FD">
        <w:t xml:space="preserve"> 170</w:t>
      </w:r>
      <w:r w:rsidRPr="008627FD">
        <w:rPr>
          <w:b/>
        </w:rPr>
        <w:t>,</w:t>
      </w:r>
      <w:r w:rsidRPr="008627FD">
        <w:t xml:space="preserve"> 1555-1562.</w:t>
      </w:r>
    </w:p>
    <w:p w14:paraId="0F23EA12" w14:textId="77777777" w:rsidR="007E2E38" w:rsidRPr="001549D3" w:rsidRDefault="008627FD" w:rsidP="00E411EF">
      <w:pPr>
        <w:jc w:val="both"/>
      </w:pPr>
      <w:r>
        <w:fldChar w:fldCharType="end"/>
      </w:r>
    </w:p>
    <w:sectPr w:rsidR="007E2E38" w:rsidRPr="001549D3" w:rsidSect="003B09FF">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B2DF3" w14:textId="77777777" w:rsidR="00C62549" w:rsidRDefault="00C62549" w:rsidP="00117666">
      <w:pPr>
        <w:spacing w:after="0"/>
      </w:pPr>
      <w:r>
        <w:separator/>
      </w:r>
    </w:p>
  </w:endnote>
  <w:endnote w:type="continuationSeparator" w:id="0">
    <w:p w14:paraId="0EF248E8" w14:textId="77777777" w:rsidR="00C62549" w:rsidRDefault="00C62549"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5FA2D" w14:textId="77777777" w:rsidR="00995F6A" w:rsidRPr="00577C4C" w:rsidRDefault="00C52A7B">
    <w:pPr>
      <w:rPr>
        <w:color w:val="C00000"/>
        <w:szCs w:val="24"/>
      </w:rPr>
    </w:pPr>
    <w:r>
      <w:rPr>
        <w:noProof/>
      </w:rPr>
      <mc:AlternateContent>
        <mc:Choice Requires="wps">
          <w:drawing>
            <wp:anchor distT="0" distB="0" distL="114300" distR="114300" simplePos="0" relativeHeight="251659264" behindDoc="0" locked="0" layoutInCell="1" allowOverlap="1" wp14:anchorId="4BC771CA" wp14:editId="3D653F7B">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1373C084" w14:textId="6F69BC0A"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E411EF">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BC771CA"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1373C084" w14:textId="6F69BC0A"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E411EF">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CAF97" w14:textId="77777777" w:rsidR="00995F6A" w:rsidRPr="00577C4C" w:rsidRDefault="00C52A7B">
    <w:pPr>
      <w:rPr>
        <w:b/>
        <w:sz w:val="20"/>
        <w:szCs w:val="24"/>
      </w:rPr>
    </w:pPr>
    <w:r>
      <w:rPr>
        <w:noProof/>
      </w:rPr>
      <mc:AlternateContent>
        <mc:Choice Requires="wps">
          <w:drawing>
            <wp:anchor distT="0" distB="0" distL="114300" distR="114300" simplePos="0" relativeHeight="251646976" behindDoc="0" locked="0" layoutInCell="1" allowOverlap="1" wp14:anchorId="70411724" wp14:editId="0C21A888">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44D3255B" w14:textId="5D029025"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E411EF">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411724"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44D3255B" w14:textId="5D029025"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E411EF">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7CD64" w14:textId="77777777" w:rsidR="00C62549" w:rsidRDefault="00C62549" w:rsidP="00117666">
      <w:pPr>
        <w:spacing w:after="0"/>
      </w:pPr>
      <w:r>
        <w:separator/>
      </w:r>
    </w:p>
  </w:footnote>
  <w:footnote w:type="continuationSeparator" w:id="0">
    <w:p w14:paraId="39CC8011" w14:textId="77777777" w:rsidR="00C62549" w:rsidRDefault="00C62549"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88993"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94DFC" w14:textId="77777777" w:rsidR="00995F6A" w:rsidRDefault="0093429D" w:rsidP="0093429D">
    <w:r w:rsidRPr="005A1D84">
      <w:rPr>
        <w:b/>
        <w:noProof/>
        <w:color w:val="A6A6A6" w:themeColor="background1" w:themeShade="A6"/>
      </w:rPr>
      <w:drawing>
        <wp:inline distT="0" distB="0" distL="0" distR="0" wp14:anchorId="024B24FA" wp14:editId="17D64DCF">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rontiers Scienc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zp99d9sst9pr8eteeo5xwxr5pzvxxe20swd&quot;&gt;CitedRefsKGA&lt;record-ids&gt;&lt;item&gt;239&lt;/item&gt;&lt;item&gt;3187&lt;/item&gt;&lt;/record-ids&gt;&lt;/item&gt;&lt;/Libraries&gt;"/>
  </w:docVars>
  <w:rsids>
    <w:rsidRoot w:val="0009280A"/>
    <w:rsid w:val="0001436A"/>
    <w:rsid w:val="00033415"/>
    <w:rsid w:val="00034304"/>
    <w:rsid w:val="00035434"/>
    <w:rsid w:val="00052A14"/>
    <w:rsid w:val="00077D53"/>
    <w:rsid w:val="0009280A"/>
    <w:rsid w:val="00105FD9"/>
    <w:rsid w:val="00111B36"/>
    <w:rsid w:val="00117666"/>
    <w:rsid w:val="001549D3"/>
    <w:rsid w:val="00155E42"/>
    <w:rsid w:val="00160065"/>
    <w:rsid w:val="00177D84"/>
    <w:rsid w:val="001B15A7"/>
    <w:rsid w:val="00236FCF"/>
    <w:rsid w:val="00262CF3"/>
    <w:rsid w:val="00267D18"/>
    <w:rsid w:val="002868E2"/>
    <w:rsid w:val="002869C3"/>
    <w:rsid w:val="002936E4"/>
    <w:rsid w:val="002B3F10"/>
    <w:rsid w:val="002B4A57"/>
    <w:rsid w:val="002C74CA"/>
    <w:rsid w:val="002D6B59"/>
    <w:rsid w:val="003544FB"/>
    <w:rsid w:val="003636D1"/>
    <w:rsid w:val="003A1006"/>
    <w:rsid w:val="003A50A9"/>
    <w:rsid w:val="003B09FF"/>
    <w:rsid w:val="003D2F2D"/>
    <w:rsid w:val="00401590"/>
    <w:rsid w:val="00410F54"/>
    <w:rsid w:val="0043414B"/>
    <w:rsid w:val="00447801"/>
    <w:rsid w:val="00452E9C"/>
    <w:rsid w:val="004735C8"/>
    <w:rsid w:val="004901E9"/>
    <w:rsid w:val="004961FF"/>
    <w:rsid w:val="004C76EC"/>
    <w:rsid w:val="00517A89"/>
    <w:rsid w:val="005250F2"/>
    <w:rsid w:val="005359FD"/>
    <w:rsid w:val="00555750"/>
    <w:rsid w:val="00593EEA"/>
    <w:rsid w:val="005A5EEE"/>
    <w:rsid w:val="00615B41"/>
    <w:rsid w:val="006375C7"/>
    <w:rsid w:val="00654E8F"/>
    <w:rsid w:val="00660D05"/>
    <w:rsid w:val="006820B1"/>
    <w:rsid w:val="006B7D14"/>
    <w:rsid w:val="006C210D"/>
    <w:rsid w:val="00701727"/>
    <w:rsid w:val="0070566C"/>
    <w:rsid w:val="00714C50"/>
    <w:rsid w:val="00721C63"/>
    <w:rsid w:val="00725A7D"/>
    <w:rsid w:val="007501BE"/>
    <w:rsid w:val="00790BB3"/>
    <w:rsid w:val="007C206C"/>
    <w:rsid w:val="007D651B"/>
    <w:rsid w:val="007E2E38"/>
    <w:rsid w:val="007F17CD"/>
    <w:rsid w:val="00817DD6"/>
    <w:rsid w:val="008524FC"/>
    <w:rsid w:val="008627FD"/>
    <w:rsid w:val="00885156"/>
    <w:rsid w:val="009031CF"/>
    <w:rsid w:val="009151AA"/>
    <w:rsid w:val="0093429D"/>
    <w:rsid w:val="00943573"/>
    <w:rsid w:val="00970A1E"/>
    <w:rsid w:val="00970F7D"/>
    <w:rsid w:val="00994A3D"/>
    <w:rsid w:val="00994AB7"/>
    <w:rsid w:val="009C2B12"/>
    <w:rsid w:val="009E5213"/>
    <w:rsid w:val="00A174D9"/>
    <w:rsid w:val="00A22D6D"/>
    <w:rsid w:val="00A24B23"/>
    <w:rsid w:val="00AB6715"/>
    <w:rsid w:val="00B1671E"/>
    <w:rsid w:val="00B25EB8"/>
    <w:rsid w:val="00B37F4D"/>
    <w:rsid w:val="00B67240"/>
    <w:rsid w:val="00B97661"/>
    <w:rsid w:val="00C07E93"/>
    <w:rsid w:val="00C439F6"/>
    <w:rsid w:val="00C52A7B"/>
    <w:rsid w:val="00C56BAF"/>
    <w:rsid w:val="00C62549"/>
    <w:rsid w:val="00C679AA"/>
    <w:rsid w:val="00C75972"/>
    <w:rsid w:val="00C872CD"/>
    <w:rsid w:val="00CB427D"/>
    <w:rsid w:val="00CC3110"/>
    <w:rsid w:val="00CC3836"/>
    <w:rsid w:val="00CD066B"/>
    <w:rsid w:val="00CE4FEE"/>
    <w:rsid w:val="00D41F92"/>
    <w:rsid w:val="00D528F6"/>
    <w:rsid w:val="00DB59C3"/>
    <w:rsid w:val="00DC259A"/>
    <w:rsid w:val="00DC6266"/>
    <w:rsid w:val="00DE23E8"/>
    <w:rsid w:val="00E40466"/>
    <w:rsid w:val="00E411EF"/>
    <w:rsid w:val="00E4695D"/>
    <w:rsid w:val="00E52377"/>
    <w:rsid w:val="00E550D9"/>
    <w:rsid w:val="00E64E17"/>
    <w:rsid w:val="00E7656E"/>
    <w:rsid w:val="00E866C9"/>
    <w:rsid w:val="00EA3D3C"/>
    <w:rsid w:val="00F25F72"/>
    <w:rsid w:val="00F46900"/>
    <w:rsid w:val="00F61D89"/>
    <w:rsid w:val="00F80E58"/>
    <w:rsid w:val="00FE3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0BCD00"/>
  <w15:docId w15:val="{44F5577D-41FF-42B2-BF48-119757D4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3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customStyle="1" w:styleId="EndNoteBibliographyTitle">
    <w:name w:val="EndNote Bibliography Title"/>
    <w:basedOn w:val="Normal"/>
    <w:link w:val="EndNoteBibliographyTitleChar"/>
    <w:rsid w:val="003B09FF"/>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3B09FF"/>
    <w:rPr>
      <w:rFonts w:ascii="Times New Roman" w:hAnsi="Times New Roman" w:cs="Times New Roman"/>
      <w:noProof/>
      <w:sz w:val="24"/>
    </w:rPr>
  </w:style>
  <w:style w:type="paragraph" w:customStyle="1" w:styleId="EndNoteBibliography">
    <w:name w:val="EndNote Bibliography"/>
    <w:basedOn w:val="Normal"/>
    <w:link w:val="EndNoteBibliographyChar"/>
    <w:rsid w:val="003B09FF"/>
    <w:rPr>
      <w:rFonts w:cs="Times New Roman"/>
      <w:noProof/>
    </w:rPr>
  </w:style>
  <w:style w:type="character" w:customStyle="1" w:styleId="EndNoteBibliographyChar">
    <w:name w:val="EndNote Bibliography Char"/>
    <w:basedOn w:val="DefaultParagraphFont"/>
    <w:link w:val="EndNoteBibliography"/>
    <w:rsid w:val="003B09FF"/>
    <w:rPr>
      <w:rFonts w:ascii="Times New Roman" w:hAnsi="Times New Roman"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29@duke.edu"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ifetable.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u0030780\AppData\Local\Microsoft\Windows\INetCache\Content.Outlook\PIRIRTRR\www.mortality.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93494C6-A323-4364-B4DF-3E9260B6D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2050</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 Arbeev</dc:creator>
  <cp:lastModifiedBy>Konstantin Arbeev</cp:lastModifiedBy>
  <cp:revision>4</cp:revision>
  <cp:lastPrinted>2013-10-03T12:51:00Z</cp:lastPrinted>
  <dcterms:created xsi:type="dcterms:W3CDTF">2018-08-23T01:41:00Z</dcterms:created>
  <dcterms:modified xsi:type="dcterms:W3CDTF">2018-08-24T14:44:00Z</dcterms:modified>
</cp:coreProperties>
</file>