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F427" w14:textId="77777777" w:rsidR="008F0776" w:rsidRDefault="008F0776" w:rsidP="00AD2E08">
      <w:pPr>
        <w:rPr>
          <w:b/>
        </w:rPr>
      </w:pPr>
    </w:p>
    <w:p w14:paraId="79856D88" w14:textId="67FE1098" w:rsidR="00AD2E08" w:rsidRPr="00E80E63" w:rsidRDefault="00AD2E08" w:rsidP="00AD2E08">
      <w:pPr>
        <w:rPr>
          <w:b/>
        </w:rPr>
      </w:pPr>
      <w:r>
        <w:rPr>
          <w:b/>
        </w:rPr>
        <w:t xml:space="preserve">Supplementary </w:t>
      </w:r>
      <w:r w:rsidRPr="00E80E63">
        <w:rPr>
          <w:b/>
        </w:rPr>
        <w:t>Table 1. Correlation between clini</w:t>
      </w:r>
      <w:r w:rsidR="00C436C2">
        <w:rPr>
          <w:b/>
        </w:rPr>
        <w:t>ca</w:t>
      </w:r>
      <w:r w:rsidRPr="00E80E63">
        <w:rPr>
          <w:b/>
        </w:rPr>
        <w:t>l characteristics</w:t>
      </w:r>
      <w:r>
        <w:rPr>
          <w:b/>
        </w:rPr>
        <w:t xml:space="preserve"> and </w:t>
      </w:r>
      <w:r w:rsidR="00C436C2" w:rsidRPr="00E80E63">
        <w:rPr>
          <w:b/>
        </w:rPr>
        <w:t>MIBC</w:t>
      </w:r>
      <w:r w:rsidR="00C436C2">
        <w:rPr>
          <w:b/>
        </w:rPr>
        <w:t xml:space="preserve"> </w:t>
      </w:r>
      <w:r>
        <w:rPr>
          <w:b/>
        </w:rPr>
        <w:t>subtypes</w:t>
      </w:r>
      <w:r w:rsidRPr="00E80E63">
        <w:rPr>
          <w:b/>
        </w:rPr>
        <w:t>.</w:t>
      </w:r>
    </w:p>
    <w:tbl>
      <w:tblPr>
        <w:tblStyle w:val="TableGrid"/>
        <w:tblW w:w="642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2142"/>
      </w:tblGrid>
      <w:tr w:rsidR="00AD2E08" w14:paraId="7FE53849" w14:textId="77777777" w:rsidTr="00C81BC0">
        <w:trPr>
          <w:trHeight w:val="234"/>
        </w:trPr>
        <w:tc>
          <w:tcPr>
            <w:tcW w:w="2141" w:type="dxa"/>
            <w:tcBorders>
              <w:top w:val="single" w:sz="4" w:space="0" w:color="auto"/>
              <w:bottom w:val="single" w:sz="8" w:space="0" w:color="auto"/>
            </w:tcBorders>
          </w:tcPr>
          <w:p w14:paraId="0EC7F3DE" w14:textId="77777777" w:rsidR="00AD2E08" w:rsidRDefault="00AD2E08" w:rsidP="00C81B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Variables      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8" w:space="0" w:color="auto"/>
            </w:tcBorders>
          </w:tcPr>
          <w:p w14:paraId="27E3500F" w14:textId="77777777" w:rsidR="00AD2E08" w:rsidRDefault="00AD2E08" w:rsidP="00C81BC0">
            <w:pPr>
              <w:ind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Cohort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8" w:space="0" w:color="auto"/>
            </w:tcBorders>
          </w:tcPr>
          <w:p w14:paraId="56832311" w14:textId="4319ACA4" w:rsidR="00AD2E08" w:rsidRDefault="00AD2E08" w:rsidP="00C81BC0">
            <w:pPr>
              <w:ind w:firstLine="566"/>
            </w:pPr>
            <w:r w:rsidRPr="00271213">
              <w:rPr>
                <w:rFonts w:hint="eastAsia"/>
                <w:b/>
                <w:i/>
                <w:sz w:val="24"/>
              </w:rPr>
              <w:t>P</w:t>
            </w:r>
            <w:r w:rsidR="006444BF">
              <w:rPr>
                <w:b/>
                <w:i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value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</w:tr>
      <w:tr w:rsidR="00AD2E08" w14:paraId="3E089AFA" w14:textId="77777777" w:rsidTr="00C81BC0">
        <w:trPr>
          <w:trHeight w:val="2482"/>
        </w:trPr>
        <w:tc>
          <w:tcPr>
            <w:tcW w:w="2141" w:type="dxa"/>
            <w:tcBorders>
              <w:top w:val="single" w:sz="8" w:space="0" w:color="auto"/>
              <w:bottom w:val="nil"/>
            </w:tcBorders>
          </w:tcPr>
          <w:p w14:paraId="17AD450E" w14:textId="77777777" w:rsidR="00AD2E08" w:rsidRDefault="00AD2E08" w:rsidP="00C81BC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Subtype</w:t>
            </w:r>
          </w:p>
          <w:p w14:paraId="6D3ED95D" w14:textId="77777777" w:rsidR="00AD2E08" w:rsidRDefault="00AD2E08" w:rsidP="00C81BC0">
            <w:pPr>
              <w:ind w:firstLine="420"/>
            </w:pPr>
            <w:r>
              <w:t>B</w:t>
            </w:r>
            <w:r>
              <w:rPr>
                <w:rFonts w:hint="eastAsia"/>
              </w:rPr>
              <w:t>asal</w:t>
            </w:r>
          </w:p>
          <w:p w14:paraId="1F25B63B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luminal</w:t>
            </w:r>
          </w:p>
          <w:p w14:paraId="04CCA937" w14:textId="77777777" w:rsidR="00AD2E08" w:rsidRDefault="00AD2E08" w:rsidP="00C81BC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Stage</w:t>
            </w:r>
          </w:p>
          <w:p w14:paraId="3A8443CD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I</w:t>
            </w:r>
          </w:p>
          <w:p w14:paraId="7F29D860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II</w:t>
            </w:r>
          </w:p>
          <w:p w14:paraId="035ED0F7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III</w:t>
            </w:r>
          </w:p>
          <w:p w14:paraId="67835165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IV</w:t>
            </w:r>
          </w:p>
          <w:p w14:paraId="33D67C57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Not Available</w:t>
            </w:r>
          </w:p>
          <w:p w14:paraId="466CD79E" w14:textId="77777777" w:rsidR="00AD2E08" w:rsidRDefault="00AD2E08" w:rsidP="00C81BC0">
            <w:r>
              <w:rPr>
                <w:rFonts w:hint="eastAsia"/>
                <w:b/>
                <w:sz w:val="22"/>
              </w:rPr>
              <w:t>Age</w:t>
            </w:r>
          </w:p>
        </w:tc>
        <w:tc>
          <w:tcPr>
            <w:tcW w:w="2141" w:type="dxa"/>
            <w:tcBorders>
              <w:top w:val="single" w:sz="8" w:space="0" w:color="auto"/>
              <w:bottom w:val="nil"/>
            </w:tcBorders>
          </w:tcPr>
          <w:p w14:paraId="5898A336" w14:textId="77777777" w:rsidR="00AD2E08" w:rsidRDefault="00AD2E08" w:rsidP="00C81BC0"/>
          <w:p w14:paraId="72BA2E26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210</w:t>
            </w:r>
          </w:p>
          <w:p w14:paraId="6B895858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193</w:t>
            </w:r>
          </w:p>
          <w:p w14:paraId="0F0F2195" w14:textId="77777777" w:rsidR="00AD2E08" w:rsidRDefault="00AD2E08" w:rsidP="00C81BC0">
            <w:pPr>
              <w:ind w:firstLineChars="250" w:firstLine="525"/>
            </w:pPr>
          </w:p>
          <w:p w14:paraId="5287FD1C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2</w:t>
            </w:r>
          </w:p>
          <w:p w14:paraId="46060CEA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129</w:t>
            </w:r>
          </w:p>
          <w:p w14:paraId="712A3C81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138</w:t>
            </w:r>
          </w:p>
          <w:p w14:paraId="7C601659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132</w:t>
            </w:r>
          </w:p>
          <w:p w14:paraId="0D464D58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2</w:t>
            </w:r>
          </w:p>
        </w:tc>
        <w:tc>
          <w:tcPr>
            <w:tcW w:w="2142" w:type="dxa"/>
            <w:tcBorders>
              <w:top w:val="single" w:sz="8" w:space="0" w:color="auto"/>
              <w:bottom w:val="nil"/>
            </w:tcBorders>
          </w:tcPr>
          <w:p w14:paraId="5D11E9EE" w14:textId="77777777" w:rsidR="00AD2E08" w:rsidRDefault="00AD2E08" w:rsidP="00C81BC0">
            <w:pPr>
              <w:jc w:val="center"/>
            </w:pPr>
          </w:p>
          <w:p w14:paraId="13483BCF" w14:textId="77777777" w:rsidR="00AD2E08" w:rsidRDefault="00AD2E08" w:rsidP="00C81BC0">
            <w:pPr>
              <w:jc w:val="center"/>
            </w:pPr>
          </w:p>
          <w:p w14:paraId="552B40B3" w14:textId="77777777" w:rsidR="00AD2E08" w:rsidRDefault="00AD2E08" w:rsidP="00C81BC0">
            <w:pPr>
              <w:jc w:val="center"/>
            </w:pPr>
          </w:p>
          <w:p w14:paraId="775DFE52" w14:textId="77777777" w:rsidR="00AD2E08" w:rsidRDefault="00AD2E08" w:rsidP="00C81BC0">
            <w:pPr>
              <w:jc w:val="center"/>
            </w:pPr>
            <w:r>
              <w:rPr>
                <w:rFonts w:hint="eastAsia"/>
              </w:rPr>
              <w:t>&lt;0.001</w:t>
            </w:r>
          </w:p>
          <w:p w14:paraId="6BF2942F" w14:textId="77777777" w:rsidR="00AD2E08" w:rsidRDefault="00AD2E08" w:rsidP="00C81BC0">
            <w:pPr>
              <w:jc w:val="center"/>
            </w:pPr>
          </w:p>
          <w:p w14:paraId="542BCDC7" w14:textId="77777777" w:rsidR="00AD2E08" w:rsidRDefault="00AD2E08" w:rsidP="00C81BC0">
            <w:pPr>
              <w:jc w:val="center"/>
            </w:pPr>
          </w:p>
          <w:p w14:paraId="2F822B21" w14:textId="77777777" w:rsidR="00AD2E08" w:rsidRDefault="00AD2E08" w:rsidP="00C81BC0">
            <w:pPr>
              <w:jc w:val="center"/>
            </w:pPr>
          </w:p>
          <w:p w14:paraId="2FBD50AE" w14:textId="77777777" w:rsidR="00AD2E08" w:rsidRDefault="00AD2E08" w:rsidP="00C81BC0">
            <w:pPr>
              <w:jc w:val="center"/>
            </w:pPr>
          </w:p>
          <w:p w14:paraId="0CCCE5D3" w14:textId="77777777" w:rsidR="00AD2E08" w:rsidRDefault="00AD2E08" w:rsidP="00C81BC0">
            <w:pPr>
              <w:jc w:val="center"/>
            </w:pPr>
          </w:p>
          <w:p w14:paraId="2B99957D" w14:textId="77777777" w:rsidR="00AD2E08" w:rsidRDefault="00AD2E08" w:rsidP="00C81BC0">
            <w:pPr>
              <w:jc w:val="center"/>
            </w:pPr>
            <w:r>
              <w:rPr>
                <w:rFonts w:hint="eastAsia"/>
              </w:rPr>
              <w:t>0.4498</w:t>
            </w:r>
          </w:p>
        </w:tc>
      </w:tr>
      <w:tr w:rsidR="00AD2E08" w14:paraId="6FCF07E7" w14:textId="77777777" w:rsidTr="00C81BC0">
        <w:trPr>
          <w:trHeight w:val="4212"/>
        </w:trPr>
        <w:tc>
          <w:tcPr>
            <w:tcW w:w="2141" w:type="dxa"/>
            <w:tcBorders>
              <w:top w:val="nil"/>
              <w:bottom w:val="nil"/>
            </w:tcBorders>
          </w:tcPr>
          <w:p w14:paraId="6B2E35FF" w14:textId="77777777" w:rsidR="00AD2E08" w:rsidRDefault="00AD2E08" w:rsidP="00C81BC0">
            <w:pPr>
              <w:ind w:firstLineChars="200" w:firstLine="420"/>
            </w:pPr>
            <w:r>
              <w:rPr>
                <w:rFonts w:hint="eastAsia"/>
              </w:rPr>
              <w:t>34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>59</w:t>
            </w:r>
          </w:p>
          <w:p w14:paraId="66DA54EC" w14:textId="77777777" w:rsidR="00AD2E08" w:rsidRDefault="00AD2E08" w:rsidP="00C81BC0">
            <w:pPr>
              <w:ind w:firstLine="420"/>
            </w:pPr>
            <w:r>
              <w:t>60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>68</w:t>
            </w:r>
            <w:r>
              <w:rPr>
                <w:rFonts w:hint="eastAsia"/>
              </w:rPr>
              <w:t xml:space="preserve">                </w:t>
            </w:r>
          </w:p>
          <w:p w14:paraId="60F8C11E" w14:textId="77777777" w:rsidR="00AD2E08" w:rsidRDefault="00AD2E08" w:rsidP="00C81BC0">
            <w:pPr>
              <w:ind w:firstLine="420"/>
            </w:pPr>
            <w:r>
              <w:t>69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>75</w:t>
            </w:r>
          </w:p>
          <w:p w14:paraId="42157E81" w14:textId="77777777" w:rsidR="00AD2E08" w:rsidRDefault="00AD2E08" w:rsidP="00C81BC0">
            <w:pPr>
              <w:ind w:firstLine="420"/>
            </w:pPr>
            <w:r>
              <w:t>76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>90</w:t>
            </w:r>
          </w:p>
          <w:p w14:paraId="4DA2F633" w14:textId="77777777" w:rsidR="00AD2E08" w:rsidRDefault="00AD2E08" w:rsidP="00C81BC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Gender</w:t>
            </w:r>
          </w:p>
          <w:p w14:paraId="7FCBEC79" w14:textId="77777777" w:rsidR="00AD2E08" w:rsidRDefault="00AD2E08" w:rsidP="00C81BC0">
            <w:pPr>
              <w:ind w:firstLine="420"/>
            </w:pPr>
            <w:r>
              <w:t>Male</w:t>
            </w:r>
          </w:p>
          <w:p w14:paraId="4D3BD804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Female</w:t>
            </w:r>
          </w:p>
          <w:p w14:paraId="0BDAE740" w14:textId="77777777" w:rsidR="00AD2E08" w:rsidRDefault="00AD2E08" w:rsidP="00C81BC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Smoking history</w:t>
            </w:r>
          </w:p>
          <w:p w14:paraId="67E634E6" w14:textId="77777777" w:rsidR="00AD2E08" w:rsidRDefault="00AD2E08" w:rsidP="00C81BC0">
            <w:r>
              <w:rPr>
                <w:rFonts w:hint="eastAsia"/>
              </w:rPr>
              <w:t xml:space="preserve">    Smoker</w:t>
            </w:r>
          </w:p>
          <w:p w14:paraId="058853AB" w14:textId="77777777" w:rsidR="00AD2E08" w:rsidRDefault="00AD2E08" w:rsidP="00C81BC0">
            <w:r>
              <w:rPr>
                <w:rFonts w:hint="eastAsia"/>
              </w:rPr>
              <w:t xml:space="preserve">    Non-smoker</w:t>
            </w:r>
          </w:p>
          <w:p w14:paraId="59FE811D" w14:textId="77777777" w:rsidR="00AD2E08" w:rsidRDefault="00AD2E08" w:rsidP="00C81BC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Status</w:t>
            </w:r>
          </w:p>
          <w:p w14:paraId="13AC2601" w14:textId="77777777" w:rsidR="00AD2E08" w:rsidRDefault="00AD2E08" w:rsidP="00C81BC0">
            <w:pPr>
              <w:ind w:firstLine="420"/>
            </w:pPr>
            <w:r>
              <w:t>A</w:t>
            </w:r>
            <w:r>
              <w:rPr>
                <w:rFonts w:hint="eastAsia"/>
              </w:rPr>
              <w:t>live</w:t>
            </w:r>
          </w:p>
          <w:p w14:paraId="4E3AC07D" w14:textId="77777777" w:rsidR="00AD2E08" w:rsidRDefault="00AD2E08" w:rsidP="00C81BC0">
            <w:pPr>
              <w:ind w:firstLine="420"/>
            </w:pPr>
            <w:r>
              <w:t>D</w:t>
            </w:r>
            <w:r>
              <w:rPr>
                <w:rFonts w:hint="eastAsia"/>
              </w:rPr>
              <w:t>ead</w:t>
            </w:r>
          </w:p>
          <w:p w14:paraId="3EF76A3B" w14:textId="77777777" w:rsidR="00AD2E08" w:rsidRDefault="00AD2E08" w:rsidP="00C81B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Histology</w:t>
            </w:r>
          </w:p>
          <w:p w14:paraId="34B325B6" w14:textId="77777777" w:rsidR="00AD2E08" w:rsidRDefault="00AD2E08" w:rsidP="00C81BC0">
            <w:pPr>
              <w:ind w:firstLine="420"/>
            </w:pPr>
            <w:proofErr w:type="spellStart"/>
            <w:r>
              <w:t>P</w:t>
            </w:r>
            <w:r>
              <w:rPr>
                <w:rFonts w:hint="eastAsia"/>
              </w:rPr>
              <w:t>illary</w:t>
            </w:r>
            <w:proofErr w:type="spellEnd"/>
          </w:p>
          <w:p w14:paraId="57BA8D82" w14:textId="77777777" w:rsidR="00AD2E08" w:rsidRDefault="00AD2E08" w:rsidP="00C81BC0">
            <w:pPr>
              <w:ind w:firstLineChars="200" w:firstLine="420"/>
            </w:pPr>
            <w:r>
              <w:t>N</w:t>
            </w:r>
            <w:r>
              <w:rPr>
                <w:rFonts w:hint="eastAsia"/>
              </w:rPr>
              <w:t>on-</w:t>
            </w:r>
            <w:proofErr w:type="spellStart"/>
            <w:r>
              <w:rPr>
                <w:rFonts w:hint="eastAsia"/>
              </w:rPr>
              <w:t>pillary</w:t>
            </w:r>
            <w:proofErr w:type="spellEnd"/>
          </w:p>
          <w:p w14:paraId="2AD39EA0" w14:textId="77777777" w:rsidR="00AD2E08" w:rsidRDefault="00AD2E08" w:rsidP="00C81BC0">
            <w:pPr>
              <w:ind w:firstLineChars="200" w:firstLine="420"/>
            </w:pPr>
            <w:r>
              <w:rPr>
                <w:rFonts w:hint="eastAsia"/>
              </w:rPr>
              <w:t xml:space="preserve">Not </w:t>
            </w:r>
            <w:r>
              <w:t>Available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3793745" w14:textId="77777777" w:rsidR="00AD2E08" w:rsidRDefault="00AD2E08" w:rsidP="00C81BC0">
            <w:r>
              <w:rPr>
                <w:rFonts w:hint="eastAsia"/>
              </w:rPr>
              <w:t xml:space="preserve">       87</w:t>
            </w:r>
          </w:p>
          <w:p w14:paraId="2C4A0F0F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112</w:t>
            </w:r>
          </w:p>
          <w:p w14:paraId="303086BF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95</w:t>
            </w:r>
          </w:p>
          <w:p w14:paraId="50AE0E20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 xml:space="preserve">109 </w:t>
            </w:r>
          </w:p>
          <w:p w14:paraId="4060B911" w14:textId="77777777" w:rsidR="00AD2E08" w:rsidRDefault="00AD2E08" w:rsidP="00C81BC0">
            <w:pPr>
              <w:ind w:firstLineChars="300" w:firstLine="630"/>
            </w:pPr>
          </w:p>
          <w:p w14:paraId="59A89A0A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297</w:t>
            </w:r>
          </w:p>
          <w:p w14:paraId="342A5BCF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106</w:t>
            </w:r>
          </w:p>
          <w:p w14:paraId="5810D66F" w14:textId="77777777" w:rsidR="00AD2E08" w:rsidRDefault="00AD2E08" w:rsidP="00C81BC0">
            <w:pPr>
              <w:ind w:firstLineChars="300" w:firstLine="630"/>
            </w:pPr>
          </w:p>
          <w:p w14:paraId="18FF500C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294</w:t>
            </w:r>
          </w:p>
          <w:p w14:paraId="15AE892B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109</w:t>
            </w:r>
          </w:p>
          <w:p w14:paraId="63D101EC" w14:textId="77777777" w:rsidR="00AD2E08" w:rsidRDefault="00AD2E08" w:rsidP="00C81BC0">
            <w:pPr>
              <w:ind w:firstLineChars="350" w:firstLine="735"/>
            </w:pPr>
          </w:p>
          <w:p w14:paraId="6443A9A0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298</w:t>
            </w:r>
          </w:p>
          <w:p w14:paraId="12CF58BD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105</w:t>
            </w:r>
          </w:p>
          <w:p w14:paraId="378BF692" w14:textId="77777777" w:rsidR="00AD2E08" w:rsidRDefault="00AD2E08" w:rsidP="00C81BC0">
            <w:pPr>
              <w:ind w:firstLineChars="350" w:firstLine="735"/>
            </w:pPr>
          </w:p>
          <w:p w14:paraId="0F7F0374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128</w:t>
            </w:r>
          </w:p>
          <w:p w14:paraId="16B42666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270</w:t>
            </w:r>
          </w:p>
          <w:p w14:paraId="1831E5CF" w14:textId="77777777" w:rsidR="00AD2E08" w:rsidRDefault="00AD2E08" w:rsidP="00C81BC0">
            <w:pPr>
              <w:ind w:firstLineChars="350" w:firstLine="735"/>
            </w:pPr>
            <w:r>
              <w:rPr>
                <w:rFonts w:hint="eastAsia"/>
              </w:rPr>
              <w:t>5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D49E601" w14:textId="77777777" w:rsidR="00AD2E08" w:rsidRDefault="00AD2E08" w:rsidP="00C81BC0">
            <w:pPr>
              <w:jc w:val="left"/>
            </w:pPr>
          </w:p>
          <w:p w14:paraId="270989DC" w14:textId="77777777" w:rsidR="00AD2E08" w:rsidRDefault="00AD2E08" w:rsidP="00C81BC0">
            <w:pPr>
              <w:jc w:val="center"/>
            </w:pPr>
          </w:p>
          <w:p w14:paraId="33FA7A10" w14:textId="77777777" w:rsidR="00AD2E08" w:rsidRDefault="00AD2E08" w:rsidP="00C81BC0">
            <w:pPr>
              <w:jc w:val="center"/>
            </w:pPr>
          </w:p>
          <w:p w14:paraId="2B299A0C" w14:textId="77777777" w:rsidR="00AD2E08" w:rsidRDefault="00AD2E08" w:rsidP="00C81BC0">
            <w:pPr>
              <w:jc w:val="center"/>
            </w:pPr>
          </w:p>
          <w:p w14:paraId="760776DA" w14:textId="77777777" w:rsidR="00AD2E08" w:rsidRDefault="00AD2E08" w:rsidP="00C81BC0">
            <w:pPr>
              <w:jc w:val="center"/>
            </w:pPr>
            <w:r>
              <w:rPr>
                <w:rFonts w:hint="eastAsia"/>
              </w:rPr>
              <w:t>0.0612</w:t>
            </w:r>
          </w:p>
          <w:p w14:paraId="176787C1" w14:textId="77777777" w:rsidR="00AD2E08" w:rsidRDefault="00AD2E08" w:rsidP="00C81BC0">
            <w:pPr>
              <w:ind w:firstLineChars="350" w:firstLine="735"/>
              <w:jc w:val="center"/>
            </w:pPr>
          </w:p>
          <w:p w14:paraId="79CFA2A5" w14:textId="77777777" w:rsidR="00AD2E08" w:rsidRDefault="00AD2E08" w:rsidP="00C81BC0">
            <w:pPr>
              <w:ind w:firstLineChars="350" w:firstLine="735"/>
              <w:jc w:val="center"/>
            </w:pPr>
          </w:p>
          <w:p w14:paraId="2D9F823D" w14:textId="77777777" w:rsidR="00AD2E08" w:rsidRDefault="00AD2E08" w:rsidP="00C81BC0">
            <w:pPr>
              <w:jc w:val="center"/>
            </w:pPr>
            <w:r>
              <w:rPr>
                <w:rFonts w:hint="eastAsia"/>
              </w:rPr>
              <w:t>0.3345</w:t>
            </w:r>
          </w:p>
          <w:p w14:paraId="5B542005" w14:textId="77777777" w:rsidR="00AD2E08" w:rsidRDefault="00AD2E08" w:rsidP="00C81BC0">
            <w:pPr>
              <w:ind w:firstLineChars="400" w:firstLine="840"/>
              <w:jc w:val="center"/>
            </w:pPr>
          </w:p>
          <w:p w14:paraId="455D530E" w14:textId="77777777" w:rsidR="00AD2E08" w:rsidRDefault="00AD2E08" w:rsidP="00C81BC0">
            <w:pPr>
              <w:ind w:firstLineChars="400" w:firstLine="840"/>
              <w:jc w:val="center"/>
            </w:pPr>
          </w:p>
          <w:p w14:paraId="284827DD" w14:textId="77777777" w:rsidR="00AD2E08" w:rsidRDefault="00AD2E08" w:rsidP="00C81BC0">
            <w:pPr>
              <w:jc w:val="center"/>
            </w:pPr>
            <w:r>
              <w:rPr>
                <w:rFonts w:hint="eastAsia"/>
              </w:rPr>
              <w:t>0.0173</w:t>
            </w:r>
          </w:p>
          <w:p w14:paraId="732E12B6" w14:textId="77777777" w:rsidR="00AD2E08" w:rsidRDefault="00AD2E08" w:rsidP="00C81BC0">
            <w:pPr>
              <w:ind w:firstLineChars="400" w:firstLine="840"/>
              <w:jc w:val="center"/>
            </w:pPr>
          </w:p>
          <w:p w14:paraId="4990D09E" w14:textId="77777777" w:rsidR="00AD2E08" w:rsidRDefault="00AD2E08" w:rsidP="00C81BC0">
            <w:pPr>
              <w:ind w:firstLineChars="400" w:firstLine="840"/>
              <w:jc w:val="center"/>
            </w:pPr>
          </w:p>
          <w:p w14:paraId="53A02B05" w14:textId="77777777" w:rsidR="00AD2E08" w:rsidRDefault="00AD2E08" w:rsidP="00C81BC0">
            <w:pPr>
              <w:jc w:val="center"/>
            </w:pPr>
            <w:r>
              <w:rPr>
                <w:rFonts w:hint="eastAsia"/>
              </w:rPr>
              <w:t>&lt;0.001</w:t>
            </w:r>
          </w:p>
          <w:p w14:paraId="429F2EB1" w14:textId="77777777" w:rsidR="00AD2E08" w:rsidRDefault="00AD2E08" w:rsidP="00C81BC0">
            <w:pPr>
              <w:ind w:firstLineChars="400" w:firstLine="840"/>
              <w:jc w:val="left"/>
            </w:pPr>
          </w:p>
        </w:tc>
      </w:tr>
      <w:tr w:rsidR="00AD2E08" w14:paraId="5EEB295B" w14:textId="77777777" w:rsidTr="00C81BC0">
        <w:trPr>
          <w:trHeight w:val="92"/>
        </w:trPr>
        <w:tc>
          <w:tcPr>
            <w:tcW w:w="2141" w:type="dxa"/>
            <w:tcBorders>
              <w:top w:val="nil"/>
              <w:bottom w:val="single" w:sz="12" w:space="0" w:color="auto"/>
            </w:tcBorders>
          </w:tcPr>
          <w:p w14:paraId="746F0D52" w14:textId="77777777" w:rsidR="00AD2E08" w:rsidRDefault="00AD2E08" w:rsidP="00C81BC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Grade</w:t>
            </w:r>
          </w:p>
          <w:p w14:paraId="635EEBE9" w14:textId="77777777" w:rsidR="00AD2E08" w:rsidRDefault="00AD2E08" w:rsidP="00C81BC0">
            <w:pPr>
              <w:ind w:firstLine="420"/>
            </w:pPr>
            <w:r>
              <w:rPr>
                <w:rFonts w:hint="eastAsia"/>
              </w:rPr>
              <w:t>High grade</w:t>
            </w:r>
          </w:p>
          <w:p w14:paraId="4B8D43DA" w14:textId="77777777" w:rsidR="00AD2E08" w:rsidRDefault="00AD2E08" w:rsidP="00C81BC0">
            <w:pPr>
              <w:ind w:firstLine="420"/>
            </w:pPr>
            <w:r>
              <w:t>L</w:t>
            </w:r>
            <w:r>
              <w:rPr>
                <w:rFonts w:hint="eastAsia"/>
              </w:rPr>
              <w:t>ow grade</w:t>
            </w:r>
          </w:p>
          <w:p w14:paraId="0570E5DB" w14:textId="77777777" w:rsidR="00AD2E08" w:rsidRDefault="00AD2E08" w:rsidP="00C81BC0">
            <w:pPr>
              <w:ind w:firstLine="420"/>
              <w:rPr>
                <w:rFonts w:ascii="Lucida Console" w:hAnsi="Lucida Console"/>
                <w:color w:val="000000"/>
              </w:rPr>
            </w:pPr>
            <w:r>
              <w:rPr>
                <w:rFonts w:hint="eastAsia"/>
              </w:rPr>
              <w:t xml:space="preserve">Not </w:t>
            </w:r>
            <w:r>
              <w:t>Available</w:t>
            </w:r>
          </w:p>
        </w:tc>
        <w:tc>
          <w:tcPr>
            <w:tcW w:w="2141" w:type="dxa"/>
            <w:tcBorders>
              <w:top w:val="nil"/>
              <w:bottom w:val="single" w:sz="12" w:space="0" w:color="auto"/>
            </w:tcBorders>
          </w:tcPr>
          <w:p w14:paraId="572EA600" w14:textId="77777777" w:rsidR="00AD2E08" w:rsidRDefault="00AD2E08" w:rsidP="00C81BC0"/>
          <w:p w14:paraId="33A3249E" w14:textId="77777777" w:rsidR="00AD2E08" w:rsidRDefault="00AD2E08" w:rsidP="00C81BC0">
            <w:r>
              <w:rPr>
                <w:rFonts w:hint="eastAsia"/>
              </w:rPr>
              <w:t xml:space="preserve">       380</w:t>
            </w:r>
          </w:p>
          <w:p w14:paraId="14C09A57" w14:textId="77777777" w:rsidR="00AD2E08" w:rsidRDefault="00AD2E08" w:rsidP="00C81BC0">
            <w:r>
              <w:rPr>
                <w:rFonts w:hint="eastAsia"/>
              </w:rPr>
              <w:t xml:space="preserve">       20</w:t>
            </w:r>
          </w:p>
          <w:p w14:paraId="3BEDC662" w14:textId="77777777" w:rsidR="00AD2E08" w:rsidRDefault="00AD2E08" w:rsidP="00C81BC0">
            <w:r>
              <w:rPr>
                <w:rFonts w:hint="eastAsia"/>
              </w:rPr>
              <w:t xml:space="preserve">       3</w:t>
            </w:r>
          </w:p>
        </w:tc>
        <w:tc>
          <w:tcPr>
            <w:tcW w:w="2142" w:type="dxa"/>
            <w:tcBorders>
              <w:top w:val="nil"/>
              <w:bottom w:val="single" w:sz="12" w:space="0" w:color="auto"/>
            </w:tcBorders>
          </w:tcPr>
          <w:p w14:paraId="2BE08215" w14:textId="77777777" w:rsidR="00AD2E08" w:rsidRDefault="00AD2E08" w:rsidP="00C81BC0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</w:tr>
    </w:tbl>
    <w:p w14:paraId="7E9E7E11" w14:textId="310F6086" w:rsidR="00AD2E08" w:rsidRDefault="00AD2E08">
      <w:r>
        <w:rPr>
          <w:rFonts w:hint="eastAsia"/>
        </w:rPr>
        <w:t>Notes</w:t>
      </w:r>
      <w:r>
        <w:rPr>
          <w:rFonts w:hint="eastAsia"/>
        </w:rPr>
        <w:t>：</w:t>
      </w:r>
      <w:r>
        <w:rPr>
          <w:rFonts w:hint="eastAsia"/>
        </w:rPr>
        <w:t>*</w:t>
      </w:r>
      <w:r>
        <w:t>χ</w:t>
      </w:r>
      <w:r>
        <w:rPr>
          <w:vertAlign w:val="superscript"/>
        </w:rPr>
        <w:t xml:space="preserve">2 </w:t>
      </w:r>
      <w:r w:rsidRPr="00271213">
        <w:t>test</w:t>
      </w:r>
      <w:r w:rsidR="00C436C2">
        <w:t>.</w:t>
      </w:r>
      <w:bookmarkStart w:id="0" w:name="_GoBack"/>
      <w:bookmarkEnd w:id="0"/>
    </w:p>
    <w:sectPr w:rsidR="00AD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2B8"/>
    <w:rsid w:val="000A185B"/>
    <w:rsid w:val="000D5784"/>
    <w:rsid w:val="00114839"/>
    <w:rsid w:val="001446F8"/>
    <w:rsid w:val="00271213"/>
    <w:rsid w:val="00283DA6"/>
    <w:rsid w:val="002B5736"/>
    <w:rsid w:val="002B6DA7"/>
    <w:rsid w:val="003111CA"/>
    <w:rsid w:val="003221CA"/>
    <w:rsid w:val="00374FCA"/>
    <w:rsid w:val="004C3A7F"/>
    <w:rsid w:val="005B7D1B"/>
    <w:rsid w:val="006032DF"/>
    <w:rsid w:val="006444BF"/>
    <w:rsid w:val="0067198B"/>
    <w:rsid w:val="006B4925"/>
    <w:rsid w:val="006C6E5A"/>
    <w:rsid w:val="006F1207"/>
    <w:rsid w:val="00704BF0"/>
    <w:rsid w:val="007D6E9E"/>
    <w:rsid w:val="00822089"/>
    <w:rsid w:val="008C207F"/>
    <w:rsid w:val="008E5D16"/>
    <w:rsid w:val="008F0776"/>
    <w:rsid w:val="00926980"/>
    <w:rsid w:val="009B62B8"/>
    <w:rsid w:val="009C1201"/>
    <w:rsid w:val="00A067A8"/>
    <w:rsid w:val="00AD2E08"/>
    <w:rsid w:val="00B21D8B"/>
    <w:rsid w:val="00B57476"/>
    <w:rsid w:val="00B85BC9"/>
    <w:rsid w:val="00C436C2"/>
    <w:rsid w:val="00C54A79"/>
    <w:rsid w:val="00C5741E"/>
    <w:rsid w:val="00C80762"/>
    <w:rsid w:val="00C92AF2"/>
    <w:rsid w:val="00CD6795"/>
    <w:rsid w:val="00D234F6"/>
    <w:rsid w:val="00D8084C"/>
    <w:rsid w:val="00E33932"/>
    <w:rsid w:val="00E45E16"/>
    <w:rsid w:val="00E6615B"/>
    <w:rsid w:val="00E70951"/>
    <w:rsid w:val="00E80E63"/>
    <w:rsid w:val="00E832BD"/>
    <w:rsid w:val="00EC7E3F"/>
    <w:rsid w:val="00F07330"/>
    <w:rsid w:val="00F216C4"/>
    <w:rsid w:val="00F337E6"/>
    <w:rsid w:val="00F47C37"/>
    <w:rsid w:val="00F72119"/>
    <w:rsid w:val="00F81081"/>
    <w:rsid w:val="00FD1848"/>
    <w:rsid w:val="0C9B021D"/>
    <w:rsid w:val="16D9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BF80"/>
  <w15:docId w15:val="{54A6D59A-FBE5-F64E-A237-F2E9157C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SimSun" w:eastAsia="SimSun" w:hAnsi="SimSun" w:cs="SimSun"/>
      <w:kern w:val="0"/>
      <w:sz w:val="24"/>
      <w:szCs w:val="24"/>
    </w:rPr>
  </w:style>
  <w:style w:type="character" w:customStyle="1" w:styleId="gnkrckgcgsb">
    <w:name w:val="gnkrckgcgsb"/>
    <w:basedOn w:val="DefaultParagraphFont"/>
  </w:style>
  <w:style w:type="character" w:styleId="PlaceholderText">
    <w:name w:val="Placeholder Text"/>
    <w:basedOn w:val="DefaultParagraphFont"/>
    <w:uiPriority w:val="99"/>
    <w:semiHidden/>
    <w:rsid w:val="00283DA6"/>
    <w:rPr>
      <w:color w:val="808080"/>
    </w:rPr>
  </w:style>
  <w:style w:type="table" w:styleId="GridTable1Light">
    <w:name w:val="Grid Table 1 Light"/>
    <w:basedOn w:val="TableNormal"/>
    <w:uiPriority w:val="46"/>
    <w:rsid w:val="008C20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20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Лю Гоцзюнь</cp:lastModifiedBy>
  <cp:revision>60</cp:revision>
  <dcterms:created xsi:type="dcterms:W3CDTF">2018-05-05T15:27:00Z</dcterms:created>
  <dcterms:modified xsi:type="dcterms:W3CDTF">2018-09-19T10:37:00Z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