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3AA" w:rsidRPr="004E43AA" w:rsidRDefault="004E43AA" w:rsidP="004E43AA">
      <w:pPr>
        <w:rPr>
          <w:rFonts w:ascii="Times New Roman" w:hAnsi="Times New Roman" w:cs="Times New Roman"/>
          <w:b/>
          <w:noProof w:val="0"/>
          <w:sz w:val="24"/>
          <w:szCs w:val="24"/>
        </w:rPr>
      </w:pPr>
      <w:r w:rsidRPr="004E43AA">
        <w:rPr>
          <w:rFonts w:ascii="Times New Roman" w:hAnsi="Times New Roman" w:cs="Times New Roman"/>
          <w:b/>
          <w:noProof w:val="0"/>
          <w:sz w:val="24"/>
          <w:szCs w:val="24"/>
        </w:rPr>
        <w:t>Table S</w:t>
      </w:r>
      <w:r w:rsidR="0084458B">
        <w:rPr>
          <w:rFonts w:ascii="Times New Roman" w:hAnsi="Times New Roman" w:cs="Times New Roman"/>
          <w:b/>
          <w:noProof w:val="0"/>
          <w:sz w:val="24"/>
          <w:szCs w:val="24"/>
        </w:rPr>
        <w:t>1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="008C5AD0" w:rsidRPr="00617C28">
        <w:rPr>
          <w:rFonts w:ascii="Times New Roman" w:hAnsi="Times New Roman" w:cs="Times New Roman"/>
          <w:sz w:val="24"/>
          <w:szCs w:val="24"/>
        </w:rPr>
        <w:t xml:space="preserve">Clinical characteristics of patients with </w:t>
      </w:r>
      <w:r w:rsidR="008C5AD0">
        <w:rPr>
          <w:rFonts w:ascii="Times New Roman" w:hAnsi="Times New Roman" w:cs="Times New Roman"/>
          <w:sz w:val="24"/>
          <w:szCs w:val="24"/>
        </w:rPr>
        <w:t xml:space="preserve">AML </w:t>
      </w:r>
      <w:r w:rsidR="008C5AD0">
        <w:rPr>
          <w:rFonts w:ascii="Times New Roman" w:hAnsi="Times New Roman" w:cs="Times New Roman"/>
          <w:color w:val="000000" w:themeColor="text1"/>
          <w:sz w:val="24"/>
          <w:szCs w:val="24"/>
        </w:rPr>
        <w:t>excluding APL with t(15;17)(q22;q12); PML-RARA</w:t>
      </w:r>
      <w:r w:rsidR="008C5AD0" w:rsidRPr="00617C2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646" w:type="dxa"/>
        <w:tblLook w:val="04A0" w:firstRow="1" w:lastRow="0" w:firstColumn="1" w:lastColumn="0" w:noHBand="0" w:noVBand="1"/>
      </w:tblPr>
      <w:tblGrid>
        <w:gridCol w:w="1134"/>
        <w:gridCol w:w="567"/>
        <w:gridCol w:w="850"/>
        <w:gridCol w:w="4536"/>
        <w:gridCol w:w="1559"/>
      </w:tblGrid>
      <w:tr w:rsidR="004E43AA" w:rsidRPr="004E43AA" w:rsidTr="00EC5C7D">
        <w:trPr>
          <w:trHeight w:val="27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  <w:t xml:space="preserve">Patient no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  <w:t>Sex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  <w:t>Age,y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  <w:t>Histologic diagnosis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b/>
                <w:noProof w:val="0"/>
                <w:kern w:val="0"/>
                <w:szCs w:val="21"/>
              </w:rPr>
              <w:t>Included date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43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2009/2/25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2009/2/25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erythroid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2009/5/18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2009/9/14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2009/11/23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2009/11/30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2010/1/5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2010/2/9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erythroid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2010/5/13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2010/7/26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2010/8/10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2010/8/11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2010/9/11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2010/9/13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2010/10/21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2010/10/28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2010/11/10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2010/12/21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2011/1/31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2011/2/11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t(16;16)(p13.1;q22); CBFB-MYH11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2011/5/25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2011/6/28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2011/7/27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2011/9/19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2011/10/18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2011/11/30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2011/12/4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2011/12/5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2012/1/31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2012/3/5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2012/3/6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t(16;16)(p13.1;q22); CBFB-MYH11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2012/4/13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2012/4/25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2012/7/4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2012/8/10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mutated CEBPA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2012/8/23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2012/8/23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erythroid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2012/10/15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2012/11/10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2012/12/28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2013/1/16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lastRenderedPageBreak/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2013/3/6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2013/3/13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2013/3/20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2013/3/30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2013/4/18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megakaryoblastic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2013/4/22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2013/4/24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2013/4/29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2013/5/14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2013/5/22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2013/6/14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2013/7/2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erythroid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2013/7/4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2013/7/19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2013/7/23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2013/8/6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2013/8/9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2013/8/27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mutated NPM1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2013/10/7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2013/10/14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2013/10/25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2013/11/4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2013/11/6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2013/11/26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2013/12/2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2013/12/13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2013/12/19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2013/12/19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2014/1/1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2014/1/21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2014/3/3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2014/4/1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2014/4/18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2014/4/18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2014/4/30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2014/5/4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2014/5/4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2014/5/22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2014/5/23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2014/5/24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2014/6/16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2014/6/18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2014/6/27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2014/6/30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lastRenderedPageBreak/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2014/7/1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2014/7/8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2014/7/18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2014/7/25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2014/7/30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2014/8/1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2014/8/14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2014/8/29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2014/10/23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2014/11/4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2014/12/2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2014/12/11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2014/12/23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48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erythroid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2014/12/24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2014/12/26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erythroid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2015/1/20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t(16;16)(p13.1;q22); CBFB-MYH11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2015/1/26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2015/3/13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t(8;21)(q22;q22); RUNX1-RUNX1T1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2015/3/17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2015/3/19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2015/4/7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2015/4/8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2015/4/24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2015/6/2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2015/7/10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60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2015/7/14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2015/8/27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2015/9/17</w:t>
            </w:r>
          </w:p>
        </w:tc>
      </w:tr>
      <w:tr w:rsidR="004E43AA" w:rsidRPr="004E43AA" w:rsidTr="00EC5C7D">
        <w:trPr>
          <w:trHeight w:val="28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t(16;16)(p13.1;q22); CBFB-MYH11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2015/9/24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myelomonocytic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2015/10/30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39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mutated CEBPA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2015/11/2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2015/11/2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47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2015/11/10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41</w:t>
            </w: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AML with maturation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2015/11/19</w:t>
            </w:r>
          </w:p>
        </w:tc>
      </w:tr>
      <w:tr w:rsidR="004E43AA" w:rsidRPr="004E43AA" w:rsidTr="00EC5C7D">
        <w:trPr>
          <w:trHeight w:val="27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Acute monoblastic/monocytic leukemia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3AA" w:rsidRPr="004E43AA" w:rsidRDefault="004E43AA" w:rsidP="004E43AA">
            <w:pPr>
              <w:widowControl/>
              <w:jc w:val="center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2015/12/7</w:t>
            </w:r>
          </w:p>
        </w:tc>
      </w:tr>
    </w:tbl>
    <w:p w:rsidR="004E43AA" w:rsidRPr="004E43AA" w:rsidRDefault="004E43AA" w:rsidP="004E43AA">
      <w:pPr>
        <w:rPr>
          <w:noProof w:val="0"/>
        </w:rPr>
      </w:pPr>
    </w:p>
    <w:p w:rsidR="004E43AA" w:rsidRPr="004E43AA" w:rsidRDefault="004E43AA" w:rsidP="004E43AA">
      <w:pPr>
        <w:spacing w:line="480" w:lineRule="auto"/>
        <w:rPr>
          <w:rFonts w:ascii="Times New Roman" w:eastAsia="宋体" w:hAnsi="Times New Roman" w:cs="Times New Roman"/>
          <w:b/>
          <w:noProof w:val="0"/>
          <w:sz w:val="24"/>
          <w:szCs w:val="24"/>
        </w:rPr>
      </w:pPr>
      <w:r>
        <w:br w:type="page"/>
      </w:r>
      <w:r w:rsidRPr="004E43AA">
        <w:rPr>
          <w:rFonts w:ascii="Times New Roman" w:eastAsia="宋体" w:hAnsi="Times New Roman" w:cs="Times New Roman" w:hint="eastAsia"/>
          <w:b/>
          <w:noProof w:val="0"/>
          <w:sz w:val="24"/>
          <w:szCs w:val="24"/>
        </w:rPr>
        <w:lastRenderedPageBreak/>
        <w:t>Table S</w:t>
      </w:r>
      <w:r w:rsidR="0084458B">
        <w:rPr>
          <w:rFonts w:ascii="Times New Roman" w:eastAsia="宋体" w:hAnsi="Times New Roman" w:cs="Times New Roman"/>
          <w:b/>
          <w:noProof w:val="0"/>
          <w:sz w:val="24"/>
          <w:szCs w:val="24"/>
        </w:rPr>
        <w:t>2</w:t>
      </w:r>
      <w:r w:rsidRPr="004E43AA">
        <w:rPr>
          <w:rFonts w:ascii="Times New Roman" w:eastAsia="宋体" w:hAnsi="Times New Roman" w:cs="Times New Roman" w:hint="eastAsia"/>
          <w:noProof w:val="0"/>
          <w:sz w:val="24"/>
          <w:szCs w:val="24"/>
        </w:rPr>
        <w:t xml:space="preserve"> </w:t>
      </w:r>
      <w:r w:rsidRPr="004E43AA">
        <w:rPr>
          <w:rFonts w:ascii="Times New Roman" w:eastAsia="宋体" w:hAnsi="Times New Roman" w:cs="Times New Roman"/>
          <w:noProof w:val="0"/>
          <w:sz w:val="24"/>
          <w:szCs w:val="24"/>
        </w:rPr>
        <w:t>T</w:t>
      </w:r>
      <w:r w:rsidRPr="004E43AA">
        <w:rPr>
          <w:rFonts w:ascii="Times New Roman" w:eastAsia="宋体" w:hAnsi="Times New Roman" w:cs="Times New Roman" w:hint="eastAsia"/>
          <w:noProof w:val="0"/>
          <w:sz w:val="24"/>
          <w:szCs w:val="24"/>
        </w:rPr>
        <w:t>he sequences of the primers used for real-time qPCR.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3780"/>
        <w:gridCol w:w="3591"/>
      </w:tblGrid>
      <w:tr w:rsidR="004E43AA" w:rsidRPr="004E43AA" w:rsidTr="00EC5C7D">
        <w:tc>
          <w:tcPr>
            <w:tcW w:w="1668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3780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宋体" w:hAnsi="Times New Roman" w:cs="Times New Roman"/>
                <w:noProof w:val="0"/>
                <w:sz w:val="24"/>
                <w:szCs w:val="24"/>
              </w:rPr>
            </w:pPr>
            <w:r w:rsidRPr="004E43AA">
              <w:rPr>
                <w:rFonts w:ascii="Times New Roman" w:eastAsia="宋体" w:hAnsi="Times New Roman" w:cs="Times New Roman" w:hint="eastAsia"/>
                <w:bCs/>
                <w:noProof w:val="0"/>
                <w:kern w:val="0"/>
                <w:szCs w:val="21"/>
              </w:rPr>
              <w:t>Forward primer</w:t>
            </w:r>
          </w:p>
        </w:tc>
        <w:tc>
          <w:tcPr>
            <w:tcW w:w="3591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ind w:rightChars="84" w:right="176"/>
              <w:jc w:val="center"/>
              <w:rPr>
                <w:rFonts w:ascii="Times New Roman" w:eastAsia="宋体" w:hAnsi="Times New Roman" w:cs="Times New Roman"/>
                <w:noProof w:val="0"/>
                <w:sz w:val="24"/>
                <w:szCs w:val="24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Reverse primer</w:t>
            </w:r>
          </w:p>
        </w:tc>
      </w:tr>
      <w:tr w:rsidR="004E43AA" w:rsidRPr="004E43AA" w:rsidTr="00EC5C7D">
        <w:tc>
          <w:tcPr>
            <w:tcW w:w="1668" w:type="dxa"/>
            <w:tcBorders>
              <w:left w:val="nil"/>
              <w:bottom w:val="nil"/>
              <w:right w:val="nil"/>
            </w:tcBorders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ind w:leftChars="-67" w:left="-140" w:rightChars="83" w:right="174" w:hanging="1"/>
              <w:jc w:val="center"/>
              <w:rPr>
                <w:rFonts w:ascii="Times New Roman" w:eastAsia="宋体" w:hAnsi="Times New Roman" w:cs="Times New Roman"/>
                <w:noProof w:val="0"/>
                <w:color w:val="00000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color w:val="000000"/>
                <w:kern w:val="0"/>
                <w:szCs w:val="21"/>
              </w:rPr>
              <w:t xml:space="preserve">human 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000000"/>
                <w:kern w:val="0"/>
                <w:szCs w:val="21"/>
              </w:rPr>
              <w:t>ICOSL</w:t>
            </w:r>
          </w:p>
        </w:tc>
        <w:tc>
          <w:tcPr>
            <w:tcW w:w="3780" w:type="dxa"/>
            <w:tcBorders>
              <w:left w:val="nil"/>
              <w:bottom w:val="nil"/>
              <w:right w:val="nil"/>
            </w:tcBorders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ind w:left="315" w:hangingChars="150" w:hanging="315"/>
              <w:rPr>
                <w:rFonts w:ascii="Times New Roman" w:eastAsia="宋体" w:hAnsi="Times New Roman" w:cs="Times New Roman"/>
                <w:noProof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5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231F20"/>
                <w:szCs w:val="21"/>
              </w:rPr>
              <w:t>CCCAGGACGAGCAGAAGTTT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-3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</w:p>
        </w:tc>
        <w:tc>
          <w:tcPr>
            <w:tcW w:w="3591" w:type="dxa"/>
            <w:tcBorders>
              <w:left w:val="nil"/>
              <w:bottom w:val="nil"/>
              <w:right w:val="nil"/>
            </w:tcBorders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5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231F20"/>
                <w:szCs w:val="21"/>
              </w:rPr>
              <w:t>TGAAGTTTGCTGCCACATGC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-3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</w:p>
        </w:tc>
      </w:tr>
      <w:tr w:rsidR="004E43AA" w:rsidRPr="004E43AA" w:rsidTr="00EC5C7D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ind w:leftChars="-67" w:left="-141" w:rightChars="83" w:right="174"/>
              <w:jc w:val="center"/>
              <w:rPr>
                <w:rFonts w:ascii="Times New Roman" w:eastAsia="宋体" w:hAnsi="Times New Roman" w:cs="Times New Roman"/>
                <w:noProof w:val="0"/>
                <w:color w:val="00000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color w:val="000000"/>
                <w:kern w:val="0"/>
                <w:szCs w:val="21"/>
              </w:rPr>
              <w:t xml:space="preserve">mouse 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000000"/>
                <w:kern w:val="0"/>
                <w:szCs w:val="21"/>
              </w:rPr>
              <w:t>ICOSL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ind w:rightChars="-73" w:right="-153"/>
              <w:rPr>
                <w:rFonts w:ascii="Times New Roman" w:eastAsia="宋体" w:hAnsi="Times New Roman" w:cs="Times New Roman"/>
                <w:noProof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5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231F20"/>
                <w:szCs w:val="21"/>
              </w:rPr>
              <w:t>TGGAAGAGGTGGTCAGGC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-3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5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231F20"/>
                <w:szCs w:val="21"/>
              </w:rPr>
              <w:t>TTAGGCTATTGTCCGTTGTG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-3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</w:p>
        </w:tc>
      </w:tr>
      <w:tr w:rsidR="004E43AA" w:rsidRPr="004E43AA" w:rsidTr="00EC5C7D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color w:val="00000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color w:val="000000"/>
                <w:kern w:val="0"/>
                <w:szCs w:val="21"/>
              </w:rPr>
              <w:t>human GAPDH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5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ATCATCAGCAATGCCTCC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-3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5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CATCACGCCACAGTTTCC</w:t>
            </w:r>
            <w:r w:rsidRPr="004E43AA">
              <w:rPr>
                <w:rFonts w:ascii="Times New Roman" w:eastAsia="宋体" w:hAnsi="Times New Roman" w:cs="Times New Roman" w:hint="eastAsia"/>
                <w:noProof w:val="0"/>
                <w:kern w:val="0"/>
                <w:szCs w:val="21"/>
              </w:rPr>
              <w:t>-3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’</w:t>
            </w:r>
          </w:p>
        </w:tc>
      </w:tr>
      <w:tr w:rsidR="004E43AA" w:rsidRPr="004E43AA" w:rsidTr="00EC5C7D">
        <w:tc>
          <w:tcPr>
            <w:tcW w:w="1668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color w:val="00000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 w:hint="eastAsia"/>
                <w:noProof w:val="0"/>
                <w:color w:val="000000"/>
                <w:kern w:val="0"/>
                <w:szCs w:val="21"/>
              </w:rPr>
              <w:t>mouse GAPDH</w:t>
            </w:r>
          </w:p>
        </w:tc>
        <w:tc>
          <w:tcPr>
            <w:tcW w:w="37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5’-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231F20"/>
                <w:szCs w:val="21"/>
              </w:rPr>
              <w:t>ACCACAGTCCATGCCATCAC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-3’</w:t>
            </w:r>
          </w:p>
        </w:tc>
        <w:tc>
          <w:tcPr>
            <w:tcW w:w="3591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</w:tcPr>
          <w:p w:rsidR="004E43AA" w:rsidRPr="004E43AA" w:rsidRDefault="004E43AA" w:rsidP="004E43A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</w:pP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5’-</w:t>
            </w:r>
            <w:r w:rsidRPr="004E43AA">
              <w:rPr>
                <w:rFonts w:ascii="Times New Roman" w:eastAsia="宋体" w:hAnsi="Times New Roman" w:cs="Times New Roman"/>
                <w:noProof w:val="0"/>
                <w:color w:val="231F20"/>
                <w:szCs w:val="21"/>
              </w:rPr>
              <w:t>TCCACCACCCTGTTGCTGTA</w:t>
            </w:r>
            <w:r w:rsidRPr="004E43AA">
              <w:rPr>
                <w:rFonts w:ascii="Times New Roman" w:eastAsia="宋体" w:hAnsi="Times New Roman" w:cs="Times New Roman"/>
                <w:noProof w:val="0"/>
                <w:kern w:val="0"/>
                <w:szCs w:val="21"/>
              </w:rPr>
              <w:t>-3’</w:t>
            </w:r>
          </w:p>
        </w:tc>
      </w:tr>
    </w:tbl>
    <w:p w:rsidR="004E43AA" w:rsidRDefault="004E43AA" w:rsidP="004E43AA">
      <w:pPr>
        <w:spacing w:line="400" w:lineRule="exact"/>
        <w:rPr>
          <w:rFonts w:ascii="Times New Roman" w:eastAsia="宋体" w:hAnsi="Times New Roman" w:cs="Times New Roman"/>
          <w:noProof w:val="0"/>
          <w:color w:val="231F20"/>
          <w:sz w:val="24"/>
          <w:szCs w:val="24"/>
        </w:rPr>
      </w:pPr>
    </w:p>
    <w:p w:rsidR="004E43AA" w:rsidRDefault="004E43AA">
      <w:pPr>
        <w:widowControl/>
        <w:jc w:val="left"/>
        <w:rPr>
          <w:rFonts w:ascii="Times New Roman" w:eastAsia="宋体" w:hAnsi="Times New Roman" w:cs="Times New Roman"/>
          <w:noProof w:val="0"/>
          <w:color w:val="231F20"/>
          <w:sz w:val="24"/>
          <w:szCs w:val="24"/>
        </w:rPr>
      </w:pPr>
      <w:r>
        <w:rPr>
          <w:rFonts w:ascii="Times New Roman" w:eastAsia="宋体" w:hAnsi="Times New Roman" w:cs="Times New Roman"/>
          <w:noProof w:val="0"/>
          <w:color w:val="231F20"/>
          <w:sz w:val="24"/>
          <w:szCs w:val="24"/>
        </w:rPr>
        <w:br w:type="page"/>
      </w:r>
    </w:p>
    <w:p w:rsidR="00CD5A05" w:rsidRDefault="0084458B">
      <w:r>
        <w:lastRenderedPageBreak/>
        <w:drawing>
          <wp:inline distT="0" distB="0" distL="0" distR="0">
            <wp:extent cx="5274310" cy="31019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AA" w:rsidRPr="004E43AA" w:rsidRDefault="004E43AA" w:rsidP="004E43AA">
      <w:pPr>
        <w:spacing w:line="480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4E43AA">
        <w:rPr>
          <w:rFonts w:ascii="Times New Roman" w:hAnsi="Times New Roman" w:cs="Times New Roman"/>
          <w:b/>
          <w:noProof w:val="0"/>
          <w:sz w:val="24"/>
          <w:szCs w:val="24"/>
        </w:rPr>
        <w:t>F</w:t>
      </w:r>
      <w:r w:rsidR="0084458B">
        <w:rPr>
          <w:rFonts w:ascii="Times New Roman" w:hAnsi="Times New Roman" w:cs="Times New Roman"/>
          <w:b/>
          <w:noProof w:val="0"/>
          <w:sz w:val="24"/>
          <w:szCs w:val="24"/>
        </w:rPr>
        <w:t>IGURE</w:t>
      </w:r>
      <w:r w:rsidRPr="004E43AA">
        <w:rPr>
          <w:rFonts w:ascii="Times New Roman" w:hAnsi="Times New Roman" w:cs="Times New Roman"/>
          <w:b/>
          <w:noProof w:val="0"/>
          <w:sz w:val="24"/>
          <w:szCs w:val="24"/>
        </w:rPr>
        <w:t xml:space="preserve"> S1 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Several other cytokines including IFN-γ, IL-10, IL-17A, or IL-21 almost do not influence the expression of ICOSL on two AML cell lines HL-60 and HEL. HL-60 cells </w:t>
      </w:r>
      <w:r w:rsidRPr="0084458B">
        <w:rPr>
          <w:rFonts w:ascii="Times New Roman" w:hAnsi="Times New Roman" w:cs="Times New Roman"/>
          <w:b/>
          <w:noProof w:val="0"/>
          <w:sz w:val="24"/>
          <w:szCs w:val="24"/>
        </w:rPr>
        <w:t>(A)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 and HEL cells </w:t>
      </w:r>
      <w:r w:rsidRPr="0084458B">
        <w:rPr>
          <w:rFonts w:ascii="Times New Roman" w:hAnsi="Times New Roman" w:cs="Times New Roman"/>
          <w:b/>
          <w:noProof w:val="0"/>
          <w:sz w:val="24"/>
          <w:szCs w:val="24"/>
        </w:rPr>
        <w:t>(B)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 were treated with 1 µg</w:t>
      </w:r>
      <w:r w:rsidRPr="004E43AA">
        <w:rPr>
          <w:rFonts w:ascii="Times New Roman" w:hAnsi="Times New Roman" w:cs="Times New Roman" w:hint="eastAsia"/>
          <w:noProof w:val="0"/>
          <w:sz w:val="24"/>
          <w:szCs w:val="24"/>
        </w:rPr>
        <w:t xml:space="preserve">/ml 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IFN-γ, 10 ng/ml IL-10, 200 ng/ml IL-17A, or 200 ng/ml IL-21 for 48 hours, and the expression of ICOSL was subsequently determined using a flow cytometry-based assay. </w:t>
      </w:r>
      <w:r w:rsidR="002874AD">
        <w:rPr>
          <w:rFonts w:ascii="Times New Roman" w:hAnsi="Times New Roman" w:cs="Times New Roman"/>
          <w:noProof w:val="0"/>
          <w:sz w:val="24"/>
          <w:szCs w:val="24"/>
        </w:rPr>
        <w:t>Overlay histograms showing a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>ntibody stains (solid red) and isotype stains (</w:t>
      </w:r>
      <w:r w:rsidR="00814557">
        <w:rPr>
          <w:rFonts w:ascii="Times New Roman" w:hAnsi="Times New Roman" w:cs="Times New Roman"/>
          <w:noProof w:val="0"/>
          <w:sz w:val="24"/>
          <w:szCs w:val="24"/>
        </w:rPr>
        <w:t>f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illed black) </w:t>
      </w:r>
      <w:r w:rsidR="00EC5C7D">
        <w:rPr>
          <w:rFonts w:ascii="Times New Roman" w:hAnsi="Times New Roman" w:cs="Times New Roman"/>
          <w:noProof w:val="0"/>
          <w:sz w:val="24"/>
          <w:szCs w:val="24"/>
        </w:rPr>
        <w:t>were</w:t>
      </w:r>
      <w:r w:rsidR="00EC5C7D"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="002874AD">
        <w:rPr>
          <w:rFonts w:ascii="Times New Roman" w:hAnsi="Times New Roman" w:cs="Times New Roman"/>
          <w:noProof w:val="0"/>
          <w:sz w:val="24"/>
          <w:szCs w:val="24"/>
        </w:rPr>
        <w:t>representatives of three independent experiments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:rsidR="004E43AA" w:rsidRDefault="004E43AA">
      <w:pPr>
        <w:widowControl/>
        <w:jc w:val="left"/>
      </w:pPr>
      <w:r>
        <w:br w:type="page"/>
      </w:r>
    </w:p>
    <w:p w:rsidR="004E43AA" w:rsidRDefault="004E43AA" w:rsidP="004E43AA">
      <w:pPr>
        <w:jc w:val="center"/>
      </w:pPr>
      <w:r>
        <w:rPr>
          <w:rFonts w:hint="eastAsia"/>
        </w:rPr>
        <w:lastRenderedPageBreak/>
        <w:drawing>
          <wp:inline distT="0" distB="0" distL="0" distR="0">
            <wp:extent cx="3063240" cy="2975956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97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AA" w:rsidRPr="004E43AA" w:rsidRDefault="004E43AA" w:rsidP="004E43AA">
      <w:pPr>
        <w:spacing w:line="480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4E43AA">
        <w:rPr>
          <w:rFonts w:ascii="Times New Roman" w:hAnsi="Times New Roman" w:cs="Times New Roman"/>
          <w:b/>
          <w:noProof w:val="0"/>
          <w:sz w:val="24"/>
          <w:szCs w:val="24"/>
        </w:rPr>
        <w:t>F</w:t>
      </w:r>
      <w:r w:rsidR="0084458B">
        <w:rPr>
          <w:rFonts w:ascii="Times New Roman" w:hAnsi="Times New Roman" w:cs="Times New Roman"/>
          <w:b/>
          <w:noProof w:val="0"/>
          <w:sz w:val="24"/>
          <w:szCs w:val="24"/>
        </w:rPr>
        <w:t>IGURE</w:t>
      </w:r>
      <w:r w:rsidRPr="004E43AA">
        <w:rPr>
          <w:rFonts w:ascii="Times New Roman" w:hAnsi="Times New Roman" w:cs="Times New Roman"/>
          <w:b/>
          <w:noProof w:val="0"/>
          <w:sz w:val="24"/>
          <w:szCs w:val="24"/>
        </w:rPr>
        <w:t xml:space="preserve"> S2 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Interaction with HEL cells </w:t>
      </w:r>
      <w:r w:rsidRPr="004E43AA">
        <w:rPr>
          <w:rFonts w:ascii="Times New Roman" w:hAnsi="Times New Roman" w:cs="Times New Roman" w:hint="eastAsia"/>
          <w:noProof w:val="0"/>
          <w:sz w:val="24"/>
          <w:szCs w:val="24"/>
        </w:rPr>
        <w:t>s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>uppresses Th1 cells and promotes Th17 cells in the CD4</w:t>
      </w:r>
      <w:r w:rsidRPr="004E43AA">
        <w:rPr>
          <w:rFonts w:ascii="Times New Roman" w:hAnsi="Times New Roman" w:cs="Times New Roman"/>
          <w:noProof w:val="0"/>
          <w:sz w:val="24"/>
          <w:szCs w:val="24"/>
          <w:vertAlign w:val="superscript"/>
        </w:rPr>
        <w:t>+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 T cells. CD4</w:t>
      </w:r>
      <w:r w:rsidRPr="004E43AA">
        <w:rPr>
          <w:rFonts w:ascii="Times New Roman" w:hAnsi="Times New Roman" w:cs="Times New Roman"/>
          <w:noProof w:val="0"/>
          <w:sz w:val="24"/>
          <w:szCs w:val="24"/>
          <w:vertAlign w:val="superscript"/>
        </w:rPr>
        <w:t>+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 xml:space="preserve"> T cells were incubated with or without HEL cells for 48 hours in the presence of 20 ng/ml IL-2, and in the last 5 hours, the cells were stimulated with PMA and ionomycin in the presence of </w:t>
      </w:r>
      <w:r w:rsidRPr="004E43AA">
        <w:rPr>
          <w:rFonts w:ascii="Times New Roman" w:hAnsi="Times New Roman" w:cs="Times New Roman"/>
          <w:noProof w:val="0"/>
          <w:color w:val="000000" w:themeColor="text1"/>
          <w:sz w:val="24"/>
          <w:szCs w:val="24"/>
        </w:rPr>
        <w:t>brefeldin A. T</w:t>
      </w:r>
      <w:r w:rsidRPr="004E43AA">
        <w:rPr>
          <w:rFonts w:ascii="Times New Roman" w:hAnsi="Times New Roman" w:cs="Times New Roman"/>
          <w:noProof w:val="0"/>
          <w:sz w:val="24"/>
          <w:szCs w:val="24"/>
        </w:rPr>
        <w:t>hen, the cells were collected, and stained for surface CD4 and intracellular IFN-γ and IL-17A, and determined on a flow cytometry.</w:t>
      </w:r>
      <w:r w:rsidR="00EC5C7D">
        <w:rPr>
          <w:rFonts w:ascii="Times New Roman" w:hAnsi="Times New Roman" w:cs="Times New Roman"/>
          <w:noProof w:val="0"/>
          <w:sz w:val="24"/>
          <w:szCs w:val="24"/>
        </w:rPr>
        <w:t xml:space="preserve"> Images shown were representatives of three independent experiments.</w:t>
      </w:r>
    </w:p>
    <w:p w:rsidR="004E43AA" w:rsidRDefault="004E43AA">
      <w:pPr>
        <w:widowControl/>
        <w:jc w:val="left"/>
      </w:pPr>
      <w:r>
        <w:br w:type="page"/>
      </w:r>
    </w:p>
    <w:p w:rsidR="004E43AA" w:rsidRDefault="00661D53" w:rsidP="004E43AA">
      <w:pPr>
        <w:spacing w:line="480" w:lineRule="auto"/>
      </w:pPr>
      <w:r>
        <w:lastRenderedPageBreak/>
        <w:drawing>
          <wp:inline distT="0" distB="0" distL="0" distR="0">
            <wp:extent cx="5274310" cy="78486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8B" w:rsidRDefault="004E43AA" w:rsidP="008445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166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84458B">
        <w:rPr>
          <w:rFonts w:ascii="Times New Roman" w:hAnsi="Times New Roman" w:cs="Times New Roman"/>
          <w:b/>
          <w:sz w:val="24"/>
          <w:szCs w:val="24"/>
        </w:rPr>
        <w:t>IGURE S3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2AAA">
        <w:rPr>
          <w:rFonts w:ascii="Times New Roman" w:hAnsi="Times New Roman" w:cs="Times New Roman"/>
          <w:sz w:val="24"/>
          <w:szCs w:val="24"/>
        </w:rPr>
        <w:t>Blockade of ICOS signaling by anti-ICOSL mAb impairs the generation of Tregs in peripheral blood and spleen of C1498-injected mice.</w:t>
      </w:r>
      <w:r w:rsidRPr="00DA12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458B">
        <w:rPr>
          <w:rFonts w:ascii="Times New Roman" w:hAnsi="Times New Roman" w:cs="Times New Roman"/>
          <w:b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 xml:space="preserve">The mRNA </w:t>
      </w:r>
      <w:r>
        <w:rPr>
          <w:rFonts w:ascii="Times New Roman" w:hAnsi="Times New Roman" w:cs="Times New Roman"/>
          <w:sz w:val="24"/>
          <w:szCs w:val="24"/>
        </w:rPr>
        <w:lastRenderedPageBreak/>
        <w:t>expression of ICOSL of spleen cells were determined using qRT-PCR</w:t>
      </w:r>
      <w:r w:rsidR="00EC5C7D" w:rsidRPr="00EC5C7D">
        <w:rPr>
          <w:rFonts w:ascii="Times New Roman" w:hAnsi="Times New Roman" w:cs="Times New Roman"/>
          <w:sz w:val="24"/>
          <w:szCs w:val="24"/>
        </w:rPr>
        <w:t xml:space="preserve"> </w:t>
      </w:r>
      <w:r w:rsidR="00EC5C7D">
        <w:rPr>
          <w:rFonts w:ascii="Times New Roman" w:hAnsi="Times New Roman" w:cs="Times New Roman"/>
          <w:sz w:val="24"/>
          <w:szCs w:val="24"/>
        </w:rPr>
        <w:t xml:space="preserve">in 5 mice each group. </w:t>
      </w:r>
      <w:r w:rsidR="00EC5C7D">
        <w:rPr>
          <w:rFonts w:ascii="Times New Roman" w:hAnsi="Times New Roman" w:cs="Times New Roman"/>
          <w:color w:val="000000" w:themeColor="text1"/>
          <w:sz w:val="24"/>
          <w:szCs w:val="24"/>
        </w:rPr>
        <w:t>ANOVA was used to determine the differences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4458B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C7D">
        <w:rPr>
          <w:rFonts w:ascii="Times New Roman" w:hAnsi="Times New Roman" w:cs="Times New Roman"/>
          <w:sz w:val="24"/>
          <w:szCs w:val="24"/>
        </w:rPr>
        <w:t xml:space="preserve">Histograms showing the </w:t>
      </w:r>
      <w:r>
        <w:rPr>
          <w:rFonts w:ascii="Times New Roman" w:hAnsi="Times New Roman" w:cs="Times New Roman"/>
          <w:sz w:val="24"/>
          <w:szCs w:val="24"/>
        </w:rPr>
        <w:t xml:space="preserve">expression of ICOSL of peripheral blood mononuclear cells and spleen cells were </w:t>
      </w:r>
      <w:r w:rsidR="00EC5C7D">
        <w:rPr>
          <w:rFonts w:ascii="Times New Roman" w:hAnsi="Times New Roman" w:cs="Times New Roman"/>
          <w:sz w:val="24"/>
          <w:szCs w:val="24"/>
        </w:rPr>
        <w:t>representatives of 5 mice each group</w:t>
      </w:r>
      <w:r>
        <w:rPr>
          <w:rFonts w:ascii="Times New Roman" w:hAnsi="Times New Roman" w:cs="Times New Roman"/>
          <w:sz w:val="24"/>
          <w:szCs w:val="24"/>
        </w:rPr>
        <w:t xml:space="preserve">. The black lines indicate isotype control, and the red lines indicate the expression of ICOSL. </w:t>
      </w:r>
      <w:r w:rsidR="00EC5C7D">
        <w:rPr>
          <w:rFonts w:ascii="Times New Roman" w:hAnsi="Times New Roman" w:cs="Times New Roman"/>
          <w:color w:val="000000" w:themeColor="text1"/>
          <w:sz w:val="24"/>
          <w:szCs w:val="24"/>
        </w:rPr>
        <w:t>ANOVA was used to determine the differences.</w:t>
      </w:r>
      <w:r w:rsidR="00EC5C7D" w:rsidRPr="008473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458B">
        <w:rPr>
          <w:rFonts w:ascii="Times New Roman" w:hAnsi="Times New Roman" w:cs="Times New Roman"/>
          <w:b/>
          <w:sz w:val="24"/>
          <w:szCs w:val="24"/>
        </w:rPr>
        <w:t>(C &amp; D)</w:t>
      </w:r>
      <w:r>
        <w:rPr>
          <w:rFonts w:ascii="Times New Roman" w:hAnsi="Times New Roman" w:cs="Times New Roman"/>
          <w:sz w:val="24"/>
          <w:szCs w:val="24"/>
        </w:rPr>
        <w:t xml:space="preserve"> The frequencies of CD4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CD25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Foxp3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374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 and CD4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37450A">
        <w:rPr>
          <w:rFonts w:ascii="Times New Roman" w:hAnsi="Times New Roman" w:cs="Times New Roman"/>
          <w:sz w:val="24"/>
          <w:szCs w:val="24"/>
        </w:rPr>
        <w:t>ICOS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Foxp3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374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 were significantly increased in the peripheral blood and spleen of C1498-injected mice and anti-ICOSL mAb dramatically reduced the generation of CD4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CD25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Foxp3</w:t>
      </w:r>
      <w:r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374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</w:t>
      </w:r>
      <w:r w:rsidR="00E0537B">
        <w:rPr>
          <w:rFonts w:ascii="Times New Roman" w:hAnsi="Times New Roman" w:cs="Times New Roman"/>
          <w:sz w:val="24"/>
          <w:szCs w:val="24"/>
        </w:rPr>
        <w:t xml:space="preserve"> and CD4</w:t>
      </w:r>
      <w:r w:rsidR="00E0537B"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0537B" w:rsidRPr="0037450A">
        <w:rPr>
          <w:rFonts w:ascii="Times New Roman" w:hAnsi="Times New Roman" w:cs="Times New Roman"/>
          <w:sz w:val="24"/>
          <w:szCs w:val="24"/>
        </w:rPr>
        <w:t>ICOS</w:t>
      </w:r>
      <w:r w:rsidR="00E0537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0537B">
        <w:rPr>
          <w:rFonts w:ascii="Times New Roman" w:hAnsi="Times New Roman" w:cs="Times New Roman"/>
          <w:sz w:val="24"/>
          <w:szCs w:val="24"/>
        </w:rPr>
        <w:t>Foxp3</w:t>
      </w:r>
      <w:r w:rsidR="00E0537B" w:rsidRPr="007C16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0537B" w:rsidRPr="0037450A">
        <w:rPr>
          <w:rFonts w:ascii="Times New Roman" w:hAnsi="Times New Roman" w:cs="Times New Roman"/>
          <w:sz w:val="24"/>
          <w:szCs w:val="24"/>
        </w:rPr>
        <w:t xml:space="preserve"> </w:t>
      </w:r>
      <w:r w:rsidR="00E0537B">
        <w:rPr>
          <w:rFonts w:ascii="Times New Roman" w:hAnsi="Times New Roman" w:cs="Times New Roman"/>
          <w:sz w:val="24"/>
          <w:szCs w:val="24"/>
        </w:rPr>
        <w:t xml:space="preserve">cells </w:t>
      </w:r>
      <w:r>
        <w:rPr>
          <w:rFonts w:ascii="Times New Roman" w:hAnsi="Times New Roman" w:cs="Times New Roman"/>
          <w:sz w:val="24"/>
          <w:szCs w:val="24"/>
        </w:rPr>
        <w:t xml:space="preserve">in peripheral blood and spleen. </w:t>
      </w:r>
      <w:r w:rsidR="00E0537B">
        <w:rPr>
          <w:rFonts w:ascii="Times New Roman" w:hAnsi="Times New Roman" w:cs="Times New Roman"/>
          <w:sz w:val="24"/>
          <w:szCs w:val="24"/>
        </w:rPr>
        <w:t xml:space="preserve">Representative images and statistical data were shown for 5 mice each group. ANOVA was used to determine the differences. </w:t>
      </w:r>
      <w:r w:rsidRPr="0050537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505373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0.05, </w:t>
      </w:r>
      <w:r w:rsidRPr="00505373"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 w:rsidRPr="00505373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0.001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 xml:space="preserve"> stands for</w:t>
      </w:r>
      <w:r>
        <w:rPr>
          <w:rFonts w:ascii="Times New Roman" w:hAnsi="Times New Roman" w:cs="Times New Roman" w:hint="eastAsia"/>
          <w:sz w:val="24"/>
          <w:szCs w:val="24"/>
        </w:rPr>
        <w:t xml:space="preserve"> not significant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458B" w:rsidRDefault="0084458B" w:rsidP="0084458B">
      <w:pPr>
        <w:spacing w:line="480" w:lineRule="auto"/>
      </w:pPr>
      <w:r>
        <w:lastRenderedPageBreak/>
        <w:drawing>
          <wp:inline distT="0" distB="0" distL="0" distR="0" wp14:anchorId="386A59FC" wp14:editId="630ADDC7">
            <wp:extent cx="5274310" cy="7753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8B" w:rsidRDefault="0084458B" w:rsidP="008445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Pr="00914F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2AAA">
        <w:rPr>
          <w:rFonts w:ascii="Times New Roman" w:hAnsi="Times New Roman" w:cs="Times New Roman"/>
          <w:sz w:val="24"/>
          <w:szCs w:val="24"/>
        </w:rPr>
        <w:t xml:space="preserve">Blockade of ICOS signaling by anti-ICOSL mAb increases Th1 cells and decreases Th17 and Th2 cells in C1498-injected AML mice. </w:t>
      </w:r>
      <w:r w:rsidRPr="00FC3486">
        <w:rPr>
          <w:rFonts w:ascii="Times New Roman" w:hAnsi="Times New Roman" w:cs="Times New Roman"/>
          <w:sz w:val="24"/>
          <w:szCs w:val="24"/>
        </w:rPr>
        <w:t>After treatment with anti-</w:t>
      </w:r>
      <w:r w:rsidRPr="00FC3486">
        <w:rPr>
          <w:rFonts w:ascii="Times New Roman" w:hAnsi="Times New Roman" w:cs="Times New Roman"/>
          <w:sz w:val="24"/>
          <w:szCs w:val="24"/>
        </w:rPr>
        <w:lastRenderedPageBreak/>
        <w:t>ICOSL mAb</w:t>
      </w:r>
      <w:r w:rsidRPr="00FC3486">
        <w:rPr>
          <w:rFonts w:ascii="Times New Roman" w:hAnsi="Times New Roman" w:cs="Times New Roman" w:hint="eastAsia"/>
          <w:sz w:val="24"/>
          <w:szCs w:val="24"/>
        </w:rPr>
        <w:t xml:space="preserve">, the </w:t>
      </w:r>
      <w:r w:rsidRPr="00FC3486">
        <w:rPr>
          <w:rFonts w:ascii="Times New Roman" w:hAnsi="Times New Roman" w:cs="Times New Roman"/>
          <w:sz w:val="24"/>
          <w:szCs w:val="24"/>
        </w:rPr>
        <w:t xml:space="preserve">frequencies of Th1, Th17 and Th2 cells in spleen and bone marrow were determined using a flow-cytometry-based assay. 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>Representative images (left panel) and statistical data (right panel) about IFN-</w:t>
      </w:r>
      <w:r w:rsidRPr="00FC3486">
        <w:rPr>
          <w:rFonts w:ascii="Times New Roman" w:hAnsi="Times New Roman" w:cs="Times New Roman"/>
          <w:sz w:val="24"/>
          <w:szCs w:val="24"/>
        </w:rPr>
        <w:t xml:space="preserve">γ-producing (Th1) 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</w:t>
      </w:r>
      <w:r w:rsidRPr="008445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(A)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IL-17A-producing (Th17) cells </w:t>
      </w:r>
      <w:r w:rsidRPr="008445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IL-4-producing (Th2) cells </w:t>
      </w:r>
      <w:r w:rsidRPr="008445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(C)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IL-10-producing (Th2) cells </w:t>
      </w:r>
      <w:r w:rsidRPr="008445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(D)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showed</w:t>
      </w:r>
      <w:r w:rsidR="00CD4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5 mice each group</w:t>
      </w:r>
      <w:r w:rsidRPr="00FC3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D4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ANOVA was used to determine the differences. </w:t>
      </w:r>
      <w:r w:rsidRPr="00FC348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FC3486">
        <w:rPr>
          <w:rFonts w:ascii="Times New Roman" w:hAnsi="Times New Roman" w:cs="Times New Roman"/>
          <w:i/>
          <w:sz w:val="24"/>
          <w:szCs w:val="24"/>
        </w:rPr>
        <w:t>P</w:t>
      </w:r>
      <w:r w:rsidRPr="00FC3486">
        <w:rPr>
          <w:rFonts w:ascii="Times New Roman" w:hAnsi="Times New Roman" w:cs="Times New Roman"/>
          <w:sz w:val="24"/>
          <w:szCs w:val="24"/>
        </w:rPr>
        <w:t xml:space="preserve"> &lt; 0.05, </w:t>
      </w:r>
      <w:r w:rsidRPr="00FC3486"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 w:rsidRPr="00FC3486">
        <w:rPr>
          <w:rFonts w:ascii="Times New Roman" w:hAnsi="Times New Roman" w:cs="Times New Roman"/>
          <w:i/>
          <w:sz w:val="24"/>
          <w:szCs w:val="24"/>
        </w:rPr>
        <w:t>P</w:t>
      </w:r>
      <w:r w:rsidRPr="00FC3486">
        <w:rPr>
          <w:rFonts w:ascii="Times New Roman" w:hAnsi="Times New Roman" w:cs="Times New Roman"/>
          <w:sz w:val="24"/>
          <w:szCs w:val="24"/>
        </w:rPr>
        <w:t xml:space="preserve"> &lt; 0.001</w:t>
      </w:r>
      <w:r w:rsidRPr="00FC3486">
        <w:rPr>
          <w:rFonts w:ascii="Times New Roman" w:hAnsi="Times New Roman" w:cs="Times New Roman" w:hint="eastAsia"/>
          <w:sz w:val="24"/>
          <w:szCs w:val="24"/>
        </w:rPr>
        <w:t>,</w:t>
      </w:r>
      <w:r w:rsidRPr="00FC3486">
        <w:rPr>
          <w:rFonts w:ascii="Times New Roman" w:hAnsi="Times New Roman" w:cs="Times New Roman"/>
          <w:sz w:val="24"/>
          <w:szCs w:val="24"/>
        </w:rPr>
        <w:t xml:space="preserve"> </w:t>
      </w:r>
      <w:r w:rsidRPr="00FC3486">
        <w:rPr>
          <w:rFonts w:ascii="Times New Roman" w:hAnsi="Times New Roman" w:cs="Times New Roman" w:hint="eastAsia"/>
          <w:sz w:val="24"/>
          <w:szCs w:val="24"/>
        </w:rPr>
        <w:t>NS</w:t>
      </w:r>
      <w:r w:rsidRPr="00FC3486">
        <w:rPr>
          <w:rFonts w:ascii="Times New Roman" w:hAnsi="Times New Roman" w:cs="Times New Roman"/>
          <w:sz w:val="24"/>
          <w:szCs w:val="24"/>
        </w:rPr>
        <w:t xml:space="preserve"> stands for</w:t>
      </w:r>
      <w:r w:rsidRPr="00FC3486">
        <w:rPr>
          <w:rFonts w:ascii="Times New Roman" w:hAnsi="Times New Roman" w:cs="Times New Roman" w:hint="eastAsia"/>
          <w:sz w:val="24"/>
          <w:szCs w:val="24"/>
        </w:rPr>
        <w:t xml:space="preserve"> not significant</w:t>
      </w:r>
      <w:r w:rsidRPr="00FC348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4E43AA" w:rsidRDefault="004E43AA" w:rsidP="004E43AA">
      <w:pPr>
        <w:spacing w:line="480" w:lineRule="auto"/>
      </w:pPr>
    </w:p>
    <w:sectPr w:rsidR="004E43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1C9" w:rsidRDefault="00B561C9" w:rsidP="004E43AA">
      <w:r>
        <w:separator/>
      </w:r>
    </w:p>
  </w:endnote>
  <w:endnote w:type="continuationSeparator" w:id="0">
    <w:p w:rsidR="00B561C9" w:rsidRDefault="00B561C9" w:rsidP="004E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1C9" w:rsidRDefault="00B561C9" w:rsidP="004E43AA">
      <w:r>
        <w:separator/>
      </w:r>
    </w:p>
  </w:footnote>
  <w:footnote w:type="continuationSeparator" w:id="0">
    <w:p w:rsidR="00B561C9" w:rsidRDefault="00B561C9" w:rsidP="004E4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95"/>
    <w:rsid w:val="002874AD"/>
    <w:rsid w:val="002C10C8"/>
    <w:rsid w:val="00363A60"/>
    <w:rsid w:val="004C3462"/>
    <w:rsid w:val="004C4CCC"/>
    <w:rsid w:val="004E43AA"/>
    <w:rsid w:val="00586095"/>
    <w:rsid w:val="005C028E"/>
    <w:rsid w:val="00661D53"/>
    <w:rsid w:val="0068011A"/>
    <w:rsid w:val="007C02D5"/>
    <w:rsid w:val="00814557"/>
    <w:rsid w:val="0084458B"/>
    <w:rsid w:val="008C5AD0"/>
    <w:rsid w:val="009A4509"/>
    <w:rsid w:val="00B561C9"/>
    <w:rsid w:val="00C15BEE"/>
    <w:rsid w:val="00CD4E66"/>
    <w:rsid w:val="00CD5A05"/>
    <w:rsid w:val="00E0537B"/>
    <w:rsid w:val="00EA7F98"/>
    <w:rsid w:val="00EC5C7D"/>
    <w:rsid w:val="00EC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DDC188-8155-45EA-AA62-8CDE7A61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43AA"/>
    <w:rPr>
      <w:noProof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43AA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1424</Words>
  <Characters>8122</Characters>
  <Application>Microsoft Office Word</Application>
  <DocSecurity>0</DocSecurity>
  <Lines>67</Lines>
  <Paragraphs>19</Paragraphs>
  <ScaleCrop>false</ScaleCrop>
  <Company/>
  <LinksUpToDate>false</LinksUpToDate>
  <CharactersWithSpaces>9527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2018-05-23T16:01:00Z</dcterms:created>
  <dcterms:modified xsi:type="dcterms:W3CDTF">2018-09-16T14:56:00Z</dcterms:modified>
</cp:coreProperties>
</file>