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D070A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083DB7C" w14:textId="77777777" w:rsidR="00D64059" w:rsidRPr="00D64059" w:rsidRDefault="00ED0AD0" w:rsidP="00D64059">
      <w:pPr>
        <w:spacing w:line="360" w:lineRule="auto"/>
        <w:jc w:val="center"/>
        <w:rPr>
          <w:rFonts w:cs="Times New Roman"/>
          <w:b/>
          <w:sz w:val="32"/>
          <w:szCs w:val="32"/>
        </w:rPr>
      </w:pPr>
      <w:r w:rsidRPr="00ED0AD0">
        <w:rPr>
          <w:rFonts w:cs="Times New Roman"/>
          <w:b/>
          <w:color w:val="3E3D40"/>
          <w:sz w:val="32"/>
          <w:szCs w:val="32"/>
        </w:rPr>
        <w:t xml:space="preserve">Differential regulation of </w:t>
      </w:r>
      <w:r w:rsidRPr="00ED0AD0">
        <w:rPr>
          <w:rFonts w:cs="Times New Roman"/>
          <w:b/>
          <w:i/>
          <w:color w:val="3E3D40"/>
          <w:sz w:val="32"/>
          <w:szCs w:val="32"/>
        </w:rPr>
        <w:t>PIWI-LIKE 2</w:t>
      </w:r>
      <w:r w:rsidRPr="00ED0AD0">
        <w:rPr>
          <w:rFonts w:cs="Times New Roman"/>
          <w:b/>
          <w:color w:val="3E3D40"/>
          <w:sz w:val="32"/>
          <w:szCs w:val="32"/>
        </w:rPr>
        <w:t xml:space="preserve"> expression in primordial germ cell tumor cell lines by promoter methylation</w:t>
      </w:r>
    </w:p>
    <w:p w14:paraId="5D87D726" w14:textId="77777777" w:rsidR="00ED0AD0" w:rsidRPr="00ED0AD0" w:rsidRDefault="00ED0AD0" w:rsidP="00ED0AD0">
      <w:pPr>
        <w:jc w:val="both"/>
        <w:rPr>
          <w:rFonts w:cs="Times New Roman"/>
          <w:b/>
          <w:szCs w:val="24"/>
        </w:rPr>
      </w:pPr>
      <w:r w:rsidRPr="00ED0AD0">
        <w:rPr>
          <w:rFonts w:cs="Times New Roman"/>
          <w:b/>
          <w:szCs w:val="24"/>
        </w:rPr>
        <w:t>Maria Giebler, Thomas Greither, Hermann M. Behre</w:t>
      </w:r>
      <w:r>
        <w:rPr>
          <w:rFonts w:cs="Times New Roman"/>
          <w:b/>
          <w:szCs w:val="24"/>
        </w:rPr>
        <w:t>*</w:t>
      </w:r>
    </w:p>
    <w:p w14:paraId="3F55A200" w14:textId="77777777" w:rsidR="002868E2" w:rsidRPr="00994A3D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Pr="00994A3D">
        <w:rPr>
          <w:rFonts w:cs="Times New Roman"/>
        </w:rPr>
        <w:t>Corresponding Author</w:t>
      </w:r>
      <w:r w:rsidR="00994A3D" w:rsidRPr="00994A3D">
        <w:rPr>
          <w:rFonts w:cs="Times New Roman"/>
        </w:rPr>
        <w:t xml:space="preserve">: </w:t>
      </w:r>
      <w:r w:rsidR="00ED0AD0">
        <w:rPr>
          <w:rFonts w:cs="Times New Roman"/>
        </w:rPr>
        <w:t>hermann.behre</w:t>
      </w:r>
      <w:r w:rsidR="00D64059">
        <w:rPr>
          <w:rFonts w:cs="Times New Roman"/>
        </w:rPr>
        <w:t>@medizin.uni-halle.de</w:t>
      </w:r>
    </w:p>
    <w:p w14:paraId="5334AD18" w14:textId="77777777" w:rsidR="00211AF5" w:rsidRDefault="00211AF5" w:rsidP="00211AF5">
      <w:pPr>
        <w:keepNext/>
        <w:rPr>
          <w:rFonts w:cs="Times New Roman"/>
          <w:szCs w:val="24"/>
        </w:rPr>
      </w:pPr>
    </w:p>
    <w:p w14:paraId="26E15C6B" w14:textId="77777777" w:rsidR="00211AF5" w:rsidRDefault="00211AF5" w:rsidP="00211AF5">
      <w:pPr>
        <w:keepNext/>
        <w:rPr>
          <w:rFonts w:cs="Times New Roman"/>
          <w:szCs w:val="24"/>
        </w:rPr>
      </w:pPr>
    </w:p>
    <w:p w14:paraId="2EA34186" w14:textId="77777777" w:rsidR="00211AF5" w:rsidRDefault="00211AF5" w:rsidP="00211AF5">
      <w:pPr>
        <w:keepNext/>
        <w:rPr>
          <w:rFonts w:cs="Times New Roman"/>
          <w:szCs w:val="24"/>
        </w:rPr>
      </w:pPr>
    </w:p>
    <w:p w14:paraId="4815848D" w14:textId="77777777" w:rsidR="00211AF5" w:rsidRDefault="00211AF5" w:rsidP="00211AF5">
      <w:pPr>
        <w:keepNext/>
        <w:rPr>
          <w:rFonts w:cs="Times New Roman"/>
          <w:szCs w:val="24"/>
        </w:rPr>
      </w:pPr>
    </w:p>
    <w:p w14:paraId="7C8AEB03" w14:textId="18378016" w:rsidR="00D64059" w:rsidRPr="00567E22" w:rsidRDefault="00567E22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24398E28" wp14:editId="0065AAAF">
            <wp:extent cx="6078345" cy="500062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2001" cy="500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D177" w14:textId="7CDA7175" w:rsidR="00FB434F" w:rsidRDefault="00211AF5" w:rsidP="00FB434F">
      <w:pPr>
        <w:keepNext/>
        <w:spacing w:after="120"/>
        <w:jc w:val="both"/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9241C9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Effects of a </w:t>
      </w:r>
      <w:r w:rsidRPr="006A5024">
        <w:rPr>
          <w:i/>
        </w:rPr>
        <w:t xml:space="preserve">PIWI-LIKE 2 </w:t>
      </w:r>
      <w:proofErr w:type="gramStart"/>
      <w:r>
        <w:t>knockdown</w:t>
      </w:r>
      <w:proofErr w:type="gramEnd"/>
      <w:r>
        <w:t xml:space="preserve"> on cell number </w:t>
      </w:r>
      <w:r w:rsidRPr="00CB1C63">
        <w:rPr>
          <w:b/>
        </w:rPr>
        <w:t>(A),</w:t>
      </w:r>
      <w:r>
        <w:t xml:space="preserve"> </w:t>
      </w:r>
      <w:r w:rsidR="002A289B">
        <w:t>vitality</w:t>
      </w:r>
      <w:r>
        <w:t xml:space="preserve"> </w:t>
      </w:r>
      <w:r w:rsidRPr="00CB1C63">
        <w:rPr>
          <w:b/>
        </w:rPr>
        <w:t>(B),</w:t>
      </w:r>
      <w:r>
        <w:t xml:space="preserve"> </w:t>
      </w:r>
      <w:r w:rsidR="002A289B">
        <w:t>proliferation</w:t>
      </w:r>
      <w:r>
        <w:t xml:space="preserve"> </w:t>
      </w:r>
      <w:r w:rsidRPr="00CB1C63">
        <w:rPr>
          <w:b/>
        </w:rPr>
        <w:t>(C)</w:t>
      </w:r>
      <w:r>
        <w:t xml:space="preserve"> and apoptosis induction </w:t>
      </w:r>
      <w:r w:rsidRPr="00CB1C63">
        <w:rPr>
          <w:b/>
        </w:rPr>
        <w:t>(D)</w:t>
      </w:r>
      <w:r>
        <w:t xml:space="preserve"> of NT2/D1 and TCam-2 cells in comparison to an untreated control</w:t>
      </w:r>
      <w:r w:rsidR="00FB434F">
        <w:t xml:space="preserve"> of the respective cell line</w:t>
      </w:r>
      <w:r>
        <w:t xml:space="preserve"> (</w:t>
      </w:r>
      <w:r w:rsidRPr="00DF5528">
        <w:t>d</w:t>
      </w:r>
      <w:r w:rsidR="00DC2DC3" w:rsidRPr="00DF5528">
        <w:t>ashed</w:t>
      </w:r>
      <w:r>
        <w:t xml:space="preserve"> line). </w:t>
      </w:r>
      <w:r w:rsidRPr="00CB1C63">
        <w:rPr>
          <w:b/>
        </w:rPr>
        <w:t>(A)</w:t>
      </w:r>
      <w:r>
        <w:t xml:space="preserve"> </w:t>
      </w:r>
      <w:r w:rsidRPr="00CB1C63">
        <w:rPr>
          <w:b/>
        </w:rPr>
        <w:t>Number of cells</w:t>
      </w:r>
      <w:r>
        <w:t xml:space="preserve"> after </w:t>
      </w:r>
      <w:r w:rsidRPr="00CB1C63">
        <w:rPr>
          <w:i/>
        </w:rPr>
        <w:t>PIWI-LIKE 2</w:t>
      </w:r>
      <w:r>
        <w:t xml:space="preserve"> </w:t>
      </w:r>
      <w:proofErr w:type="gramStart"/>
      <w:r>
        <w:t>knockdown</w:t>
      </w:r>
      <w:proofErr w:type="gramEnd"/>
      <w:r>
        <w:t xml:space="preserve"> w</w:t>
      </w:r>
      <w:r w:rsidR="00FB434F">
        <w:t>as</w:t>
      </w:r>
      <w:r>
        <w:t xml:space="preserve"> measured after 48 h of cultivation of 200</w:t>
      </w:r>
      <w:r w:rsidR="00783614">
        <w:t>,</w:t>
      </w:r>
      <w:r>
        <w:t xml:space="preserve">000 cells in a Countess Cell counter (Invitrogen) subsequent to incubation with Trypan blue stain (Invitrogen). Both cell lines exhibited a slight, but significant decrease in cell number after </w:t>
      </w:r>
      <w:r w:rsidRPr="00CB1C63">
        <w:rPr>
          <w:i/>
        </w:rPr>
        <w:t>PIWI-LIKE 2</w:t>
      </w:r>
      <w:r>
        <w:t xml:space="preserve"> </w:t>
      </w:r>
      <w:proofErr w:type="gramStart"/>
      <w:r>
        <w:t>knockdown</w:t>
      </w:r>
      <w:proofErr w:type="gramEnd"/>
      <w:r>
        <w:t xml:space="preserve"> (NT2/D1: </w:t>
      </w:r>
      <w:r w:rsidR="002A289B">
        <w:noBreakHyphen/>
        <w:t>25.7</w:t>
      </w:r>
      <w:r w:rsidR="007D564E">
        <w:t xml:space="preserve"> </w:t>
      </w:r>
      <w:r>
        <w:t>%; TCam-2: -10</w:t>
      </w:r>
      <w:r w:rsidR="002A289B">
        <w:t>.5</w:t>
      </w:r>
      <w:r w:rsidR="007D564E">
        <w:t xml:space="preserve"> </w:t>
      </w:r>
      <w:r>
        <w:t>%, in comparison to untreated control</w:t>
      </w:r>
      <w:r w:rsidR="00FB434F">
        <w:t>s</w:t>
      </w:r>
      <w:r w:rsidR="00DC2DC3">
        <w:t>).</w:t>
      </w:r>
      <w:r w:rsidR="00DF5528">
        <w:t xml:space="preserve"> </w:t>
      </w:r>
      <w:r w:rsidRPr="00DC2DC3">
        <w:rPr>
          <w:b/>
        </w:rPr>
        <w:t>(</w:t>
      </w:r>
      <w:r w:rsidR="002A289B" w:rsidRPr="00DC2DC3">
        <w:rPr>
          <w:b/>
        </w:rPr>
        <w:t>B</w:t>
      </w:r>
      <w:r w:rsidRPr="00DC2DC3">
        <w:rPr>
          <w:b/>
        </w:rPr>
        <w:t>)</w:t>
      </w:r>
      <w:r>
        <w:t xml:space="preserve"> </w:t>
      </w:r>
      <w:r w:rsidRPr="00CB1C63">
        <w:rPr>
          <w:b/>
        </w:rPr>
        <w:t>Cell vitality:</w:t>
      </w:r>
      <w:r>
        <w:t xml:space="preserve"> Cells with </w:t>
      </w:r>
      <w:r w:rsidRPr="00CB1C63">
        <w:rPr>
          <w:i/>
        </w:rPr>
        <w:t>PIWI-LIKE 2</w:t>
      </w:r>
      <w:r>
        <w:t xml:space="preserve"> </w:t>
      </w:r>
      <w:proofErr w:type="gramStart"/>
      <w:r>
        <w:t>knockdown</w:t>
      </w:r>
      <w:proofErr w:type="gramEnd"/>
      <w:r>
        <w:t xml:space="preserve"> were cultured for 48 h and when fixed by trichlor</w:t>
      </w:r>
      <w:r w:rsidR="00FB434F">
        <w:t>oacetic acid (</w:t>
      </w:r>
      <w:proofErr w:type="spellStart"/>
      <w:r w:rsidR="00FB434F">
        <w:t>Applichem</w:t>
      </w:r>
      <w:proofErr w:type="spellEnd"/>
      <w:r w:rsidR="00FB434F">
        <w:t>)</w:t>
      </w:r>
      <w:r>
        <w:t>. Fixed cells were stained with 4.</w:t>
      </w:r>
      <w:r w:rsidRPr="00DC2DC3">
        <w:t>4%</w:t>
      </w:r>
      <w:r>
        <w:t xml:space="preserve"> </w:t>
      </w:r>
      <w:proofErr w:type="spellStart"/>
      <w:r>
        <w:t>sulforhodamine</w:t>
      </w:r>
      <w:proofErr w:type="spellEnd"/>
      <w:r>
        <w:t xml:space="preserve"> B (SRB</w:t>
      </w:r>
      <w:r w:rsidR="00FB434F">
        <w:t>, Sigma-Aldrich</w:t>
      </w:r>
      <w:r>
        <w:t xml:space="preserve">) solution, washed in </w:t>
      </w:r>
      <w:r w:rsidR="00DC2DC3">
        <w:t>1</w:t>
      </w:r>
      <w:r w:rsidR="00DC2DC3" w:rsidRPr="00DC2DC3">
        <w:t>%</w:t>
      </w:r>
      <w:r w:rsidR="00DC2DC3">
        <w:t xml:space="preserve"> </w:t>
      </w:r>
      <w:r>
        <w:t xml:space="preserve">acetic acid and dried. For the measurement, the SRB stain was eluted in 20 </w:t>
      </w:r>
      <w:proofErr w:type="spellStart"/>
      <w:r>
        <w:t>nM</w:t>
      </w:r>
      <w:proofErr w:type="spellEnd"/>
      <w:r>
        <w:t xml:space="preserve"> Tris, pH 10 and extinction </w:t>
      </w:r>
      <w:r>
        <w:lastRenderedPageBreak/>
        <w:t xml:space="preserve">measured on a </w:t>
      </w:r>
      <w:proofErr w:type="spellStart"/>
      <w:r>
        <w:t>photospectrometer</w:t>
      </w:r>
      <w:proofErr w:type="spellEnd"/>
      <w:r>
        <w:t xml:space="preserve"> at 570 nm. </w:t>
      </w:r>
      <w:r w:rsidRPr="00DF5528">
        <w:t>Both</w:t>
      </w:r>
      <w:r w:rsidR="00DF5528" w:rsidRPr="00DF5528">
        <w:t>,</w:t>
      </w:r>
      <w:r w:rsidRPr="00DF5528">
        <w:t xml:space="preserve"> in</w:t>
      </w:r>
      <w:r>
        <w:t xml:space="preserve"> NT2/D1 and TCam-2, the knockdown of </w:t>
      </w:r>
      <w:r w:rsidRPr="00CB1C63">
        <w:rPr>
          <w:i/>
        </w:rPr>
        <w:t>PIWI-LIKE 2</w:t>
      </w:r>
      <w:r>
        <w:t xml:space="preserve"> resulted in a significant reduction of cell vitality (NT2/D1: -</w:t>
      </w:r>
      <w:r w:rsidR="002A289B">
        <w:t>62.9</w:t>
      </w:r>
      <w:r w:rsidR="007D564E">
        <w:t xml:space="preserve"> </w:t>
      </w:r>
      <w:r>
        <w:t>%, TCam-2: -</w:t>
      </w:r>
      <w:r w:rsidR="002A289B">
        <w:t>30.6</w:t>
      </w:r>
      <w:r w:rsidR="007D564E">
        <w:t xml:space="preserve"> </w:t>
      </w:r>
      <w:r>
        <w:t>%, in comparison to untreated control</w:t>
      </w:r>
      <w:r w:rsidR="00FB434F">
        <w:t>s</w:t>
      </w:r>
      <w:r>
        <w:t xml:space="preserve">). </w:t>
      </w:r>
      <w:r w:rsidR="002A289B" w:rsidRPr="00CB1C63">
        <w:rPr>
          <w:b/>
        </w:rPr>
        <w:t>(</w:t>
      </w:r>
      <w:r w:rsidR="002A289B">
        <w:rPr>
          <w:b/>
        </w:rPr>
        <w:t>C</w:t>
      </w:r>
      <w:r w:rsidR="002A289B" w:rsidRPr="00CB1C63">
        <w:rPr>
          <w:b/>
        </w:rPr>
        <w:t>)</w:t>
      </w:r>
      <w:r w:rsidR="002A289B">
        <w:t xml:space="preserve"> </w:t>
      </w:r>
      <w:r w:rsidR="002A289B" w:rsidRPr="00CB1C63">
        <w:rPr>
          <w:b/>
        </w:rPr>
        <w:t>Proliferation of cells</w:t>
      </w:r>
      <w:r w:rsidR="002A289B">
        <w:t xml:space="preserve"> with </w:t>
      </w:r>
      <w:r w:rsidR="002A289B" w:rsidRPr="00CB1C63">
        <w:rPr>
          <w:i/>
        </w:rPr>
        <w:t>PIWI-LIKE 2</w:t>
      </w:r>
      <w:r w:rsidR="002A289B">
        <w:t xml:space="preserve"> </w:t>
      </w:r>
      <w:proofErr w:type="gramStart"/>
      <w:r w:rsidR="002A289B">
        <w:t>knockdown</w:t>
      </w:r>
      <w:proofErr w:type="gramEnd"/>
      <w:r w:rsidR="002A289B">
        <w:t xml:space="preserve"> w</w:t>
      </w:r>
      <w:r w:rsidR="00BF28AC">
        <w:t>as</w:t>
      </w:r>
      <w:r w:rsidR="002A289B">
        <w:t xml:space="preserve"> measured by MTT assay (Promega). After 48 h of cultivation, cells were treated with 15 µl MTT dye solution, incubated for 4 h at </w:t>
      </w:r>
      <w:r w:rsidR="002A289B" w:rsidRPr="00DC2DC3">
        <w:t>37°C</w:t>
      </w:r>
      <w:r w:rsidR="002A289B">
        <w:t xml:space="preserve"> and then treated with a solubilization/stop solution. The concentration of the formazan product was quantified at 570 nm at a photometer. Both cell lines exhibited a significant decrease in cell proliferation upon </w:t>
      </w:r>
      <w:r w:rsidR="002A289B" w:rsidRPr="00CB1C63">
        <w:rPr>
          <w:i/>
        </w:rPr>
        <w:t>PIWI-LIKE 2</w:t>
      </w:r>
      <w:r w:rsidR="002A289B">
        <w:t xml:space="preserve"> </w:t>
      </w:r>
      <w:proofErr w:type="gramStart"/>
      <w:r w:rsidR="002A289B">
        <w:t>knockdown</w:t>
      </w:r>
      <w:proofErr w:type="gramEnd"/>
      <w:r w:rsidR="002A289B">
        <w:t xml:space="preserve"> (NT2/D1: -48.2</w:t>
      </w:r>
      <w:r w:rsidR="007D564E">
        <w:t xml:space="preserve"> </w:t>
      </w:r>
      <w:r w:rsidR="002A289B">
        <w:t>%, TCam-2: -19.6</w:t>
      </w:r>
      <w:r w:rsidR="007D564E">
        <w:t xml:space="preserve"> </w:t>
      </w:r>
      <w:r w:rsidR="002A289B">
        <w:t>%; in comparison to untreated control</w:t>
      </w:r>
      <w:r w:rsidR="00FB434F">
        <w:t>s</w:t>
      </w:r>
      <w:r w:rsidR="002A289B">
        <w:t>).</w:t>
      </w:r>
      <w:r w:rsidR="002A289B" w:rsidRPr="008E525F">
        <w:rPr>
          <w:b/>
        </w:rPr>
        <w:t xml:space="preserve"> </w:t>
      </w:r>
      <w:r w:rsidRPr="008E525F">
        <w:rPr>
          <w:b/>
        </w:rPr>
        <w:t>(D) Apoptosis</w:t>
      </w:r>
      <w:r>
        <w:t xml:space="preserve"> induction was quantified by caspase 3/7-glo assay (Promega). Cells with </w:t>
      </w:r>
      <w:r w:rsidRPr="002A289B">
        <w:rPr>
          <w:i/>
        </w:rPr>
        <w:t>PIWI-LIKE 2</w:t>
      </w:r>
      <w:r>
        <w:t xml:space="preserve"> </w:t>
      </w:r>
      <w:proofErr w:type="gramStart"/>
      <w:r>
        <w:t>knockdown</w:t>
      </w:r>
      <w:proofErr w:type="gramEnd"/>
      <w:r>
        <w:t xml:space="preserve"> were cultured for 48 h, than treated with caspase 3/7 substrate solution. Luminescence was measured on </w:t>
      </w:r>
      <w:r w:rsidR="00FB434F">
        <w:t xml:space="preserve">a </w:t>
      </w:r>
      <w:r>
        <w:t xml:space="preserve">photometer 20 minutes after substrate addition. Both </w:t>
      </w:r>
      <w:r w:rsidRPr="00FB434F">
        <w:rPr>
          <w:i/>
        </w:rPr>
        <w:t xml:space="preserve">PIWI-LIKE </w:t>
      </w:r>
      <w:r w:rsidR="00BF28AC" w:rsidRPr="00FB434F">
        <w:rPr>
          <w:i/>
        </w:rPr>
        <w:t>2</w:t>
      </w:r>
      <w:r w:rsidR="00BF28AC">
        <w:t xml:space="preserve"> knockdown cell lines showed a</w:t>
      </w:r>
      <w:r>
        <w:t xml:space="preserve"> significant apoptosis induction (NT2/D1: +13</w:t>
      </w:r>
      <w:r w:rsidR="00BF28AC">
        <w:t>51</w:t>
      </w:r>
      <w:r w:rsidR="007D564E">
        <w:t xml:space="preserve"> </w:t>
      </w:r>
      <w:r>
        <w:t>%, TCam-2: +7</w:t>
      </w:r>
      <w:r w:rsidR="00BF28AC">
        <w:t>16</w:t>
      </w:r>
      <w:r w:rsidR="007D564E">
        <w:t xml:space="preserve"> </w:t>
      </w:r>
      <w:bookmarkStart w:id="0" w:name="_GoBack"/>
      <w:bookmarkEnd w:id="0"/>
      <w:r>
        <w:t>%, in comparison to untreated control</w:t>
      </w:r>
      <w:r w:rsidR="00FB434F">
        <w:t>s</w:t>
      </w:r>
      <w:r>
        <w:t xml:space="preserve">). </w:t>
      </w:r>
    </w:p>
    <w:p w14:paraId="1B7EBA58" w14:textId="79B982D0" w:rsidR="00211AF5" w:rsidRPr="00D64059" w:rsidRDefault="00211AF5" w:rsidP="00FB434F">
      <w:pPr>
        <w:keepNext/>
        <w:spacing w:after="120"/>
        <w:jc w:val="both"/>
      </w:pPr>
      <w:r>
        <w:t>Student’s t-test, n = 3; *p &lt;0.05, **p&lt;0.01; Abbreviation: RL</w:t>
      </w:r>
      <w:r w:rsidR="002A289B">
        <w:t>U</w:t>
      </w:r>
      <w:r>
        <w:t xml:space="preserve"> = relative luminescence units</w:t>
      </w:r>
      <w:r w:rsidR="00567E22">
        <w:t>.</w:t>
      </w:r>
    </w:p>
    <w:p w14:paraId="67BF7C09" w14:textId="77777777" w:rsidR="00D64059" w:rsidRDefault="00D64059" w:rsidP="00211AF5">
      <w:pPr>
        <w:keepNext/>
        <w:rPr>
          <w:rFonts w:cs="Times New Roman"/>
          <w:szCs w:val="24"/>
        </w:rPr>
      </w:pPr>
    </w:p>
    <w:p w14:paraId="38065CB5" w14:textId="77777777" w:rsidR="00ED0AD0" w:rsidRDefault="00ED0AD0" w:rsidP="00994A3D">
      <w:pPr>
        <w:keepNext/>
        <w:jc w:val="center"/>
        <w:rPr>
          <w:rFonts w:cs="Times New Roman"/>
          <w:szCs w:val="24"/>
        </w:rPr>
      </w:pPr>
    </w:p>
    <w:p w14:paraId="671F53C2" w14:textId="77777777" w:rsidR="00ED0AD0" w:rsidRDefault="00ED0AD0" w:rsidP="00994A3D">
      <w:pPr>
        <w:keepNext/>
        <w:jc w:val="center"/>
        <w:rPr>
          <w:rFonts w:cs="Times New Roman"/>
          <w:szCs w:val="24"/>
        </w:rPr>
      </w:pPr>
    </w:p>
    <w:p w14:paraId="37DD28AC" w14:textId="77777777" w:rsidR="00ED0AD0" w:rsidRDefault="00ED0AD0" w:rsidP="00994A3D">
      <w:pPr>
        <w:keepNext/>
        <w:jc w:val="center"/>
        <w:rPr>
          <w:rFonts w:cs="Times New Roman"/>
          <w:szCs w:val="24"/>
        </w:rPr>
      </w:pPr>
    </w:p>
    <w:p w14:paraId="3A6E173E" w14:textId="77777777" w:rsidR="00ED0AD0" w:rsidRDefault="00ED0AD0" w:rsidP="00994A3D">
      <w:pPr>
        <w:keepNext/>
        <w:jc w:val="center"/>
        <w:rPr>
          <w:rFonts w:cs="Times New Roman"/>
          <w:szCs w:val="24"/>
        </w:rPr>
      </w:pPr>
    </w:p>
    <w:p w14:paraId="2C7E6750" w14:textId="77777777" w:rsidR="008E525F" w:rsidRDefault="008E525F" w:rsidP="008E525F">
      <w:pPr>
        <w:keepNext/>
        <w:jc w:val="both"/>
        <w:rPr>
          <w:rFonts w:cs="Times New Roman"/>
          <w:szCs w:val="24"/>
        </w:rPr>
      </w:pPr>
    </w:p>
    <w:p w14:paraId="084E2DF9" w14:textId="77777777" w:rsidR="008E525F" w:rsidRDefault="008E525F" w:rsidP="008E525F">
      <w:pPr>
        <w:keepNext/>
        <w:jc w:val="both"/>
        <w:rPr>
          <w:rFonts w:cs="Times New Roman"/>
          <w:szCs w:val="24"/>
        </w:rPr>
      </w:pPr>
    </w:p>
    <w:p w14:paraId="3A466EFE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3B1CCF54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5B4AA72D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59FC4522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3DF516BF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7E767EB7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22E830D0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40A558A1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2245F3C1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70A4EFBA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028DB0C1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10C28B19" w14:textId="77777777" w:rsidR="00FF23B7" w:rsidRDefault="00FF23B7" w:rsidP="008E525F">
      <w:pPr>
        <w:keepNext/>
        <w:jc w:val="both"/>
        <w:rPr>
          <w:rFonts w:cs="Times New Roman"/>
          <w:szCs w:val="24"/>
        </w:rPr>
      </w:pPr>
    </w:p>
    <w:p w14:paraId="125EED4B" w14:textId="4F4ADB78" w:rsidR="00FF23B7" w:rsidRPr="00567E22" w:rsidRDefault="00567E22" w:rsidP="008E525F">
      <w:pPr>
        <w:keepNext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5D2761F" wp14:editId="4B3397E1">
            <wp:extent cx="6612066" cy="35052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966" cy="350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20AFE" w14:textId="612297AC" w:rsidR="00083F7D" w:rsidRDefault="00083F7D" w:rsidP="008E525F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t xml:space="preserve">Knockdown efficiency of </w:t>
      </w:r>
      <w:r w:rsidRPr="00FB2B12">
        <w:rPr>
          <w:i/>
        </w:rPr>
        <w:t>PIWI-LIKE 2</w:t>
      </w:r>
      <w:r>
        <w:t xml:space="preserve"> in NT2/D1 and TCam-2 cells on mRNA </w:t>
      </w:r>
      <w:r w:rsidRPr="00083F7D">
        <w:rPr>
          <w:b/>
        </w:rPr>
        <w:t>(A)</w:t>
      </w:r>
      <w:r>
        <w:t xml:space="preserve"> and protein </w:t>
      </w:r>
      <w:r w:rsidRPr="00083F7D">
        <w:rPr>
          <w:b/>
        </w:rPr>
        <w:t>(</w:t>
      </w:r>
      <w:proofErr w:type="gramStart"/>
      <w:r w:rsidRPr="00083F7D">
        <w:rPr>
          <w:b/>
        </w:rPr>
        <w:t>B,C</w:t>
      </w:r>
      <w:proofErr w:type="gramEnd"/>
      <w:r w:rsidRPr="00083F7D">
        <w:rPr>
          <w:b/>
        </w:rPr>
        <w:t>)</w:t>
      </w:r>
      <w:r>
        <w:t xml:space="preserve"> level. </w:t>
      </w:r>
      <w:r w:rsidRPr="00FB2B12">
        <w:rPr>
          <w:b/>
        </w:rPr>
        <w:t>(A)</w:t>
      </w:r>
      <w:r>
        <w:t xml:space="preserve"> mRNA expression of </w:t>
      </w:r>
      <w:r w:rsidRPr="00FB2B12">
        <w:rPr>
          <w:i/>
        </w:rPr>
        <w:t>PIWI-LIKE 2</w:t>
      </w:r>
      <w:r>
        <w:t xml:space="preserve"> was measured by quantitative real-time PCR (qPCR). While </w:t>
      </w:r>
      <w:r w:rsidRPr="00FB2B12">
        <w:rPr>
          <w:i/>
        </w:rPr>
        <w:t>PIWI-LIKE 2</w:t>
      </w:r>
      <w:r>
        <w:t xml:space="preserve"> transcripts were significantly downregulated in NT2/D1, a 2fold induction of </w:t>
      </w:r>
      <w:r w:rsidRPr="00FB2B12">
        <w:rPr>
          <w:i/>
        </w:rPr>
        <w:t>PIWI-LIKE 2</w:t>
      </w:r>
      <w:r>
        <w:t xml:space="preserve"> transcripts was detected in TCam-2. </w:t>
      </w:r>
      <w:r w:rsidR="00FB2B12" w:rsidRPr="00FB2B12">
        <w:rPr>
          <w:b/>
        </w:rPr>
        <w:t>(B,C)</w:t>
      </w:r>
      <w:r w:rsidR="00FB2B12">
        <w:t xml:space="preserve"> </w:t>
      </w:r>
      <w:r>
        <w:t>However, in Western Blots, the downregulation of the PIWI-LIKE 2</w:t>
      </w:r>
      <w:r w:rsidR="00FB2B12">
        <w:t xml:space="preserve"> protein</w:t>
      </w:r>
      <w:r>
        <w:t xml:space="preserve"> full length variant as well as the </w:t>
      </w:r>
      <w:r w:rsidR="00FB2B12">
        <w:t xml:space="preserve">downregulation of two relevant splice variants (80 </w:t>
      </w:r>
      <w:proofErr w:type="spellStart"/>
      <w:r w:rsidR="00FB2B12">
        <w:t>kDa</w:t>
      </w:r>
      <w:proofErr w:type="spellEnd"/>
      <w:r w:rsidR="00FB2B12">
        <w:t xml:space="preserve"> and 60 </w:t>
      </w:r>
      <w:proofErr w:type="spellStart"/>
      <w:r w:rsidR="00FB2B12">
        <w:t>kDa</w:t>
      </w:r>
      <w:proofErr w:type="spellEnd"/>
      <w:r w:rsidR="00FB2B12">
        <w:t xml:space="preserve">) could be shown in both NT2/D1 and TCam-2. </w:t>
      </w:r>
      <w:r w:rsidR="00082941">
        <w:t xml:space="preserve">** p &lt; 0.01; Student’s t-test; Abbreviations: CO = control; KD = </w:t>
      </w:r>
      <w:r w:rsidR="00082941" w:rsidRPr="00082941">
        <w:rPr>
          <w:i/>
        </w:rPr>
        <w:t>PIWI-LIKE 2</w:t>
      </w:r>
      <w:r w:rsidR="00082941">
        <w:t xml:space="preserve"> knock-down</w:t>
      </w:r>
    </w:p>
    <w:sectPr w:rsidR="00083F7D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560CD" w14:textId="77777777" w:rsidR="0039790A" w:rsidRDefault="0039790A" w:rsidP="00117666">
      <w:pPr>
        <w:spacing w:after="0"/>
      </w:pPr>
      <w:r>
        <w:separator/>
      </w:r>
    </w:p>
  </w:endnote>
  <w:endnote w:type="continuationSeparator" w:id="0">
    <w:p w14:paraId="680319B2" w14:textId="77777777" w:rsidR="0039790A" w:rsidRDefault="0039790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3FE60A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DC9E9E" wp14:editId="5EBDFDA5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2E4E78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2D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C9E9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2E4E78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2DC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F7A29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9B89283" wp14:editId="78D970D2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75C0D3B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DC2DC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8928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375C0D3B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DC2DC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E3F1DF" w14:textId="77777777" w:rsidR="0039790A" w:rsidRDefault="0039790A" w:rsidP="00117666">
      <w:pPr>
        <w:spacing w:after="0"/>
      </w:pPr>
      <w:r>
        <w:separator/>
      </w:r>
    </w:p>
  </w:footnote>
  <w:footnote w:type="continuationSeparator" w:id="0">
    <w:p w14:paraId="3CBFEC74" w14:textId="77777777" w:rsidR="0039790A" w:rsidRDefault="0039790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457AF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BA225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48CA2232" wp14:editId="0D8EC663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4A57"/>
    <w:rsid w:val="0001436A"/>
    <w:rsid w:val="00034304"/>
    <w:rsid w:val="00035434"/>
    <w:rsid w:val="00036852"/>
    <w:rsid w:val="00052A14"/>
    <w:rsid w:val="00077D53"/>
    <w:rsid w:val="00082941"/>
    <w:rsid w:val="00083F7D"/>
    <w:rsid w:val="0010537A"/>
    <w:rsid w:val="00105FD9"/>
    <w:rsid w:val="00117666"/>
    <w:rsid w:val="001549D3"/>
    <w:rsid w:val="00160065"/>
    <w:rsid w:val="00177D84"/>
    <w:rsid w:val="00200C65"/>
    <w:rsid w:val="00211AF5"/>
    <w:rsid w:val="0026777A"/>
    <w:rsid w:val="00267D18"/>
    <w:rsid w:val="002868E2"/>
    <w:rsid w:val="002869C3"/>
    <w:rsid w:val="002936E4"/>
    <w:rsid w:val="002A289B"/>
    <w:rsid w:val="002B4A57"/>
    <w:rsid w:val="002C74CA"/>
    <w:rsid w:val="002F2FDD"/>
    <w:rsid w:val="003544FB"/>
    <w:rsid w:val="0039790A"/>
    <w:rsid w:val="003C4DCB"/>
    <w:rsid w:val="003D2F2D"/>
    <w:rsid w:val="003F54AB"/>
    <w:rsid w:val="00401590"/>
    <w:rsid w:val="00447801"/>
    <w:rsid w:val="00452E9C"/>
    <w:rsid w:val="004735C8"/>
    <w:rsid w:val="004961FF"/>
    <w:rsid w:val="004B325F"/>
    <w:rsid w:val="004C12AF"/>
    <w:rsid w:val="00517A89"/>
    <w:rsid w:val="005250F2"/>
    <w:rsid w:val="00567E22"/>
    <w:rsid w:val="00593EEA"/>
    <w:rsid w:val="005A5EEE"/>
    <w:rsid w:val="006375C7"/>
    <w:rsid w:val="00654E8F"/>
    <w:rsid w:val="00660D05"/>
    <w:rsid w:val="006618FC"/>
    <w:rsid w:val="00671F8F"/>
    <w:rsid w:val="006820B1"/>
    <w:rsid w:val="006965F0"/>
    <w:rsid w:val="006A5024"/>
    <w:rsid w:val="006B1F68"/>
    <w:rsid w:val="006B7D14"/>
    <w:rsid w:val="006C7426"/>
    <w:rsid w:val="00701727"/>
    <w:rsid w:val="0070566C"/>
    <w:rsid w:val="00714C50"/>
    <w:rsid w:val="00725A7D"/>
    <w:rsid w:val="007470C1"/>
    <w:rsid w:val="007501BE"/>
    <w:rsid w:val="00751DF5"/>
    <w:rsid w:val="00783614"/>
    <w:rsid w:val="00790BB3"/>
    <w:rsid w:val="007C206C"/>
    <w:rsid w:val="007D564E"/>
    <w:rsid w:val="00817DD6"/>
    <w:rsid w:val="0086302E"/>
    <w:rsid w:val="00885156"/>
    <w:rsid w:val="008C1BC2"/>
    <w:rsid w:val="008E525F"/>
    <w:rsid w:val="009151AA"/>
    <w:rsid w:val="009241C9"/>
    <w:rsid w:val="0093429D"/>
    <w:rsid w:val="00943573"/>
    <w:rsid w:val="00970F7D"/>
    <w:rsid w:val="00994A3D"/>
    <w:rsid w:val="009C2B12"/>
    <w:rsid w:val="00A174D9"/>
    <w:rsid w:val="00AA662D"/>
    <w:rsid w:val="00AB6715"/>
    <w:rsid w:val="00B1671E"/>
    <w:rsid w:val="00B25EB8"/>
    <w:rsid w:val="00B37F4D"/>
    <w:rsid w:val="00BF28AC"/>
    <w:rsid w:val="00C240FC"/>
    <w:rsid w:val="00C52A7B"/>
    <w:rsid w:val="00C56BAF"/>
    <w:rsid w:val="00C679AA"/>
    <w:rsid w:val="00C75972"/>
    <w:rsid w:val="00CB1C63"/>
    <w:rsid w:val="00CD066B"/>
    <w:rsid w:val="00CE4FEE"/>
    <w:rsid w:val="00D64059"/>
    <w:rsid w:val="00DB59C3"/>
    <w:rsid w:val="00DC259A"/>
    <w:rsid w:val="00DC2DC3"/>
    <w:rsid w:val="00DE23E8"/>
    <w:rsid w:val="00DF5528"/>
    <w:rsid w:val="00E4560A"/>
    <w:rsid w:val="00E52377"/>
    <w:rsid w:val="00E64E17"/>
    <w:rsid w:val="00E866C9"/>
    <w:rsid w:val="00EA3D3C"/>
    <w:rsid w:val="00ED0AD0"/>
    <w:rsid w:val="00ED3A70"/>
    <w:rsid w:val="00EF5BA5"/>
    <w:rsid w:val="00F46900"/>
    <w:rsid w:val="00F61D89"/>
    <w:rsid w:val="00FB2B12"/>
    <w:rsid w:val="00FB434F"/>
    <w:rsid w:val="00FF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DC5F80"/>
  <w15:docId w15:val="{5DCD37FD-3D88-4A45-B226-5EC06B27F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992F6F9-1D40-40FF-8BAB-89615B689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434</Words>
  <Characters>2737</Characters>
  <Application>Microsoft Office Word</Application>
  <DocSecurity>0</DocSecurity>
  <Lines>22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</dc:creator>
  <cp:lastModifiedBy>rep</cp:lastModifiedBy>
  <cp:revision>9</cp:revision>
  <cp:lastPrinted>2018-08-10T18:33:00Z</cp:lastPrinted>
  <dcterms:created xsi:type="dcterms:W3CDTF">2018-08-24T10:10:00Z</dcterms:created>
  <dcterms:modified xsi:type="dcterms:W3CDTF">2018-08-31T10:02:00Z</dcterms:modified>
</cp:coreProperties>
</file>