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8E211B" w:rsidRPr="00376CC5" w:rsidRDefault="008E211B" w:rsidP="008E211B">
      <w:pPr>
        <w:pStyle w:val="Title"/>
      </w:pPr>
      <w:r w:rsidRPr="00642026">
        <w:t xml:space="preserve">Redox-mediated </w:t>
      </w:r>
      <w:r w:rsidR="00504898">
        <w:t>mechanisms fuel monocyte responses to CXCL12/HMGB1 in a</w:t>
      </w:r>
      <w:r w:rsidRPr="00642026">
        <w:t xml:space="preserve">ctive Rheumatoid Arthritis </w:t>
      </w:r>
    </w:p>
    <w:p w:rsidR="008E211B" w:rsidRPr="00642026" w:rsidRDefault="008E211B" w:rsidP="008E211B">
      <w:pPr>
        <w:pStyle w:val="AuthorList"/>
        <w:rPr>
          <w:vertAlign w:val="superscript"/>
        </w:rPr>
      </w:pPr>
      <w:r w:rsidRPr="00642026">
        <w:t>Valentina Cecchinato, Gianluca D’Agostino,</w:t>
      </w:r>
      <w:r w:rsidRPr="00642026">
        <w:rPr>
          <w:vertAlign w:val="superscript"/>
        </w:rPr>
        <w:t xml:space="preserve"> </w:t>
      </w:r>
      <w:r w:rsidRPr="00642026">
        <w:t>Lorenzo Raeli, Alessandra Nerviani,</w:t>
      </w:r>
      <w:r w:rsidRPr="00642026">
        <w:rPr>
          <w:vertAlign w:val="superscript"/>
        </w:rPr>
        <w:t xml:space="preserve"> </w:t>
      </w:r>
      <w:r w:rsidRPr="00642026">
        <w:t>Milena Schiraldi, Gabriela Danelon, Antonio Manzo, Marcus Thelen, Adrian Ciurea, Marco E. Bianchi, Anna Rubartelli, Costantino Pitzalis, and Mariagrazia Uguccioni</w:t>
      </w:r>
      <w:r>
        <w:rPr>
          <w:vertAlign w:val="superscript"/>
        </w:rPr>
        <w:t>*</w:t>
      </w:r>
    </w:p>
    <w:p w:rsidR="008E211B" w:rsidRDefault="002868E2" w:rsidP="008E211B">
      <w:pPr>
        <w:spacing w:before="240"/>
        <w:rPr>
          <w:rFonts w:cs="Times New Roman"/>
          <w:szCs w:val="24"/>
        </w:rPr>
      </w:pPr>
      <w:r w:rsidRPr="00994A3D">
        <w:rPr>
          <w:rFonts w:cs="Times New Roman"/>
          <w:b/>
        </w:rPr>
        <w:t xml:space="preserve">* Correspondence: </w:t>
      </w:r>
      <w:r w:rsidR="008E211B">
        <w:rPr>
          <w:rFonts w:cs="Times New Roman"/>
          <w:szCs w:val="24"/>
        </w:rPr>
        <w:t xml:space="preserve">Dr. Mariagrazia Uguccioni, </w:t>
      </w:r>
      <w:r w:rsidR="008E211B" w:rsidRPr="00642026">
        <w:rPr>
          <w:rFonts w:cs="Times New Roman"/>
          <w:szCs w:val="24"/>
        </w:rPr>
        <w:t>Institute for Research in Biomedicine, Faculty of Biomedical Sciences, Università della Svizzera italiana, Bellinzona, Switzerland</w:t>
      </w:r>
      <w:r w:rsidR="008E211B" w:rsidRPr="00376CC5">
        <w:rPr>
          <w:rFonts w:cs="Times New Roman"/>
          <w:szCs w:val="24"/>
        </w:rPr>
        <w:br/>
      </w:r>
      <w:hyperlink r:id="rId8" w:history="1">
        <w:r w:rsidR="008E211B" w:rsidRPr="00F577FF">
          <w:rPr>
            <w:rStyle w:val="Hyperlink"/>
            <w:rFonts w:cs="Times New Roman"/>
            <w:szCs w:val="24"/>
          </w:rPr>
          <w:t>mariagarzia.uguccioni@irb.usi.ch</w:t>
        </w:r>
      </w:hyperlink>
    </w:p>
    <w:p w:rsidR="008E211B" w:rsidRDefault="008E211B">
      <w:pPr>
        <w:spacing w:before="0"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2868E2" w:rsidRPr="00994A3D" w:rsidRDefault="002868E2" w:rsidP="00994A3D">
      <w:pPr>
        <w:spacing w:before="240" w:after="0"/>
        <w:rPr>
          <w:rFonts w:cs="Times New Roman"/>
        </w:rPr>
      </w:pPr>
    </w:p>
    <w:p w:rsidR="00994A3D" w:rsidRPr="001549D3" w:rsidRDefault="008E211B" w:rsidP="005A3B71">
      <w:pPr>
        <w:pStyle w:val="Heading2"/>
        <w:numPr>
          <w:ilvl w:val="0"/>
          <w:numId w:val="0"/>
        </w:numPr>
        <w:ind w:left="567" w:hanging="567"/>
        <w:jc w:val="center"/>
      </w:pPr>
      <w:r>
        <w:rPr>
          <w:noProof/>
          <w:lang w:val="en-GB" w:eastAsia="en-GB"/>
        </w:rPr>
        <w:drawing>
          <wp:inline distT="0" distB="0" distL="0" distR="0" wp14:anchorId="3FEBDB2B" wp14:editId="5643D464">
            <wp:extent cx="3771143" cy="45910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EV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642" cy="459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62" w:rsidRDefault="00994A3D" w:rsidP="008E211B">
      <w:pPr>
        <w:spacing w:before="0" w:after="0"/>
        <w:jc w:val="both"/>
        <w:rPr>
          <w:rFonts w:eastAsia="Calibri"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504898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8E211B" w:rsidRPr="008E211B">
        <w:rPr>
          <w:rFonts w:eastAsia="Calibri" w:cs="Times New Roman"/>
          <w:szCs w:val="24"/>
          <w:lang w:val="en-GB"/>
        </w:rPr>
        <w:t>Migration induced by the heterocomplex in monocytes from HD upon pro</w:t>
      </w:r>
      <w:r w:rsidR="008E211B" w:rsidRPr="008E211B">
        <w:rPr>
          <w:rFonts w:eastAsia="Calibri" w:cs="Times New Roman"/>
          <w:szCs w:val="24"/>
          <w:lang w:val="en-GB"/>
        </w:rPr>
        <w:noBreakHyphen/>
        <w:t>inflammatory treatment</w:t>
      </w:r>
      <w:r w:rsidR="00E078AA">
        <w:rPr>
          <w:rFonts w:eastAsia="Calibri" w:cs="Times New Roman"/>
          <w:szCs w:val="24"/>
          <w:lang w:val="en-GB"/>
        </w:rPr>
        <w:t>s</w:t>
      </w:r>
      <w:r w:rsidR="008E211B" w:rsidRPr="008E211B">
        <w:rPr>
          <w:rFonts w:eastAsia="Calibri" w:cs="Times New Roman"/>
          <w:szCs w:val="24"/>
          <w:lang w:val="en-GB"/>
        </w:rPr>
        <w:t>.</w:t>
      </w:r>
      <w:r w:rsidR="008E211B">
        <w:rPr>
          <w:rFonts w:eastAsia="Calibri" w:cs="Times New Roman"/>
          <w:szCs w:val="24"/>
          <w:lang w:val="en-GB"/>
        </w:rPr>
        <w:t xml:space="preserve"> </w:t>
      </w:r>
      <w:r w:rsidR="008E211B" w:rsidRPr="003E43A5">
        <w:rPr>
          <w:rFonts w:eastAsia="Calibri" w:cs="Times New Roman"/>
          <w:szCs w:val="24"/>
        </w:rPr>
        <w:t xml:space="preserve">Migration of HD monocytes untreated </w:t>
      </w:r>
      <w:r w:rsidR="008E211B" w:rsidRPr="008E211B">
        <w:rPr>
          <w:rFonts w:eastAsia="Calibri" w:cs="Times New Roman"/>
          <w:b/>
          <w:szCs w:val="24"/>
        </w:rPr>
        <w:t>(A)</w:t>
      </w:r>
      <w:r w:rsidR="008E211B" w:rsidRPr="003E43A5">
        <w:rPr>
          <w:rFonts w:eastAsia="Calibri" w:cs="Times New Roman"/>
          <w:szCs w:val="24"/>
        </w:rPr>
        <w:t xml:space="preserve">, or treated </w:t>
      </w:r>
      <w:r w:rsidR="008E211B">
        <w:rPr>
          <w:rFonts w:eastAsia="Calibri" w:cs="Times New Roman"/>
          <w:szCs w:val="24"/>
        </w:rPr>
        <w:t xml:space="preserve">for 6 h </w:t>
      </w:r>
      <w:r w:rsidR="00E078AA">
        <w:rPr>
          <w:rFonts w:eastAsia="Calibri" w:cs="Times New Roman"/>
          <w:szCs w:val="24"/>
        </w:rPr>
        <w:t>with IL</w:t>
      </w:r>
      <w:r w:rsidR="00E078AA">
        <w:rPr>
          <w:rFonts w:eastAsia="Calibri" w:cs="Times New Roman"/>
          <w:szCs w:val="24"/>
        </w:rPr>
        <w:noBreakHyphen/>
      </w:r>
      <w:r w:rsidR="008E211B" w:rsidRPr="003E43A5">
        <w:rPr>
          <w:rFonts w:eastAsia="Calibri" w:cs="Times New Roman"/>
          <w:szCs w:val="24"/>
        </w:rPr>
        <w:t xml:space="preserve">1β </w:t>
      </w:r>
      <w:r w:rsidR="008E211B" w:rsidRPr="008E211B">
        <w:rPr>
          <w:rFonts w:eastAsia="Calibri" w:cs="Times New Roman"/>
          <w:b/>
          <w:szCs w:val="24"/>
        </w:rPr>
        <w:t>(B)</w:t>
      </w:r>
      <w:r w:rsidR="008E211B">
        <w:rPr>
          <w:rFonts w:eastAsia="Calibri" w:cs="Times New Roman"/>
          <w:szCs w:val="24"/>
        </w:rPr>
        <w:t>, IL</w:t>
      </w:r>
      <w:r w:rsidR="008E211B">
        <w:rPr>
          <w:rFonts w:eastAsia="Calibri" w:cs="Times New Roman"/>
          <w:szCs w:val="24"/>
        </w:rPr>
        <w:noBreakHyphen/>
        <w:t>6 </w:t>
      </w:r>
      <w:r w:rsidR="008E211B" w:rsidRPr="008E211B">
        <w:rPr>
          <w:rFonts w:eastAsia="Calibri" w:cs="Times New Roman"/>
          <w:b/>
          <w:szCs w:val="24"/>
        </w:rPr>
        <w:t>(C)</w:t>
      </w:r>
      <w:r w:rsidR="008E211B" w:rsidRPr="003E43A5">
        <w:rPr>
          <w:rFonts w:eastAsia="Calibri" w:cs="Times New Roman"/>
          <w:szCs w:val="24"/>
        </w:rPr>
        <w:t xml:space="preserve"> or PGE</w:t>
      </w:r>
      <w:r w:rsidR="008E211B" w:rsidRPr="003E43A5">
        <w:rPr>
          <w:rFonts w:eastAsia="Calibri" w:cs="Times New Roman"/>
          <w:szCs w:val="24"/>
          <w:vertAlign w:val="subscript"/>
        </w:rPr>
        <w:t>2</w:t>
      </w:r>
      <w:r w:rsidR="008E211B" w:rsidRPr="003E43A5">
        <w:rPr>
          <w:rFonts w:eastAsia="Calibri" w:cs="Times New Roman"/>
          <w:szCs w:val="24"/>
        </w:rPr>
        <w:t xml:space="preserve"> </w:t>
      </w:r>
      <w:r w:rsidR="008E211B" w:rsidRPr="008E211B">
        <w:rPr>
          <w:rFonts w:eastAsia="Calibri" w:cs="Times New Roman"/>
          <w:b/>
          <w:szCs w:val="24"/>
        </w:rPr>
        <w:t>(D)</w:t>
      </w:r>
      <w:r w:rsidR="008E211B" w:rsidRPr="003E43A5">
        <w:rPr>
          <w:rFonts w:eastAsia="Calibri" w:cs="Times New Roman"/>
          <w:szCs w:val="24"/>
        </w:rPr>
        <w:t>, in response to increasing concentrations of CXCL12 in the absence or presence of 150 nM HMGB1</w:t>
      </w:r>
      <w:r w:rsidR="00E078AA">
        <w:rPr>
          <w:rFonts w:eastAsia="Calibri" w:cs="Times New Roman"/>
          <w:szCs w:val="24"/>
        </w:rPr>
        <w:t>.</w:t>
      </w:r>
      <w:r w:rsidR="008E211B" w:rsidRPr="008E211B">
        <w:rPr>
          <w:rFonts w:eastAsia="Calibri" w:cs="Times New Roman"/>
          <w:szCs w:val="24"/>
        </w:rPr>
        <w:t xml:space="preserve"> </w:t>
      </w:r>
      <w:r w:rsidR="008E211B" w:rsidRPr="001C4E98">
        <w:rPr>
          <w:rFonts w:eastAsia="Calibri" w:cs="Times New Roman"/>
          <w:szCs w:val="24"/>
        </w:rPr>
        <w:t>All data are presented as mean±SEM of mig</w:t>
      </w:r>
      <w:r w:rsidR="005F5C62">
        <w:rPr>
          <w:rFonts w:eastAsia="Calibri" w:cs="Times New Roman"/>
          <w:szCs w:val="24"/>
        </w:rPr>
        <w:t xml:space="preserve">rated cells in 5HPF in at least </w:t>
      </w:r>
      <w:r w:rsidR="008E211B" w:rsidRPr="001C4E98">
        <w:rPr>
          <w:rFonts w:eastAsia="Calibri" w:cs="Times New Roman"/>
          <w:szCs w:val="24"/>
        </w:rPr>
        <w:t>3 independent experiments performed wit</w:t>
      </w:r>
      <w:r w:rsidR="008E211B">
        <w:rPr>
          <w:rFonts w:eastAsia="Calibri" w:cs="Times New Roman"/>
          <w:szCs w:val="24"/>
        </w:rPr>
        <w:t xml:space="preserve">h cells from different donors. </w:t>
      </w:r>
    </w:p>
    <w:p w:rsidR="008E211B" w:rsidRPr="001C4E98" w:rsidRDefault="008E211B" w:rsidP="008E211B">
      <w:pPr>
        <w:spacing w:before="0" w:after="0"/>
        <w:jc w:val="both"/>
        <w:rPr>
          <w:rFonts w:eastAsia="Calibri" w:cs="Times New Roman"/>
          <w:szCs w:val="24"/>
        </w:rPr>
      </w:pPr>
      <w:r w:rsidRPr="001C4E98">
        <w:rPr>
          <w:rFonts w:eastAsia="Calibri" w:cs="Times New Roman"/>
          <w:szCs w:val="24"/>
        </w:rPr>
        <w:t xml:space="preserve">**p&lt;0.01, ****p&lt;0.0001 using two-way ANOVA plus Bonferroni’s adjustment.  </w:t>
      </w:r>
    </w:p>
    <w:p w:rsidR="00994A3D" w:rsidRPr="002B4A57" w:rsidRDefault="008E211B" w:rsidP="005A3B71">
      <w:pPr>
        <w:spacing w:before="0" w:after="0"/>
        <w:jc w:val="both"/>
        <w:rPr>
          <w:rFonts w:cs="Times New Roman"/>
          <w:b/>
          <w:szCs w:val="24"/>
        </w:rPr>
      </w:pPr>
      <w:r w:rsidRPr="003E43A5">
        <w:rPr>
          <w:rFonts w:eastAsia="Calibri" w:cs="Times New Roman"/>
          <w:szCs w:val="24"/>
        </w:rPr>
        <w:t xml:space="preserve"> </w:t>
      </w:r>
    </w:p>
    <w:p w:rsidR="005A3B71" w:rsidRDefault="005A3B71">
      <w:pPr>
        <w:spacing w:before="0" w:after="200" w:line="276" w:lineRule="auto"/>
      </w:pPr>
      <w:r>
        <w:br w:type="page"/>
      </w:r>
    </w:p>
    <w:p w:rsidR="00DE23E8" w:rsidRDefault="005A3B71" w:rsidP="005A3B71">
      <w:pPr>
        <w:spacing w:before="240"/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6076950" cy="420728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EV2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598" cy="42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B71" w:rsidRPr="008601BA" w:rsidRDefault="005A3B71" w:rsidP="005A3B71">
      <w:pPr>
        <w:spacing w:before="0" w:after="0"/>
        <w:jc w:val="both"/>
        <w:rPr>
          <w:rFonts w:eastAsia="Calibri"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8601BA">
        <w:rPr>
          <w:rFonts w:eastAsia="Calibri" w:cs="Times New Roman"/>
          <w:szCs w:val="24"/>
        </w:rPr>
        <w:t>Monocytes from HD treated with 1 nM PGE</w:t>
      </w:r>
      <w:r w:rsidRPr="008601BA">
        <w:rPr>
          <w:rFonts w:eastAsia="Calibri" w:cs="Times New Roman"/>
          <w:szCs w:val="24"/>
          <w:vertAlign w:val="subscript"/>
        </w:rPr>
        <w:t>2</w:t>
      </w:r>
      <w:r w:rsidRPr="008601BA">
        <w:rPr>
          <w:rFonts w:eastAsia="Calibri" w:cs="Times New Roman"/>
          <w:szCs w:val="24"/>
        </w:rPr>
        <w:t xml:space="preserve"> reduce the</w:t>
      </w:r>
      <w:r w:rsidR="005F5C62">
        <w:rPr>
          <w:rFonts w:eastAsia="Calibri" w:cs="Times New Roman"/>
          <w:szCs w:val="24"/>
        </w:rPr>
        <w:t>ir</w:t>
      </w:r>
      <w:r w:rsidRPr="008601BA">
        <w:rPr>
          <w:rFonts w:eastAsia="Calibri" w:cs="Times New Roman"/>
          <w:szCs w:val="24"/>
        </w:rPr>
        <w:t xml:space="preserve"> glycolytic metabolism</w:t>
      </w:r>
      <w:r w:rsidR="005F5C62">
        <w:rPr>
          <w:rFonts w:eastAsia="Calibri" w:cs="Times New Roman"/>
          <w:szCs w:val="24"/>
        </w:rPr>
        <w:t>,</w:t>
      </w:r>
      <w:r w:rsidRPr="008601BA">
        <w:rPr>
          <w:rFonts w:eastAsia="Calibri" w:cs="Times New Roman"/>
          <w:szCs w:val="24"/>
        </w:rPr>
        <w:t xml:space="preserve"> without changing the oxygen consumption rate (OCR). Extracellular flux analyses in monocytes from HD untreated or treated with PGE</w:t>
      </w:r>
      <w:r w:rsidRPr="008601BA">
        <w:rPr>
          <w:rFonts w:eastAsia="Calibri" w:cs="Times New Roman"/>
          <w:szCs w:val="24"/>
          <w:vertAlign w:val="subscript"/>
        </w:rPr>
        <w:t xml:space="preserve">2 </w:t>
      </w:r>
      <w:r w:rsidRPr="008601BA">
        <w:rPr>
          <w:rFonts w:eastAsia="Calibri" w:cs="Times New Roman"/>
          <w:szCs w:val="24"/>
        </w:rPr>
        <w:t xml:space="preserve">were analyzed. </w:t>
      </w:r>
      <w:r w:rsidRPr="005A3B71">
        <w:rPr>
          <w:rFonts w:eastAsia="Calibri" w:cs="Times New Roman"/>
          <w:b/>
          <w:szCs w:val="24"/>
        </w:rPr>
        <w:t>(A)</w:t>
      </w:r>
      <w:r w:rsidRPr="008601BA">
        <w:rPr>
          <w:rFonts w:eastAsia="Calibri" w:cs="Times New Roman"/>
          <w:szCs w:val="24"/>
        </w:rPr>
        <w:t> Extracellular acidification rate (ECAR)</w:t>
      </w:r>
      <w:r w:rsidRPr="008601BA">
        <w:rPr>
          <w:rFonts w:eastAsia="Calibri" w:cs="Times New Roman"/>
          <w:szCs w:val="24"/>
          <w:vertAlign w:val="subscript"/>
        </w:rPr>
        <w:t xml:space="preserve"> </w:t>
      </w:r>
      <w:r w:rsidRPr="008601BA">
        <w:rPr>
          <w:rFonts w:cs="Times New Roman"/>
          <w:szCs w:val="24"/>
          <w:lang w:val="en"/>
        </w:rPr>
        <w:t xml:space="preserve">was measured in real-time under basal conditions and in response to the injection of the indicated drugs. </w:t>
      </w:r>
      <w:r w:rsidRPr="005A3B71">
        <w:rPr>
          <w:rFonts w:cs="Times New Roman"/>
          <w:b/>
          <w:szCs w:val="24"/>
          <w:lang w:val="en"/>
        </w:rPr>
        <w:t>(B)</w:t>
      </w:r>
      <w:r w:rsidRPr="008601BA">
        <w:rPr>
          <w:rFonts w:cs="Times New Roman"/>
          <w:szCs w:val="24"/>
          <w:lang w:val="en"/>
        </w:rPr>
        <w:t xml:space="preserve"> Glycolysis, glycolytic capacity and glycolytic reserve were calculated from the ECAR values. </w:t>
      </w:r>
      <w:r w:rsidRPr="005A3B71">
        <w:rPr>
          <w:rFonts w:eastAsia="Calibri" w:cs="Times New Roman"/>
          <w:b/>
          <w:szCs w:val="24"/>
        </w:rPr>
        <w:t>(C)</w:t>
      </w:r>
      <w:r w:rsidRPr="008601BA">
        <w:rPr>
          <w:rFonts w:eastAsia="Calibri" w:cs="Times New Roman"/>
          <w:szCs w:val="24"/>
        </w:rPr>
        <w:t xml:space="preserve"> </w:t>
      </w:r>
      <w:r w:rsidRPr="008601BA">
        <w:rPr>
          <w:rFonts w:cs="Times New Roman"/>
          <w:szCs w:val="24"/>
          <w:lang w:val="en"/>
        </w:rPr>
        <w:t xml:space="preserve">Oxygen consumption rates (OCR) were measured in real-time under basal conditions and in response to indicated mitochondrial inhibitors. </w:t>
      </w:r>
      <w:r w:rsidRPr="005A3B71">
        <w:rPr>
          <w:rFonts w:cs="Times New Roman"/>
          <w:b/>
          <w:szCs w:val="24"/>
          <w:lang w:val="en"/>
        </w:rPr>
        <w:t>(D)</w:t>
      </w:r>
      <w:r w:rsidRPr="008601BA">
        <w:rPr>
          <w:rFonts w:cs="Times New Roman"/>
          <w:szCs w:val="24"/>
          <w:lang w:val="en"/>
        </w:rPr>
        <w:t xml:space="preserve"> ATP production, maximal respiration and spare capacity were calculated from the OCR values. ECAR and OCR values are normalized to the reading just before the first drug injection. </w:t>
      </w:r>
      <w:r w:rsidRPr="008601BA">
        <w:rPr>
          <w:rFonts w:eastAsia="Calibri" w:cs="Times New Roman"/>
          <w:szCs w:val="24"/>
        </w:rPr>
        <w:t>Data</w:t>
      </w:r>
      <w:r w:rsidR="00CA17F1">
        <w:rPr>
          <w:rFonts w:eastAsia="Calibri" w:cs="Times New Roman"/>
          <w:szCs w:val="24"/>
        </w:rPr>
        <w:t xml:space="preserve"> are presented as mean±SEM of 6 </w:t>
      </w:r>
      <w:bookmarkStart w:id="0" w:name="_GoBack"/>
      <w:bookmarkEnd w:id="0"/>
      <w:r w:rsidRPr="008601BA">
        <w:rPr>
          <w:rFonts w:eastAsia="Calibri" w:cs="Times New Roman"/>
          <w:szCs w:val="24"/>
        </w:rPr>
        <w:t>independent experiments. Statistical analysis was performed with the Mann-Whitney test (*p&lt;0.05).</w:t>
      </w:r>
    </w:p>
    <w:p w:rsidR="005A3B71" w:rsidRPr="001549D3" w:rsidRDefault="005A3B71" w:rsidP="00654E8F">
      <w:pPr>
        <w:spacing w:before="240"/>
      </w:pPr>
    </w:p>
    <w:sectPr w:rsidR="005A3B71" w:rsidRPr="001549D3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1B" w:rsidRDefault="008E211B" w:rsidP="00117666">
      <w:pPr>
        <w:spacing w:after="0"/>
      </w:pPr>
      <w:r>
        <w:separator/>
      </w:r>
    </w:p>
  </w:endnote>
  <w:endnote w:type="continuationSeparator" w:id="0">
    <w:p w:rsidR="008E211B" w:rsidRDefault="008E211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A17F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A17F1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A17F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A17F1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1B" w:rsidRDefault="008E211B" w:rsidP="00117666">
      <w:pPr>
        <w:spacing w:after="0"/>
      </w:pPr>
      <w:r>
        <w:separator/>
      </w:r>
    </w:p>
  </w:footnote>
  <w:footnote w:type="continuationSeparator" w:id="0">
    <w:p w:rsidR="008E211B" w:rsidRDefault="008E211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1B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61FF"/>
    <w:rsid w:val="00504898"/>
    <w:rsid w:val="00517A89"/>
    <w:rsid w:val="005250F2"/>
    <w:rsid w:val="00593EEA"/>
    <w:rsid w:val="005A3B71"/>
    <w:rsid w:val="005A5EEE"/>
    <w:rsid w:val="005F5C62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8E211B"/>
    <w:rsid w:val="009151AA"/>
    <w:rsid w:val="0093429D"/>
    <w:rsid w:val="00943573"/>
    <w:rsid w:val="00970F7D"/>
    <w:rsid w:val="00994A3D"/>
    <w:rsid w:val="009C2B12"/>
    <w:rsid w:val="00A174D9"/>
    <w:rsid w:val="00AB6715"/>
    <w:rsid w:val="00B1671E"/>
    <w:rsid w:val="00B25EB8"/>
    <w:rsid w:val="00B37F4D"/>
    <w:rsid w:val="00C52A7B"/>
    <w:rsid w:val="00C56BAF"/>
    <w:rsid w:val="00C679AA"/>
    <w:rsid w:val="00C75972"/>
    <w:rsid w:val="00CA17F1"/>
    <w:rsid w:val="00CD066B"/>
    <w:rsid w:val="00CE4FEE"/>
    <w:rsid w:val="00DB59C3"/>
    <w:rsid w:val="00DC259A"/>
    <w:rsid w:val="00DE23E8"/>
    <w:rsid w:val="00E078AA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1E2CF4"/>
  <w15:docId w15:val="{04948B49-75E3-4A9D-A60B-9AF27331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garzia.uguccioni@irb.usi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RB-ST~1\AppData\Local\Temp\7zO00BBD1D0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5ED2FD-96A6-40DA-A5E2-1A0EEEF7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Servizi Informatici TI-EDU - USI-SUPSI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Mariagrazia Uguccioni</cp:lastModifiedBy>
  <cp:revision>5</cp:revision>
  <cp:lastPrinted>2018-06-28T10:00:00Z</cp:lastPrinted>
  <dcterms:created xsi:type="dcterms:W3CDTF">2018-06-11T09:14:00Z</dcterms:created>
  <dcterms:modified xsi:type="dcterms:W3CDTF">2018-06-28T11:06:00Z</dcterms:modified>
</cp:coreProperties>
</file>