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A72" w:rsidRDefault="00021A72" w:rsidP="00021A72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en-US"/>
        </w:rPr>
        <w:t>Supporting information</w:t>
      </w:r>
    </w:p>
    <w:p w:rsidR="00021A72" w:rsidRDefault="00021A72" w:rsidP="00021A72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21A72" w:rsidRDefault="00021A72" w:rsidP="00021A72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da-DK"/>
        </w:rPr>
        <w:drawing>
          <wp:inline distT="0" distB="0" distL="0" distR="0" wp14:anchorId="74186B77" wp14:editId="67DFB6AE">
            <wp:extent cx="6100550" cy="6200503"/>
            <wp:effectExtent l="0" t="0" r="0" b="0"/>
            <wp:docPr id="1" name="Billede 1" descr="C:\Users\sbq763\Downloads\Figure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q763\Downloads\Figure 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67"/>
                    <a:stretch/>
                  </pic:blipFill>
                  <pic:spPr bwMode="auto">
                    <a:xfrm>
                      <a:off x="0" y="0"/>
                      <a:ext cx="6118143" cy="621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A72" w:rsidRDefault="00021A72" w:rsidP="00021A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21A72" w:rsidRDefault="00021A72" w:rsidP="00021A7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S1 Fig.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GM in juvenile mice.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NMDS plots based on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unweighted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(u) and weighted (w)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UniFrac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distance matrices showing similarities in GM composition of juvenile (A) water-treated mice at 5 weeks of age (red, n = 19) compared to at 6 weeks of age (black, n = 9), and (B) mice treated with ABX for 2 weeks (red, n = 19) compared to 3 weeks (black, n = 4). (C) GM from the three juvenile groups: water (green, n = 9), ABX1 treatment (blue, n = 4), 2 weeks of treatment followed by one week back on water (ABX2, red, n = 5). PERMANOVA results are presented in bottom right corners (R</w:t>
      </w:r>
      <w:r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p values). S values represent the stress of each NMDS ordination. (D) Bar-chart depicting relative abundances of the fifteen most dominating bacterial taxa (remaining taxa were summarized within one category).</w:t>
      </w:r>
    </w:p>
    <w:p w:rsidR="00021A72" w:rsidRDefault="00021A72" w:rsidP="00021A72">
      <w:pPr>
        <w:spacing w:after="0" w:line="240" w:lineRule="auto"/>
        <w:jc w:val="both"/>
        <w:rPr>
          <w:rFonts w:ascii="Times New Roman" w:hAnsi="Times New Roman" w:cs="Times New Roman"/>
          <w:bCs/>
          <w:color w:val="1F497D" w:themeColor="text2"/>
          <w:sz w:val="24"/>
          <w:szCs w:val="24"/>
          <w:lang w:val="en-US"/>
        </w:rPr>
      </w:pPr>
    </w:p>
    <w:p w:rsidR="00021A72" w:rsidRDefault="00021A72" w:rsidP="00021A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da-DK"/>
        </w:rPr>
        <w:lastRenderedPageBreak/>
        <w:drawing>
          <wp:inline distT="0" distB="0" distL="0" distR="0">
            <wp:extent cx="6100550" cy="6081663"/>
            <wp:effectExtent l="0" t="0" r="0" b="0"/>
            <wp:docPr id="2" name="Billede 2" descr="C:\Users\sbq763\Downloads\Figure 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bq763\Downloads\Figure 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02"/>
                    <a:stretch/>
                  </pic:blipFill>
                  <pic:spPr bwMode="auto">
                    <a:xfrm>
                      <a:off x="0" y="0"/>
                      <a:ext cx="6100906" cy="608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A72" w:rsidRDefault="00021A72" w:rsidP="00021A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21A72" w:rsidRDefault="00021A72" w:rsidP="00021A7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S2 Fig.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GM in dams and their pups.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(A) GM composition was compared with NMDS plots between water-treated dams (green, n = 18) and ABX-treated dams (blue, n = 18). PERMANOVA results are presented inside the plots (R</w:t>
      </w:r>
      <w:r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p values). S values represent the stress of each NMDS ordination. (B) Bar-chart depicting relative abundances of the fifteen most dominating bacterial taxa (remaining taxa were summarized within one category).</w:t>
      </w:r>
    </w:p>
    <w:p w:rsidR="00021A72" w:rsidRDefault="00021A72" w:rsidP="00021A7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1A72" w:rsidRDefault="00021A72" w:rsidP="00021A7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1A72" w:rsidRDefault="00021A72" w:rsidP="00021A7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1A72" w:rsidRDefault="00021A72" w:rsidP="00021A7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1A72" w:rsidRDefault="00021A72" w:rsidP="00021A7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1A72" w:rsidRDefault="00021A72" w:rsidP="00021A7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021A72" w:rsidRDefault="00021A72" w:rsidP="00021A7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da-DK"/>
        </w:rPr>
        <w:lastRenderedPageBreak/>
        <w:drawing>
          <wp:inline distT="0" distB="0" distL="0" distR="0">
            <wp:extent cx="3684895" cy="4394579"/>
            <wp:effectExtent l="0" t="0" r="0" b="6350"/>
            <wp:docPr id="3" name="Billede 3" descr="C:\Users\sbq763\Downloads\Figure 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bq763\Downloads\Figure 1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6" r="29830"/>
                    <a:stretch/>
                  </pic:blipFill>
                  <pic:spPr bwMode="auto">
                    <a:xfrm>
                      <a:off x="0" y="0"/>
                      <a:ext cx="3685110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A72" w:rsidRDefault="00021A72" w:rsidP="00021A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21A72" w:rsidRDefault="00021A72" w:rsidP="00021A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S3 Fig.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Gating strategy for surface staining and intracellular cytokine staining.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(A)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Single cell suspensions prepared from lung and spleen were analyzed by flow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cytometry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using the following gating strategy: Single cells (FSC-A/FSC-H)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lymphocytes (FSC-A/SSC-A)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Living cells (L/D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CD45.2)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CD45.2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+ </w:t>
      </w:r>
      <w:r>
        <w:rPr>
          <w:rFonts w:ascii="Times New Roman" w:hAnsi="Times New Roman" w:cs="Times New Roman"/>
          <w:sz w:val="24"/>
          <w:szCs w:val="24"/>
          <w:lang w:val="en-US"/>
        </w:rPr>
        <w:t>(L/D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CD45.2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NK cells (NK1.1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CD3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), CD3 cells (NK1.1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CD3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CD3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CD4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 cells (CD4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CD8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), CD3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CD8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 cells (CD4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CD8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CD8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NP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(PA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NP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), CD8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PA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(PA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NP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CD8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NP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/PA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T/T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EM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(CD62L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CD44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), CD8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NP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/PA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(CD62L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CD44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). (B) Intracellular cytokine production in lung and spleen cell suspensions was analyzed by flow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cytometry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using the following gating strategy: Single cells (FSC-A/FSC-H)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lymphocytes (FSC-A/SSC-A)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Living T cells (L/D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CD3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CD3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CD8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+ </w:t>
      </w:r>
      <w:r>
        <w:rPr>
          <w:rFonts w:ascii="Times New Roman" w:hAnsi="Times New Roman" w:cs="Times New Roman"/>
          <w:sz w:val="24"/>
          <w:szCs w:val="24"/>
          <w:lang w:val="en-US"/>
        </w:rPr>
        <w:t>T cells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(CD3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CD8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CD8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IFNγ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(CD8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IFNγ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), CD8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TNFα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(CD8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TNFα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), CD8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IL-2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(CD8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IL-2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021A72" w:rsidRDefault="00021A72" w:rsidP="00021A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021A72" w:rsidRDefault="00021A72" w:rsidP="00021A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da-DK"/>
        </w:rPr>
        <w:lastRenderedPageBreak/>
        <w:drawing>
          <wp:inline distT="0" distB="0" distL="0" distR="0">
            <wp:extent cx="3712191" cy="4394579"/>
            <wp:effectExtent l="0" t="0" r="3175" b="6350"/>
            <wp:docPr id="4" name="Billede 4" descr="C:\Users\sbq763\Downloads\Figure 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bq763\Downloads\Figure 1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91"/>
                    <a:stretch/>
                  </pic:blipFill>
                  <pic:spPr bwMode="auto">
                    <a:xfrm>
                      <a:off x="0" y="0"/>
                      <a:ext cx="3712407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A72" w:rsidRDefault="00021A72" w:rsidP="00021A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S4 Fig.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Effect of antibiotic treatment prior to and during, or only prior to infection, on lung and spleen lymphocyte responses in juvenile mice.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 day 7 and 28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p.i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., single cell suspensions prepared from the lungs and spleen were analyzed by flow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cytometry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(A) </w:t>
      </w:r>
      <w:r>
        <w:rPr>
          <w:rFonts w:ascii="Times New Roman" w:hAnsi="Times New Roman" w:cs="Times New Roman"/>
          <w:sz w:val="24"/>
          <w:szCs w:val="24"/>
          <w:lang w:val="en-US"/>
        </w:rPr>
        <w:t>Intracellular cytokine staining was performed following incubation of (i) lung and (ii) spleen cell suspensions with PA/NP-specific peptides, or with medium alone. The percentage of CD8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 lymphocytes recovered at day 7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p.i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and staining positive for intracellular IL-2 are shown from water-X31 (black bars, n=15), ABX1-X31 (white bars, n=9) and ABX2-X31 (grey bars, n=5) mice. (B-D)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Numbers of (i) total CD3</w:t>
      </w:r>
      <w:r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, (ii) CD3</w:t>
      </w:r>
      <w:r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CD4</w:t>
      </w:r>
      <w:r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(iii) CD3</w:t>
      </w:r>
      <w:r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CD8</w:t>
      </w:r>
      <w:r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lymphocytes: (B) day 7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p.i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spleen, (C) day 28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p.i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lung, (D) day 28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p.i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spleen. (A) Data show the mean ± SD. (B-D) results from individual animals are shown with the horizontal lines depicting the mean ± SD. For day 7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p.i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., data represent results from water-mock (n=15), ABX1-mock (n=10), ABX2-mock (n=5), water-X31 (n=20), ABX1-X31 (n=10) and ABX2-X31 (n=10). For day 28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p.i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., data represent results from water-mock (n=15), ABX1-mock (n=10), ABX2-mock (n=5), water-X31 (n=20), ABX1-X31 (n=10) and ABX2-X31 (n=10). For statistical analyses, data were analyzed using either one-way ANOVA (B-D) or two-way ANOVA (A), followed by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Bonferroni’s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post-test. ***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  <w:lang w:val="en-US"/>
        </w:rPr>
        <w:t>&lt;0.001, **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&lt;0.01,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*p</w:t>
      </w:r>
      <w:r>
        <w:rPr>
          <w:rFonts w:ascii="Times New Roman" w:hAnsi="Times New Roman" w:cs="Times New Roman"/>
          <w:sz w:val="24"/>
          <w:szCs w:val="24"/>
          <w:lang w:val="en-US"/>
        </w:rPr>
        <w:t>&lt;0.05, ns = not significant.</w:t>
      </w:r>
    </w:p>
    <w:p w:rsidR="00021A72" w:rsidRDefault="00021A72" w:rsidP="00021A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21A72" w:rsidRDefault="00021A72" w:rsidP="00021A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021A72" w:rsidRDefault="00021A72" w:rsidP="00021A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da-DK"/>
        </w:rPr>
        <w:lastRenderedPageBreak/>
        <w:drawing>
          <wp:inline distT="0" distB="0" distL="0" distR="0">
            <wp:extent cx="4107976" cy="3603009"/>
            <wp:effectExtent l="0" t="0" r="6985" b="0"/>
            <wp:docPr id="5" name="Billede 5" descr="C:\Users\sbq763\Downloads\Figure 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bq763\Downloads\Figure 1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30" b="18013"/>
                    <a:stretch/>
                  </pic:blipFill>
                  <pic:spPr bwMode="auto">
                    <a:xfrm>
                      <a:off x="0" y="0"/>
                      <a:ext cx="4108215" cy="360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A72" w:rsidRDefault="00021A72" w:rsidP="00021A72">
      <w:pPr>
        <w:tabs>
          <w:tab w:val="decimal" w:pos="396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21A72" w:rsidRDefault="00021A72" w:rsidP="00021A72">
      <w:pPr>
        <w:tabs>
          <w:tab w:val="decimal" w:pos="3969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S5 Fig.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Effect of antibiotic treatment of pregnant dams on litter size and acute CD8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T cell responses in pups following X31 infection.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(A) On the day of birth, the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number of pups per litter from ABX or water dams were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determined. Results from individual litters are shown with horizontal lines depicting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mean ± SD. Data represent results from water dams (n=23) and ABX dams (n=24). At day 7 and 14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p.i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., single cell suspensions prepared from (B/D) lungs and (C/E) spleen were analyzed by flow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cytometry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ntracellular cytokine staining was performed following incubation of (B) lung and (C) spleen cell suspensions with PA/NP-specific peptides, or with medium alone. The percentage of day 7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p.i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 CD8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 lymphocytes staining positive for intracellular (i)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IFNγ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(ii) TNFα, or (iii) IL-2 are shown from water-X31 (black bars, n=11) and ABX-X31 (white bars, n=9). Data are shown as the mean ± SD and were analyzed using two-way ANOVA. Number of (D) day 14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p.i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lung lymphocytes, and numbers of day 7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p.i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 (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i-iii)) spleen lymphocytes and (E(iv)) NP- and PA-specific CD8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 cells recovered from the spleen after infection. For (D-E), results from individual animals are shown with the horizontal lines depicting the mean ± SD. Data represent results from day 7 or 14 for water-mock (n=5, 10, respectively), ABX-mock (n=6, 12, respectively), water-X31 (n=11, 8, respectively) and ABX-X31 (n=9, 9, respectively). Data were analyzed using one-way ANOVA followed by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Bonferroni’s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post-test (i-iii) or Student’s t-test (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). ***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  <w:lang w:val="en-US"/>
        </w:rPr>
        <w:t>&lt;0.001, **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&lt; 0.001,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*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  <w:lang w:val="en-US"/>
        </w:rPr>
        <w:t>&lt;0.05, ns = not significant.</w:t>
      </w:r>
    </w:p>
    <w:p w:rsidR="00247315" w:rsidRDefault="00F338B1"/>
    <w:sectPr w:rsidR="00247315" w:rsidSect="00021A7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A72"/>
    <w:rsid w:val="00021A72"/>
    <w:rsid w:val="0006660B"/>
    <w:rsid w:val="000F6CBE"/>
    <w:rsid w:val="00117AF1"/>
    <w:rsid w:val="0018762F"/>
    <w:rsid w:val="001A4172"/>
    <w:rsid w:val="001B5A01"/>
    <w:rsid w:val="001D0603"/>
    <w:rsid w:val="001F1AA9"/>
    <w:rsid w:val="00206BF0"/>
    <w:rsid w:val="002840B4"/>
    <w:rsid w:val="003438EF"/>
    <w:rsid w:val="00347CAD"/>
    <w:rsid w:val="003E381C"/>
    <w:rsid w:val="00485E1D"/>
    <w:rsid w:val="004A0BC7"/>
    <w:rsid w:val="004D4717"/>
    <w:rsid w:val="00507B28"/>
    <w:rsid w:val="005522E9"/>
    <w:rsid w:val="006152F6"/>
    <w:rsid w:val="006254AE"/>
    <w:rsid w:val="00673F25"/>
    <w:rsid w:val="00697666"/>
    <w:rsid w:val="006A0FDC"/>
    <w:rsid w:val="006A4A31"/>
    <w:rsid w:val="006B1C5F"/>
    <w:rsid w:val="00745775"/>
    <w:rsid w:val="007B4DC1"/>
    <w:rsid w:val="007C2919"/>
    <w:rsid w:val="00835BB2"/>
    <w:rsid w:val="00843B2A"/>
    <w:rsid w:val="008719C6"/>
    <w:rsid w:val="00897635"/>
    <w:rsid w:val="008A5DAA"/>
    <w:rsid w:val="008F460D"/>
    <w:rsid w:val="00943B29"/>
    <w:rsid w:val="0096030D"/>
    <w:rsid w:val="00996EF6"/>
    <w:rsid w:val="009E28F7"/>
    <w:rsid w:val="009F2ADB"/>
    <w:rsid w:val="00AF400D"/>
    <w:rsid w:val="00B81851"/>
    <w:rsid w:val="00BE0662"/>
    <w:rsid w:val="00BE6468"/>
    <w:rsid w:val="00C60E99"/>
    <w:rsid w:val="00DC134B"/>
    <w:rsid w:val="00EE1AAB"/>
    <w:rsid w:val="00EF1A14"/>
    <w:rsid w:val="00F21AC1"/>
    <w:rsid w:val="00F338B1"/>
    <w:rsid w:val="00F9624B"/>
    <w:rsid w:val="00FD0B6D"/>
    <w:rsid w:val="00FF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A7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Linjenummer">
    <w:name w:val="line number"/>
    <w:basedOn w:val="Standardskrifttypeiafsnit"/>
    <w:uiPriority w:val="99"/>
    <w:semiHidden/>
    <w:unhideWhenUsed/>
    <w:rsid w:val="00021A7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21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A7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Linjenummer">
    <w:name w:val="line number"/>
    <w:basedOn w:val="Standardskrifttypeiafsnit"/>
    <w:uiPriority w:val="99"/>
    <w:semiHidden/>
    <w:unhideWhenUsed/>
    <w:rsid w:val="00021A7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21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3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720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University of Copenhagen</Company>
  <LinksUpToDate>false</LinksUpToDate>
  <CharactersWithSpaces>5107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Fuglsang</dc:creator>
  <cp:lastModifiedBy>Eva Fuglsang</cp:lastModifiedBy>
  <cp:revision>2</cp:revision>
  <dcterms:created xsi:type="dcterms:W3CDTF">2018-08-30T21:02:00Z</dcterms:created>
  <dcterms:modified xsi:type="dcterms:W3CDTF">2018-08-30T21:02:00Z</dcterms:modified>
</cp:coreProperties>
</file>