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C7C" w:rsidRPr="00281E22" w:rsidRDefault="00715C7C" w:rsidP="000171FE">
      <w:pPr>
        <w:pStyle w:val="NoSpacing"/>
        <w:jc w:val="both"/>
        <w:rPr>
          <w:rFonts w:ascii="Times New Roman" w:hAnsi="Times New Roman" w:cs="Times New Roman"/>
          <w:b/>
          <w:sz w:val="24"/>
          <w:szCs w:val="24"/>
          <w:lang w:val="en-US"/>
        </w:rPr>
      </w:pPr>
      <w:bookmarkStart w:id="0" w:name="_GoBack"/>
      <w:bookmarkEnd w:id="0"/>
      <w:r w:rsidRPr="00281E22">
        <w:rPr>
          <w:rFonts w:ascii="Times New Roman" w:hAnsi="Times New Roman" w:cs="Times New Roman"/>
          <w:b/>
          <w:sz w:val="24"/>
          <w:szCs w:val="24"/>
          <w:lang w:val="en-US"/>
        </w:rPr>
        <w:t>Supplementary methods</w:t>
      </w:r>
    </w:p>
    <w:p w:rsidR="00715C7C" w:rsidRPr="00281E22" w:rsidRDefault="00715C7C" w:rsidP="000171FE">
      <w:pPr>
        <w:pStyle w:val="NoSpacing"/>
        <w:jc w:val="both"/>
        <w:rPr>
          <w:rFonts w:ascii="Times New Roman" w:hAnsi="Times New Roman" w:cs="Times New Roman"/>
          <w:b/>
          <w:i/>
          <w:sz w:val="24"/>
          <w:szCs w:val="24"/>
          <w:lang w:val="en-US"/>
        </w:rPr>
      </w:pPr>
    </w:p>
    <w:p w:rsidR="000171FE" w:rsidRPr="00281E22" w:rsidRDefault="000171FE" w:rsidP="000171FE">
      <w:pPr>
        <w:pStyle w:val="NoSpacing"/>
        <w:jc w:val="both"/>
        <w:rPr>
          <w:rFonts w:ascii="Times New Roman" w:hAnsi="Times New Roman" w:cs="Times New Roman"/>
          <w:b/>
          <w:sz w:val="24"/>
          <w:szCs w:val="24"/>
          <w:lang w:val="en-US"/>
        </w:rPr>
      </w:pPr>
      <w:r w:rsidRPr="00281E22">
        <w:rPr>
          <w:rFonts w:ascii="Times New Roman" w:hAnsi="Times New Roman" w:cs="Times New Roman"/>
          <w:b/>
          <w:i/>
          <w:sz w:val="24"/>
          <w:szCs w:val="24"/>
          <w:lang w:val="en-US"/>
        </w:rPr>
        <w:t>In vivo</w:t>
      </w:r>
      <w:r w:rsidRPr="00281E22">
        <w:rPr>
          <w:rFonts w:ascii="Times New Roman" w:hAnsi="Times New Roman" w:cs="Times New Roman"/>
          <w:b/>
          <w:sz w:val="24"/>
          <w:szCs w:val="24"/>
          <w:lang w:val="en-US"/>
        </w:rPr>
        <w:t xml:space="preserve"> intestinal permeability assay</w:t>
      </w:r>
    </w:p>
    <w:p w:rsidR="000171FE" w:rsidRPr="00281E22" w:rsidRDefault="000171FE" w:rsidP="000171FE">
      <w:pPr>
        <w:pStyle w:val="NoSpacing"/>
        <w:jc w:val="both"/>
        <w:rPr>
          <w:rFonts w:ascii="Times New Roman" w:hAnsi="Times New Roman" w:cs="Times New Roman"/>
          <w:sz w:val="24"/>
          <w:szCs w:val="24"/>
          <w:lang w:val="en-US"/>
        </w:rPr>
      </w:pPr>
      <w:r w:rsidRPr="00281E22">
        <w:rPr>
          <w:rFonts w:ascii="Times New Roman" w:hAnsi="Times New Roman" w:cs="Times New Roman"/>
          <w:sz w:val="24"/>
          <w:szCs w:val="24"/>
          <w:lang w:val="en-US"/>
        </w:rPr>
        <w:t xml:space="preserve">To assess barrier function at day 13, </w:t>
      </w:r>
      <w:r w:rsidRPr="00281E22">
        <w:rPr>
          <w:rFonts w:ascii="Times New Roman" w:hAnsi="Times New Roman" w:cs="Times New Roman"/>
          <w:i/>
          <w:sz w:val="24"/>
          <w:szCs w:val="24"/>
          <w:lang w:val="en-US"/>
        </w:rPr>
        <w:t>in vivo</w:t>
      </w:r>
      <w:r w:rsidRPr="00281E22">
        <w:rPr>
          <w:rFonts w:ascii="Times New Roman" w:hAnsi="Times New Roman" w:cs="Times New Roman"/>
          <w:sz w:val="24"/>
          <w:szCs w:val="24"/>
          <w:lang w:val="en-US"/>
        </w:rPr>
        <w:t xml:space="preserve"> intestinal permeability assay was performed by FITC-labelled dextran administration. </w:t>
      </w:r>
      <w:r w:rsidR="0053644E">
        <w:rPr>
          <w:rFonts w:ascii="Times New Roman" w:hAnsi="Times New Roman" w:cs="Times New Roman"/>
          <w:sz w:val="24"/>
          <w:szCs w:val="24"/>
          <w:lang w:val="en-US"/>
        </w:rPr>
        <w:t>F</w:t>
      </w:r>
      <w:r w:rsidRPr="00281E22">
        <w:rPr>
          <w:rFonts w:ascii="Times New Roman" w:hAnsi="Times New Roman" w:cs="Times New Roman"/>
          <w:sz w:val="24"/>
          <w:szCs w:val="24"/>
          <w:lang w:val="en-US"/>
        </w:rPr>
        <w:t>ood and water were withdrawn for eight hours and mice were administered with 44 mg/100 g body weight of FITC-labelled dextran (</w:t>
      </w:r>
      <w:proofErr w:type="spellStart"/>
      <w:r w:rsidRPr="00281E22">
        <w:rPr>
          <w:rFonts w:ascii="Times New Roman" w:hAnsi="Times New Roman" w:cs="Times New Roman"/>
          <w:sz w:val="24"/>
          <w:szCs w:val="24"/>
          <w:lang w:val="en-US"/>
        </w:rPr>
        <w:t>TdB</w:t>
      </w:r>
      <w:proofErr w:type="spellEnd"/>
      <w:r w:rsidRPr="00281E22">
        <w:rPr>
          <w:rFonts w:ascii="Times New Roman" w:hAnsi="Times New Roman" w:cs="Times New Roman"/>
          <w:sz w:val="24"/>
          <w:szCs w:val="24"/>
          <w:lang w:val="en-US"/>
        </w:rPr>
        <w:t xml:space="preserve"> Consultancy; 4 </w:t>
      </w:r>
      <w:proofErr w:type="spellStart"/>
      <w:r w:rsidRPr="00281E22">
        <w:rPr>
          <w:rFonts w:ascii="Times New Roman" w:hAnsi="Times New Roman" w:cs="Times New Roman"/>
          <w:sz w:val="24"/>
          <w:szCs w:val="24"/>
          <w:lang w:val="en-US"/>
        </w:rPr>
        <w:t>kDa</w:t>
      </w:r>
      <w:proofErr w:type="spellEnd"/>
      <w:r w:rsidRPr="00281E22">
        <w:rPr>
          <w:rFonts w:ascii="Times New Roman" w:hAnsi="Times New Roman" w:cs="Times New Roman"/>
          <w:sz w:val="24"/>
          <w:szCs w:val="24"/>
          <w:lang w:val="en-US"/>
        </w:rPr>
        <w:t>) by oral gavage. Serum was colle</w:t>
      </w:r>
      <w:r w:rsidR="00724EB5">
        <w:rPr>
          <w:rFonts w:ascii="Times New Roman" w:hAnsi="Times New Roman" w:cs="Times New Roman"/>
          <w:sz w:val="24"/>
          <w:szCs w:val="24"/>
          <w:lang w:val="en-US"/>
        </w:rPr>
        <w:t>c</w:t>
      </w:r>
      <w:r w:rsidRPr="00281E22">
        <w:rPr>
          <w:rFonts w:ascii="Times New Roman" w:hAnsi="Times New Roman" w:cs="Times New Roman"/>
          <w:sz w:val="24"/>
          <w:szCs w:val="24"/>
          <w:lang w:val="en-US"/>
        </w:rPr>
        <w:t>ted four hou</w:t>
      </w:r>
      <w:r w:rsidR="00724EB5">
        <w:rPr>
          <w:rFonts w:ascii="Times New Roman" w:hAnsi="Times New Roman" w:cs="Times New Roman"/>
          <w:sz w:val="24"/>
          <w:szCs w:val="24"/>
          <w:lang w:val="en-US"/>
        </w:rPr>
        <w:t>r</w:t>
      </w:r>
      <w:r w:rsidRPr="00281E22">
        <w:rPr>
          <w:rFonts w:ascii="Times New Roman" w:hAnsi="Times New Roman" w:cs="Times New Roman"/>
          <w:sz w:val="24"/>
          <w:szCs w:val="24"/>
          <w:lang w:val="en-US"/>
        </w:rPr>
        <w:t xml:space="preserve">s later and fluorescence intensity was measured by </w:t>
      </w:r>
      <w:proofErr w:type="spellStart"/>
      <w:r w:rsidRPr="00281E22">
        <w:rPr>
          <w:rFonts w:ascii="Times New Roman" w:hAnsi="Times New Roman" w:cs="Times New Roman"/>
          <w:sz w:val="24"/>
          <w:szCs w:val="24"/>
          <w:lang w:val="en-US"/>
        </w:rPr>
        <w:t>spectrophotofluorimetry</w:t>
      </w:r>
      <w:proofErr w:type="spellEnd"/>
      <w:r w:rsidRPr="00281E22">
        <w:rPr>
          <w:rFonts w:ascii="Times New Roman" w:hAnsi="Times New Roman" w:cs="Times New Roman"/>
          <w:sz w:val="24"/>
          <w:szCs w:val="24"/>
          <w:lang w:val="en-US"/>
        </w:rPr>
        <w:t xml:space="preserve"> (excitation: 485 nm; emission: 528 nm). </w:t>
      </w:r>
      <w:r w:rsidR="0053644E">
        <w:rPr>
          <w:rFonts w:ascii="Times New Roman" w:hAnsi="Times New Roman" w:cs="Times New Roman"/>
          <w:sz w:val="24"/>
          <w:szCs w:val="24"/>
          <w:lang w:val="en-US"/>
        </w:rPr>
        <w:t>C</w:t>
      </w:r>
      <w:r w:rsidRPr="00281E22">
        <w:rPr>
          <w:rFonts w:ascii="Times New Roman" w:hAnsi="Times New Roman" w:cs="Times New Roman"/>
          <w:sz w:val="24"/>
          <w:szCs w:val="24"/>
          <w:lang w:val="en-US"/>
        </w:rPr>
        <w:t>oncentrations were determined using a standard curve of serially diluted FITC-labelled dextran. Serum from mice not administered with the permeability tracer was used as background control.</w:t>
      </w:r>
    </w:p>
    <w:p w:rsidR="00332CDD" w:rsidRPr="00281E22" w:rsidRDefault="00332CDD">
      <w:pPr>
        <w:rPr>
          <w:sz w:val="24"/>
          <w:szCs w:val="24"/>
        </w:rPr>
      </w:pPr>
    </w:p>
    <w:p w:rsidR="000171FE" w:rsidRPr="00281E22" w:rsidRDefault="000171FE" w:rsidP="000171FE">
      <w:pPr>
        <w:pStyle w:val="NoSpacing"/>
        <w:jc w:val="both"/>
        <w:rPr>
          <w:rFonts w:ascii="Times New Roman" w:hAnsi="Times New Roman" w:cs="Times New Roman"/>
          <w:b/>
          <w:sz w:val="24"/>
          <w:szCs w:val="24"/>
          <w:lang w:val="en-US"/>
        </w:rPr>
      </w:pPr>
      <w:r w:rsidRPr="00281E22">
        <w:rPr>
          <w:rFonts w:ascii="Times New Roman" w:hAnsi="Times New Roman" w:cs="Times New Roman"/>
          <w:b/>
          <w:sz w:val="24"/>
          <w:szCs w:val="24"/>
          <w:lang w:val="en-US"/>
        </w:rPr>
        <w:t xml:space="preserve">Quantification of serum </w:t>
      </w:r>
      <w:r w:rsidR="00757A5C" w:rsidRPr="00281E22">
        <w:rPr>
          <w:rFonts w:ascii="Times New Roman" w:hAnsi="Times New Roman" w:cs="Times New Roman"/>
          <w:b/>
          <w:sz w:val="24"/>
          <w:szCs w:val="24"/>
          <w:lang w:val="en-US"/>
        </w:rPr>
        <w:t>toxicological biomarkers</w:t>
      </w:r>
    </w:p>
    <w:p w:rsidR="000171FE" w:rsidRPr="00281E22" w:rsidRDefault="000171FE" w:rsidP="000171FE">
      <w:pPr>
        <w:pStyle w:val="NoSpacing"/>
        <w:jc w:val="both"/>
        <w:rPr>
          <w:rFonts w:ascii="Times New Roman" w:hAnsi="Times New Roman" w:cs="Times New Roman"/>
          <w:color w:val="FF0000"/>
          <w:sz w:val="24"/>
          <w:szCs w:val="24"/>
          <w:lang w:val="en-US"/>
        </w:rPr>
      </w:pPr>
      <w:r w:rsidRPr="00281E22">
        <w:rPr>
          <w:rFonts w:ascii="Times New Roman" w:hAnsi="Times New Roman" w:cs="Times New Roman"/>
          <w:sz w:val="24"/>
          <w:szCs w:val="24"/>
          <w:lang w:val="en-US"/>
        </w:rPr>
        <w:t xml:space="preserve">Aspartate transaminase (AST), alanine aminotransferase (ALT) and creatinine were measured on an </w:t>
      </w:r>
      <w:proofErr w:type="spellStart"/>
      <w:r w:rsidRPr="00281E22">
        <w:rPr>
          <w:rFonts w:ascii="Times New Roman" w:hAnsi="Times New Roman" w:cs="Times New Roman"/>
          <w:sz w:val="24"/>
          <w:szCs w:val="24"/>
          <w:lang w:val="en-US"/>
        </w:rPr>
        <w:t>AutoAnalyzer</w:t>
      </w:r>
      <w:proofErr w:type="spellEnd"/>
      <w:r w:rsidRPr="00281E22">
        <w:rPr>
          <w:rFonts w:ascii="Times New Roman" w:hAnsi="Times New Roman" w:cs="Times New Roman"/>
          <w:sz w:val="24"/>
          <w:szCs w:val="24"/>
          <w:lang w:val="en-US"/>
        </w:rPr>
        <w:t xml:space="preserve"> (PRESTIGE 24i, PZ </w:t>
      </w:r>
      <w:proofErr w:type="spellStart"/>
      <w:r w:rsidRPr="00281E22">
        <w:rPr>
          <w:rFonts w:ascii="Times New Roman" w:hAnsi="Times New Roman" w:cs="Times New Roman"/>
          <w:sz w:val="24"/>
          <w:szCs w:val="24"/>
          <w:lang w:val="en-US"/>
        </w:rPr>
        <w:t>Cormay</w:t>
      </w:r>
      <w:proofErr w:type="spellEnd"/>
      <w:r w:rsidRPr="00281E22">
        <w:rPr>
          <w:rFonts w:ascii="Times New Roman" w:hAnsi="Times New Roman" w:cs="Times New Roman"/>
          <w:sz w:val="24"/>
          <w:szCs w:val="24"/>
          <w:lang w:val="en-US"/>
        </w:rPr>
        <w:t xml:space="preserve"> S.A</w:t>
      </w:r>
      <w:r w:rsidR="00715C7C" w:rsidRPr="00281E22">
        <w:rPr>
          <w:rFonts w:ascii="Times New Roman" w:hAnsi="Times New Roman" w:cs="Times New Roman"/>
          <w:sz w:val="24"/>
          <w:szCs w:val="24"/>
          <w:lang w:val="en-US"/>
        </w:rPr>
        <w:t>.).</w:t>
      </w:r>
    </w:p>
    <w:p w:rsidR="000171FE" w:rsidRDefault="000171FE">
      <w:pPr>
        <w:rPr>
          <w:sz w:val="24"/>
          <w:szCs w:val="24"/>
        </w:rPr>
      </w:pPr>
    </w:p>
    <w:p w:rsidR="00724EB5" w:rsidRDefault="0053644E" w:rsidP="00724EB5">
      <w:pPr>
        <w:pStyle w:val="NoSpacing"/>
        <w:jc w:val="both"/>
        <w:rPr>
          <w:rFonts w:ascii="Times New Roman" w:hAnsi="Times New Roman" w:cs="Times New Roman"/>
          <w:b/>
          <w:sz w:val="24"/>
          <w:szCs w:val="24"/>
          <w:lang w:val="en-US"/>
        </w:rPr>
      </w:pPr>
      <w:r>
        <w:rPr>
          <w:rFonts w:ascii="Times New Roman" w:hAnsi="Times New Roman" w:cs="Times New Roman"/>
          <w:b/>
          <w:sz w:val="24"/>
          <w:szCs w:val="24"/>
          <w:lang w:val="en-US"/>
        </w:rPr>
        <w:t>Supplementary Tables and F</w:t>
      </w:r>
      <w:r w:rsidR="00724EB5">
        <w:rPr>
          <w:rFonts w:ascii="Times New Roman" w:hAnsi="Times New Roman" w:cs="Times New Roman"/>
          <w:b/>
          <w:sz w:val="24"/>
          <w:szCs w:val="24"/>
          <w:lang w:val="en-US"/>
        </w:rPr>
        <w:t xml:space="preserve">igures </w:t>
      </w:r>
    </w:p>
    <w:p w:rsidR="00724EB5" w:rsidRDefault="00724EB5" w:rsidP="00724EB5">
      <w:pPr>
        <w:pStyle w:val="NoSpacing"/>
        <w:jc w:val="both"/>
        <w:rPr>
          <w:rFonts w:ascii="Times New Roman" w:hAnsi="Times New Roman" w:cs="Times New Roman"/>
          <w:b/>
          <w:sz w:val="24"/>
          <w:szCs w:val="24"/>
          <w:lang w:val="en-US"/>
        </w:rPr>
      </w:pPr>
    </w:p>
    <w:p w:rsidR="00724EB5" w:rsidRPr="00724EB5" w:rsidRDefault="00724EB5" w:rsidP="00724EB5">
      <w:pPr>
        <w:pStyle w:val="NoSpacing"/>
        <w:jc w:val="both"/>
        <w:rPr>
          <w:rFonts w:ascii="Times New Roman" w:hAnsi="Times New Roman" w:cs="Times New Roman"/>
          <w:b/>
          <w:sz w:val="24"/>
          <w:szCs w:val="24"/>
          <w:lang w:val="en-US"/>
        </w:rPr>
      </w:pPr>
    </w:p>
    <w:p w:rsidR="00900857" w:rsidRDefault="00900857" w:rsidP="00900857">
      <w:pPr>
        <w:pStyle w:val="NoSpacing"/>
        <w:jc w:val="both"/>
        <w:rPr>
          <w:rFonts w:ascii="Times New Roman" w:hAnsi="Times New Roman" w:cs="Times New Roman"/>
          <w:sz w:val="24"/>
          <w:szCs w:val="24"/>
          <w:lang w:val="en-US"/>
        </w:rPr>
      </w:pPr>
      <w:r>
        <w:rPr>
          <w:rFonts w:ascii="Times New Roman" w:hAnsi="Times New Roman" w:cs="Times New Roman"/>
          <w:b/>
          <w:sz w:val="24"/>
          <w:szCs w:val="24"/>
          <w:lang w:val="en-US"/>
        </w:rPr>
        <w:t>S1</w:t>
      </w:r>
      <w:r w:rsidRPr="004C0AA6">
        <w:rPr>
          <w:rFonts w:ascii="Times New Roman" w:hAnsi="Times New Roman" w:cs="Times New Roman"/>
          <w:b/>
          <w:sz w:val="24"/>
          <w:szCs w:val="24"/>
          <w:lang w:val="en-US"/>
        </w:rPr>
        <w:t xml:space="preserve"> Table</w:t>
      </w:r>
      <w:r w:rsidRPr="00281E22">
        <w:rPr>
          <w:rFonts w:ascii="Times New Roman" w:hAnsi="Times New Roman" w:cs="Times New Roman"/>
          <w:sz w:val="24"/>
          <w:szCs w:val="24"/>
          <w:lang w:val="en-US"/>
        </w:rPr>
        <w:t xml:space="preserve"> – </w:t>
      </w:r>
      <w:r>
        <w:rPr>
          <w:rFonts w:ascii="Times New Roman" w:hAnsi="Times New Roman" w:cs="Times New Roman"/>
          <w:sz w:val="24"/>
          <w:szCs w:val="24"/>
          <w:lang w:val="en-US"/>
        </w:rPr>
        <w:t>Disease activity index (DAI) scores for colitis evaluation.</w:t>
      </w:r>
      <w:r w:rsidR="00377D47">
        <w:rPr>
          <w:rFonts w:ascii="Times New Roman" w:hAnsi="Times New Roman" w:cs="Times New Roman"/>
          <w:sz w:val="24"/>
          <w:szCs w:val="24"/>
          <w:lang w:val="en-US"/>
        </w:rPr>
        <w:t xml:space="preserve"> </w:t>
      </w:r>
      <w:r w:rsidR="00377D47" w:rsidRPr="003038B1">
        <w:rPr>
          <w:rFonts w:ascii="Times New Roman" w:hAnsi="Times New Roman" w:cs="Times New Roman"/>
          <w:sz w:val="24"/>
          <w:szCs w:val="24"/>
          <w:lang w:val="en-US"/>
        </w:rPr>
        <w:t>The final score is obtained by the sum of each parameter.</w:t>
      </w:r>
    </w:p>
    <w:p w:rsidR="00900857" w:rsidRPr="00900857" w:rsidRDefault="00900857" w:rsidP="00900857">
      <w:pPr>
        <w:pStyle w:val="NoSpacing"/>
        <w:jc w:val="both"/>
        <w:rPr>
          <w:sz w:val="24"/>
          <w:szCs w:val="24"/>
          <w:lang w:val="en-US"/>
        </w:rPr>
      </w:pPr>
    </w:p>
    <w:tbl>
      <w:tblPr>
        <w:tblStyle w:val="TableGrid"/>
        <w:tblW w:w="8221" w:type="dxa"/>
        <w:jc w:val="center"/>
        <w:tblLayout w:type="fixed"/>
        <w:tblLook w:val="04A0" w:firstRow="1" w:lastRow="0" w:firstColumn="1" w:lastColumn="0" w:noHBand="0" w:noVBand="1"/>
      </w:tblPr>
      <w:tblGrid>
        <w:gridCol w:w="1417"/>
        <w:gridCol w:w="2268"/>
        <w:gridCol w:w="2268"/>
        <w:gridCol w:w="2268"/>
      </w:tblGrid>
      <w:tr w:rsidR="00900857" w:rsidTr="00900857">
        <w:trPr>
          <w:trHeight w:val="479"/>
          <w:jc w:val="center"/>
        </w:trPr>
        <w:tc>
          <w:tcPr>
            <w:tcW w:w="1417" w:type="dxa"/>
            <w:tcBorders>
              <w:top w:val="nil"/>
              <w:left w:val="nil"/>
              <w:bottom w:val="thinThickSmallGap" w:sz="12" w:space="0" w:color="auto"/>
              <w:right w:val="nil"/>
            </w:tcBorders>
            <w:vAlign w:val="center"/>
          </w:tcPr>
          <w:p w:rsidR="00900857" w:rsidRPr="00567EF0" w:rsidRDefault="00900857" w:rsidP="00900857">
            <w:pPr>
              <w:pStyle w:val="NoSpacing"/>
              <w:jc w:val="center"/>
              <w:rPr>
                <w:rFonts w:ascii="Times New Roman" w:hAnsi="Times New Roman" w:cs="Times New Roman"/>
                <w:b/>
                <w:szCs w:val="24"/>
                <w:lang w:val="en-US"/>
              </w:rPr>
            </w:pPr>
            <w:r>
              <w:rPr>
                <w:rFonts w:ascii="Times New Roman" w:hAnsi="Times New Roman" w:cs="Times New Roman"/>
                <w:b/>
                <w:szCs w:val="24"/>
                <w:lang w:val="en-US"/>
              </w:rPr>
              <w:t>Score</w:t>
            </w:r>
          </w:p>
        </w:tc>
        <w:tc>
          <w:tcPr>
            <w:tcW w:w="2268" w:type="dxa"/>
            <w:tcBorders>
              <w:top w:val="nil"/>
              <w:left w:val="nil"/>
              <w:bottom w:val="thinThickSmallGap" w:sz="12" w:space="0" w:color="auto"/>
              <w:right w:val="nil"/>
            </w:tcBorders>
            <w:vAlign w:val="center"/>
          </w:tcPr>
          <w:p w:rsidR="00900857" w:rsidRPr="00567EF0" w:rsidRDefault="00900857" w:rsidP="00900857">
            <w:pPr>
              <w:pStyle w:val="NoSpacing"/>
              <w:jc w:val="center"/>
              <w:rPr>
                <w:rFonts w:ascii="Times New Roman" w:hAnsi="Times New Roman" w:cs="Times New Roman"/>
                <w:b/>
                <w:szCs w:val="24"/>
                <w:lang w:val="en-US"/>
              </w:rPr>
            </w:pPr>
            <w:r>
              <w:rPr>
                <w:rFonts w:ascii="Times New Roman" w:hAnsi="Times New Roman" w:cs="Times New Roman"/>
                <w:b/>
                <w:szCs w:val="24"/>
                <w:lang w:val="en-US"/>
              </w:rPr>
              <w:t>Weight loss</w:t>
            </w:r>
          </w:p>
        </w:tc>
        <w:tc>
          <w:tcPr>
            <w:tcW w:w="2268" w:type="dxa"/>
            <w:tcBorders>
              <w:top w:val="nil"/>
              <w:left w:val="nil"/>
              <w:bottom w:val="thinThickSmallGap" w:sz="12" w:space="0" w:color="auto"/>
              <w:right w:val="nil"/>
            </w:tcBorders>
            <w:vAlign w:val="center"/>
          </w:tcPr>
          <w:p w:rsidR="00900857" w:rsidRPr="00567EF0" w:rsidRDefault="00900857" w:rsidP="00900857">
            <w:pPr>
              <w:pStyle w:val="NoSpacing"/>
              <w:jc w:val="center"/>
              <w:rPr>
                <w:rFonts w:ascii="Times New Roman" w:hAnsi="Times New Roman" w:cs="Times New Roman"/>
                <w:b/>
                <w:szCs w:val="24"/>
                <w:lang w:val="en-US"/>
              </w:rPr>
            </w:pPr>
            <w:r>
              <w:rPr>
                <w:rFonts w:ascii="Times New Roman" w:hAnsi="Times New Roman" w:cs="Times New Roman"/>
                <w:b/>
                <w:szCs w:val="24"/>
                <w:lang w:val="en-US"/>
              </w:rPr>
              <w:t>Stool consistency</w:t>
            </w:r>
          </w:p>
        </w:tc>
        <w:tc>
          <w:tcPr>
            <w:tcW w:w="2268" w:type="dxa"/>
            <w:tcBorders>
              <w:top w:val="nil"/>
              <w:left w:val="nil"/>
              <w:bottom w:val="thinThickSmallGap" w:sz="12" w:space="0" w:color="auto"/>
              <w:right w:val="nil"/>
            </w:tcBorders>
            <w:vAlign w:val="center"/>
          </w:tcPr>
          <w:p w:rsidR="00900857" w:rsidRPr="00567EF0" w:rsidRDefault="00900857" w:rsidP="00900857">
            <w:pPr>
              <w:pStyle w:val="NoSpacing"/>
              <w:jc w:val="center"/>
              <w:rPr>
                <w:rFonts w:ascii="Times New Roman" w:hAnsi="Times New Roman" w:cs="Times New Roman"/>
                <w:b/>
                <w:szCs w:val="24"/>
                <w:lang w:val="en-US"/>
              </w:rPr>
            </w:pPr>
            <w:r>
              <w:rPr>
                <w:rFonts w:ascii="Times New Roman" w:hAnsi="Times New Roman" w:cs="Times New Roman"/>
                <w:b/>
                <w:szCs w:val="24"/>
                <w:lang w:val="en-US"/>
              </w:rPr>
              <w:t>Bleeding</w:t>
            </w:r>
          </w:p>
        </w:tc>
      </w:tr>
      <w:tr w:rsidR="00900857" w:rsidTr="00900857">
        <w:trPr>
          <w:trHeight w:val="479"/>
          <w:jc w:val="center"/>
        </w:trPr>
        <w:tc>
          <w:tcPr>
            <w:tcW w:w="1417" w:type="dxa"/>
            <w:tcBorders>
              <w:top w:val="thinThickSmallGap" w:sz="12" w:space="0" w:color="auto"/>
              <w:left w:val="nil"/>
              <w:bottom w:val="nil"/>
              <w:right w:val="nil"/>
            </w:tcBorders>
            <w:vAlign w:val="center"/>
          </w:tcPr>
          <w:p w:rsidR="00900857" w:rsidRPr="00900857" w:rsidRDefault="00900857" w:rsidP="00900857">
            <w:pPr>
              <w:pStyle w:val="NoSpacing"/>
              <w:jc w:val="center"/>
              <w:rPr>
                <w:rFonts w:ascii="Times New Roman" w:hAnsi="Times New Roman" w:cs="Times New Roman"/>
                <w:szCs w:val="24"/>
                <w:lang w:val="en-US"/>
              </w:rPr>
            </w:pPr>
            <w:r>
              <w:rPr>
                <w:rFonts w:ascii="Times New Roman" w:hAnsi="Times New Roman" w:cs="Times New Roman"/>
                <w:szCs w:val="24"/>
                <w:lang w:val="en-US"/>
              </w:rPr>
              <w:t>0</w:t>
            </w:r>
          </w:p>
        </w:tc>
        <w:tc>
          <w:tcPr>
            <w:tcW w:w="2268" w:type="dxa"/>
            <w:tcBorders>
              <w:top w:val="thinThickSmallGap" w:sz="12" w:space="0" w:color="auto"/>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No loss</w:t>
            </w:r>
          </w:p>
        </w:tc>
        <w:tc>
          <w:tcPr>
            <w:tcW w:w="2268" w:type="dxa"/>
            <w:tcBorders>
              <w:top w:val="thinThickSmallGap" w:sz="12" w:space="0" w:color="auto"/>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Normal</w:t>
            </w:r>
          </w:p>
        </w:tc>
        <w:tc>
          <w:tcPr>
            <w:tcW w:w="2268" w:type="dxa"/>
            <w:tcBorders>
              <w:top w:val="thinThickSmallGap" w:sz="12" w:space="0" w:color="auto"/>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No blood</w:t>
            </w:r>
          </w:p>
        </w:tc>
      </w:tr>
      <w:tr w:rsidR="00900857" w:rsidTr="00900857">
        <w:trPr>
          <w:trHeight w:val="479"/>
          <w:jc w:val="center"/>
        </w:trPr>
        <w:tc>
          <w:tcPr>
            <w:tcW w:w="1417"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Cs w:val="24"/>
                <w:lang w:val="en-US"/>
              </w:rPr>
            </w:pPr>
            <w:r>
              <w:rPr>
                <w:rFonts w:ascii="Times New Roman" w:hAnsi="Times New Roman" w:cs="Times New Roman"/>
                <w:szCs w:val="24"/>
                <w:lang w:val="en-US"/>
              </w:rPr>
              <w:t>1</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1-5%</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Mild-soft</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Brown color</w:t>
            </w:r>
          </w:p>
        </w:tc>
      </w:tr>
      <w:tr w:rsidR="00900857" w:rsidTr="00900857">
        <w:trPr>
          <w:trHeight w:val="479"/>
          <w:jc w:val="center"/>
        </w:trPr>
        <w:tc>
          <w:tcPr>
            <w:tcW w:w="1417"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Cs w:val="24"/>
                <w:lang w:val="en-US"/>
              </w:rPr>
            </w:pPr>
            <w:r>
              <w:rPr>
                <w:rFonts w:ascii="Times New Roman" w:hAnsi="Times New Roman" w:cs="Times New Roman"/>
                <w:szCs w:val="24"/>
                <w:lang w:val="en-US"/>
              </w:rPr>
              <w:t>2</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6-10%</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Very soft</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Reddish color</w:t>
            </w:r>
          </w:p>
        </w:tc>
      </w:tr>
      <w:tr w:rsidR="00900857" w:rsidTr="00900857">
        <w:trPr>
          <w:trHeight w:val="479"/>
          <w:jc w:val="center"/>
        </w:trPr>
        <w:tc>
          <w:tcPr>
            <w:tcW w:w="1417"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Cs w:val="24"/>
                <w:lang w:val="en-US"/>
              </w:rPr>
            </w:pPr>
            <w:r>
              <w:rPr>
                <w:rFonts w:ascii="Times New Roman" w:hAnsi="Times New Roman" w:cs="Times New Roman"/>
                <w:szCs w:val="24"/>
                <w:lang w:val="en-US"/>
              </w:rPr>
              <w:t>3</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11-20%</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Diarrhea</w:t>
            </w:r>
          </w:p>
        </w:tc>
        <w:tc>
          <w:tcPr>
            <w:tcW w:w="2268" w:type="dxa"/>
            <w:tcBorders>
              <w:top w:val="nil"/>
              <w:left w:val="nil"/>
              <w:bottom w:val="nil"/>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Bloody stool</w:t>
            </w:r>
          </w:p>
        </w:tc>
      </w:tr>
      <w:tr w:rsidR="00900857" w:rsidTr="00900857">
        <w:trPr>
          <w:trHeight w:val="479"/>
          <w:jc w:val="center"/>
        </w:trPr>
        <w:tc>
          <w:tcPr>
            <w:tcW w:w="1417" w:type="dxa"/>
            <w:tcBorders>
              <w:top w:val="nil"/>
              <w:left w:val="nil"/>
              <w:bottom w:val="thickThinSmallGap" w:sz="12" w:space="0" w:color="auto"/>
              <w:right w:val="nil"/>
            </w:tcBorders>
            <w:vAlign w:val="center"/>
          </w:tcPr>
          <w:p w:rsidR="00900857" w:rsidRPr="00900857" w:rsidRDefault="00900857" w:rsidP="00900857">
            <w:pPr>
              <w:pStyle w:val="NoSpacing"/>
              <w:jc w:val="center"/>
              <w:rPr>
                <w:rFonts w:ascii="Times New Roman" w:hAnsi="Times New Roman" w:cs="Times New Roman"/>
                <w:szCs w:val="24"/>
                <w:lang w:val="en-US"/>
              </w:rPr>
            </w:pPr>
            <w:r>
              <w:rPr>
                <w:rFonts w:ascii="Times New Roman" w:hAnsi="Times New Roman" w:cs="Times New Roman"/>
                <w:szCs w:val="24"/>
                <w:lang w:val="en-US"/>
              </w:rPr>
              <w:t>4</w:t>
            </w:r>
          </w:p>
        </w:tc>
        <w:tc>
          <w:tcPr>
            <w:tcW w:w="2268" w:type="dxa"/>
            <w:tcBorders>
              <w:top w:val="nil"/>
              <w:left w:val="nil"/>
              <w:bottom w:val="thickThinSmallGap" w:sz="12" w:space="0" w:color="auto"/>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&gt; 20%</w:t>
            </w:r>
          </w:p>
        </w:tc>
        <w:tc>
          <w:tcPr>
            <w:tcW w:w="2268" w:type="dxa"/>
            <w:tcBorders>
              <w:top w:val="nil"/>
              <w:left w:val="nil"/>
              <w:bottom w:val="thickThinSmallGap" w:sz="12" w:space="0" w:color="auto"/>
              <w:right w:val="nil"/>
            </w:tcBorders>
            <w:vAlign w:val="center"/>
          </w:tcPr>
          <w:p w:rsidR="00900857" w:rsidRPr="00900857" w:rsidRDefault="00900857" w:rsidP="00900857">
            <w:pPr>
              <w:pStyle w:val="NoSpacing"/>
              <w:jc w:val="center"/>
              <w:rPr>
                <w:rFonts w:ascii="Times New Roman" w:hAnsi="Times New Roman" w:cs="Times New Roman"/>
                <w:sz w:val="20"/>
                <w:szCs w:val="24"/>
                <w:lang w:val="en-US"/>
              </w:rPr>
            </w:pPr>
          </w:p>
        </w:tc>
        <w:tc>
          <w:tcPr>
            <w:tcW w:w="2268" w:type="dxa"/>
            <w:tcBorders>
              <w:top w:val="nil"/>
              <w:left w:val="nil"/>
              <w:bottom w:val="thickThinSmallGap" w:sz="12" w:space="0" w:color="auto"/>
              <w:right w:val="nil"/>
            </w:tcBorders>
            <w:vAlign w:val="center"/>
          </w:tcPr>
          <w:p w:rsidR="00900857" w:rsidRPr="00900857" w:rsidRDefault="00190F2D" w:rsidP="00900857">
            <w:pPr>
              <w:pStyle w:val="NoSpacing"/>
              <w:jc w:val="center"/>
              <w:rPr>
                <w:rFonts w:ascii="Times New Roman" w:hAnsi="Times New Roman" w:cs="Times New Roman"/>
                <w:sz w:val="20"/>
                <w:szCs w:val="24"/>
                <w:lang w:val="en-US"/>
              </w:rPr>
            </w:pPr>
            <w:r>
              <w:rPr>
                <w:rFonts w:ascii="Times New Roman" w:hAnsi="Times New Roman" w:cs="Times New Roman"/>
                <w:sz w:val="20"/>
                <w:szCs w:val="24"/>
                <w:lang w:val="en-US"/>
              </w:rPr>
              <w:t>Gross blee</w:t>
            </w:r>
            <w:r w:rsidR="00900857">
              <w:rPr>
                <w:rFonts w:ascii="Times New Roman" w:hAnsi="Times New Roman" w:cs="Times New Roman"/>
                <w:sz w:val="20"/>
                <w:szCs w:val="24"/>
                <w:lang w:val="en-US"/>
              </w:rPr>
              <w:t>ding</w:t>
            </w:r>
          </w:p>
        </w:tc>
      </w:tr>
    </w:tbl>
    <w:p w:rsidR="003266A4" w:rsidRDefault="003266A4">
      <w:pPr>
        <w:rPr>
          <w:sz w:val="24"/>
          <w:szCs w:val="24"/>
        </w:rPr>
      </w:pPr>
    </w:p>
    <w:p w:rsidR="00900857" w:rsidRDefault="00900857" w:rsidP="00281E22">
      <w:pPr>
        <w:pStyle w:val="NoSpacing"/>
        <w:jc w:val="both"/>
        <w:rPr>
          <w:rFonts w:ascii="Times New Roman" w:hAnsi="Times New Roman" w:cs="Times New Roman"/>
          <w:b/>
          <w:sz w:val="24"/>
          <w:szCs w:val="24"/>
          <w:lang w:val="en-US"/>
        </w:rPr>
      </w:pPr>
    </w:p>
    <w:p w:rsidR="00724EB5" w:rsidRDefault="00724EB5" w:rsidP="00281E22">
      <w:pPr>
        <w:pStyle w:val="NoSpacing"/>
        <w:jc w:val="both"/>
        <w:rPr>
          <w:rFonts w:ascii="Times New Roman" w:hAnsi="Times New Roman" w:cs="Times New Roman"/>
          <w:b/>
          <w:sz w:val="24"/>
          <w:szCs w:val="24"/>
          <w:lang w:val="en-US"/>
        </w:rPr>
      </w:pPr>
    </w:p>
    <w:p w:rsidR="00281E22" w:rsidRDefault="003266A4" w:rsidP="00281E22">
      <w:pPr>
        <w:pStyle w:val="NoSpacing"/>
        <w:jc w:val="both"/>
        <w:rPr>
          <w:rFonts w:ascii="Times New Roman" w:hAnsi="Times New Roman" w:cs="Times New Roman"/>
          <w:sz w:val="24"/>
          <w:szCs w:val="24"/>
          <w:lang w:val="en-US"/>
        </w:rPr>
      </w:pPr>
      <w:r>
        <w:rPr>
          <w:rFonts w:ascii="Times New Roman" w:hAnsi="Times New Roman" w:cs="Times New Roman"/>
          <w:b/>
          <w:sz w:val="24"/>
          <w:szCs w:val="24"/>
          <w:lang w:val="en-US"/>
        </w:rPr>
        <w:t>S2</w:t>
      </w:r>
      <w:r w:rsidR="00281E22" w:rsidRPr="004C0AA6">
        <w:rPr>
          <w:rFonts w:ascii="Times New Roman" w:hAnsi="Times New Roman" w:cs="Times New Roman"/>
          <w:b/>
          <w:sz w:val="24"/>
          <w:szCs w:val="24"/>
          <w:lang w:val="en-US"/>
        </w:rPr>
        <w:t xml:space="preserve"> Table</w:t>
      </w:r>
      <w:r w:rsidR="00281E22" w:rsidRPr="00281E22">
        <w:rPr>
          <w:rFonts w:ascii="Times New Roman" w:hAnsi="Times New Roman" w:cs="Times New Roman"/>
          <w:sz w:val="24"/>
          <w:szCs w:val="24"/>
          <w:lang w:val="en-US"/>
        </w:rPr>
        <w:t xml:space="preserve"> – List of primers used for qPCR.</w:t>
      </w:r>
    </w:p>
    <w:p w:rsidR="00900857" w:rsidRPr="00281E22" w:rsidRDefault="00900857" w:rsidP="00281E22">
      <w:pPr>
        <w:pStyle w:val="NoSpacing"/>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116"/>
        <w:gridCol w:w="3827"/>
        <w:gridCol w:w="3561"/>
      </w:tblGrid>
      <w:tr w:rsidR="00281E22" w:rsidTr="00900857">
        <w:trPr>
          <w:trHeight w:val="454"/>
        </w:trPr>
        <w:tc>
          <w:tcPr>
            <w:tcW w:w="1230" w:type="dxa"/>
            <w:tcBorders>
              <w:top w:val="nil"/>
              <w:left w:val="nil"/>
              <w:bottom w:val="thinThickSmallGap" w:sz="12" w:space="0" w:color="auto"/>
              <w:right w:val="nil"/>
            </w:tcBorders>
            <w:vAlign w:val="center"/>
          </w:tcPr>
          <w:p w:rsidR="00281E22" w:rsidRPr="00567EF0" w:rsidRDefault="00281E22" w:rsidP="00C67A40">
            <w:pPr>
              <w:pStyle w:val="NoSpacing"/>
              <w:jc w:val="center"/>
              <w:rPr>
                <w:rFonts w:ascii="Times New Roman" w:hAnsi="Times New Roman" w:cs="Times New Roman"/>
                <w:b/>
                <w:szCs w:val="24"/>
                <w:lang w:val="en-US"/>
              </w:rPr>
            </w:pPr>
            <w:r w:rsidRPr="00567EF0">
              <w:rPr>
                <w:rFonts w:ascii="Times New Roman" w:hAnsi="Times New Roman" w:cs="Times New Roman"/>
                <w:b/>
                <w:szCs w:val="24"/>
                <w:lang w:val="en-US"/>
              </w:rPr>
              <w:t>Genes</w:t>
            </w:r>
          </w:p>
        </w:tc>
        <w:tc>
          <w:tcPr>
            <w:tcW w:w="3929" w:type="dxa"/>
            <w:tcBorders>
              <w:top w:val="nil"/>
              <w:left w:val="nil"/>
              <w:bottom w:val="thinThickSmallGap" w:sz="12" w:space="0" w:color="auto"/>
              <w:right w:val="nil"/>
            </w:tcBorders>
            <w:vAlign w:val="center"/>
          </w:tcPr>
          <w:p w:rsidR="00281E22" w:rsidRPr="00567EF0" w:rsidRDefault="00281E22" w:rsidP="00C67A40">
            <w:pPr>
              <w:pStyle w:val="NoSpacing"/>
              <w:jc w:val="center"/>
              <w:rPr>
                <w:rFonts w:ascii="Times New Roman" w:hAnsi="Times New Roman" w:cs="Times New Roman"/>
                <w:b/>
                <w:szCs w:val="24"/>
                <w:lang w:val="en-US"/>
              </w:rPr>
            </w:pPr>
            <w:r w:rsidRPr="00567EF0">
              <w:rPr>
                <w:rFonts w:ascii="Times New Roman" w:hAnsi="Times New Roman" w:cs="Times New Roman"/>
                <w:b/>
                <w:szCs w:val="24"/>
                <w:lang w:val="en-US"/>
              </w:rPr>
              <w:t>Forward sequence</w:t>
            </w:r>
          </w:p>
        </w:tc>
        <w:tc>
          <w:tcPr>
            <w:tcW w:w="3561" w:type="dxa"/>
            <w:tcBorders>
              <w:top w:val="nil"/>
              <w:left w:val="nil"/>
              <w:bottom w:val="thinThickSmallGap" w:sz="12" w:space="0" w:color="auto"/>
              <w:right w:val="nil"/>
            </w:tcBorders>
            <w:vAlign w:val="center"/>
          </w:tcPr>
          <w:p w:rsidR="00281E22" w:rsidRPr="00567EF0" w:rsidRDefault="00281E22" w:rsidP="00C67A40">
            <w:pPr>
              <w:pStyle w:val="NoSpacing"/>
              <w:jc w:val="center"/>
              <w:rPr>
                <w:rFonts w:ascii="Times New Roman" w:hAnsi="Times New Roman" w:cs="Times New Roman"/>
                <w:b/>
                <w:szCs w:val="24"/>
                <w:lang w:val="en-US"/>
              </w:rPr>
            </w:pPr>
            <w:r w:rsidRPr="00567EF0">
              <w:rPr>
                <w:rFonts w:ascii="Times New Roman" w:hAnsi="Times New Roman" w:cs="Times New Roman"/>
                <w:b/>
                <w:szCs w:val="24"/>
                <w:lang w:val="en-US"/>
              </w:rPr>
              <w:t>Reverse sequence</w:t>
            </w:r>
          </w:p>
        </w:tc>
      </w:tr>
      <w:tr w:rsidR="00281E22" w:rsidTr="00900857">
        <w:trPr>
          <w:trHeight w:val="454"/>
        </w:trPr>
        <w:tc>
          <w:tcPr>
            <w:tcW w:w="1230" w:type="dxa"/>
            <w:tcBorders>
              <w:top w:val="thinThickSmallGap" w:sz="12" w:space="0" w:color="auto"/>
              <w:left w:val="nil"/>
              <w:bottom w:val="nil"/>
              <w:right w:val="nil"/>
            </w:tcBorders>
            <w:vAlign w:val="center"/>
          </w:tcPr>
          <w:p w:rsidR="00281E22" w:rsidRPr="00567EF0" w:rsidRDefault="00281E22" w:rsidP="00C67A40">
            <w:pPr>
              <w:pStyle w:val="NoSpacing"/>
              <w:jc w:val="center"/>
              <w:rPr>
                <w:rFonts w:ascii="Times New Roman" w:hAnsi="Times New Roman" w:cs="Times New Roman"/>
                <w:b/>
                <w:i/>
                <w:szCs w:val="24"/>
                <w:lang w:val="en-US"/>
              </w:rPr>
            </w:pPr>
            <w:r w:rsidRPr="00567EF0">
              <w:rPr>
                <w:rFonts w:ascii="Times New Roman" w:hAnsi="Times New Roman" w:cs="Times New Roman"/>
                <w:b/>
                <w:i/>
                <w:szCs w:val="24"/>
                <w:lang w:val="en-US"/>
              </w:rPr>
              <w:t>Muc1</w:t>
            </w:r>
          </w:p>
        </w:tc>
        <w:tc>
          <w:tcPr>
            <w:tcW w:w="3929" w:type="dxa"/>
            <w:tcBorders>
              <w:top w:val="thinThickSmallGap" w:sz="12" w:space="0" w:color="auto"/>
              <w:left w:val="nil"/>
              <w:bottom w:val="nil"/>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CCCTATGAGGAGGTTTCGGC</w:t>
            </w:r>
          </w:p>
        </w:tc>
        <w:tc>
          <w:tcPr>
            <w:tcW w:w="3561" w:type="dxa"/>
            <w:tcBorders>
              <w:top w:val="thinThickSmallGap" w:sz="12" w:space="0" w:color="auto"/>
              <w:left w:val="nil"/>
              <w:bottom w:val="nil"/>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AAGGGCATGAACAGCCTACC</w:t>
            </w:r>
          </w:p>
        </w:tc>
      </w:tr>
      <w:tr w:rsidR="00281E22" w:rsidTr="00900857">
        <w:trPr>
          <w:trHeight w:val="454"/>
        </w:trPr>
        <w:tc>
          <w:tcPr>
            <w:tcW w:w="1230" w:type="dxa"/>
            <w:tcBorders>
              <w:top w:val="nil"/>
              <w:left w:val="nil"/>
              <w:bottom w:val="nil"/>
              <w:right w:val="nil"/>
            </w:tcBorders>
            <w:vAlign w:val="center"/>
          </w:tcPr>
          <w:p w:rsidR="00281E22" w:rsidRPr="00567EF0" w:rsidRDefault="00281E22" w:rsidP="00C67A40">
            <w:pPr>
              <w:pStyle w:val="NoSpacing"/>
              <w:jc w:val="center"/>
              <w:rPr>
                <w:rFonts w:ascii="Times New Roman" w:hAnsi="Times New Roman" w:cs="Times New Roman"/>
                <w:b/>
                <w:i/>
                <w:szCs w:val="24"/>
                <w:lang w:val="en-US"/>
              </w:rPr>
            </w:pPr>
            <w:r w:rsidRPr="00567EF0">
              <w:rPr>
                <w:rFonts w:ascii="Times New Roman" w:hAnsi="Times New Roman" w:cs="Times New Roman"/>
                <w:b/>
                <w:i/>
                <w:szCs w:val="24"/>
                <w:lang w:val="en-US"/>
              </w:rPr>
              <w:t>Muc2</w:t>
            </w:r>
          </w:p>
        </w:tc>
        <w:tc>
          <w:tcPr>
            <w:tcW w:w="3929" w:type="dxa"/>
            <w:tcBorders>
              <w:top w:val="nil"/>
              <w:left w:val="nil"/>
              <w:bottom w:val="nil"/>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TCCTGACCAAGAGCGAACAC</w:t>
            </w:r>
          </w:p>
        </w:tc>
        <w:tc>
          <w:tcPr>
            <w:tcW w:w="3561" w:type="dxa"/>
            <w:tcBorders>
              <w:top w:val="nil"/>
              <w:left w:val="nil"/>
              <w:bottom w:val="nil"/>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ACAGCACGACAGTCTTCAGG</w:t>
            </w:r>
          </w:p>
        </w:tc>
      </w:tr>
      <w:tr w:rsidR="00281E22" w:rsidTr="00900857">
        <w:trPr>
          <w:trHeight w:val="454"/>
        </w:trPr>
        <w:tc>
          <w:tcPr>
            <w:tcW w:w="1230" w:type="dxa"/>
            <w:tcBorders>
              <w:top w:val="nil"/>
              <w:left w:val="nil"/>
              <w:bottom w:val="thickThinSmallGap" w:sz="12" w:space="0" w:color="auto"/>
              <w:right w:val="nil"/>
            </w:tcBorders>
            <w:vAlign w:val="center"/>
          </w:tcPr>
          <w:p w:rsidR="00281E22" w:rsidRPr="00567EF0" w:rsidRDefault="00281E22" w:rsidP="00C67A40">
            <w:pPr>
              <w:pStyle w:val="NoSpacing"/>
              <w:jc w:val="center"/>
              <w:rPr>
                <w:rFonts w:ascii="Times New Roman" w:hAnsi="Times New Roman" w:cs="Times New Roman"/>
                <w:b/>
                <w:i/>
                <w:szCs w:val="24"/>
                <w:lang w:val="en-US"/>
              </w:rPr>
            </w:pPr>
            <w:proofErr w:type="spellStart"/>
            <w:r w:rsidRPr="00567EF0">
              <w:rPr>
                <w:rFonts w:ascii="Times New Roman" w:hAnsi="Times New Roman" w:cs="Times New Roman"/>
                <w:b/>
                <w:i/>
                <w:szCs w:val="24"/>
                <w:lang w:val="en-US"/>
              </w:rPr>
              <w:t>Ubq</w:t>
            </w:r>
            <w:proofErr w:type="spellEnd"/>
          </w:p>
        </w:tc>
        <w:tc>
          <w:tcPr>
            <w:tcW w:w="3929" w:type="dxa"/>
            <w:tcBorders>
              <w:top w:val="nil"/>
              <w:left w:val="nil"/>
              <w:bottom w:val="thickThinSmallGap" w:sz="12" w:space="0" w:color="auto"/>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TGGCTATTAATTATTCGGTCTGCAT</w:t>
            </w:r>
          </w:p>
        </w:tc>
        <w:tc>
          <w:tcPr>
            <w:tcW w:w="3561" w:type="dxa"/>
            <w:tcBorders>
              <w:top w:val="nil"/>
              <w:left w:val="nil"/>
              <w:bottom w:val="thickThinSmallGap" w:sz="12" w:space="0" w:color="auto"/>
              <w:right w:val="nil"/>
            </w:tcBorders>
            <w:vAlign w:val="center"/>
          </w:tcPr>
          <w:p w:rsidR="00281E22" w:rsidRPr="00567EF0" w:rsidRDefault="00281E22" w:rsidP="00C67A40">
            <w:pPr>
              <w:pStyle w:val="NoSpacing"/>
              <w:jc w:val="center"/>
              <w:rPr>
                <w:rFonts w:ascii="Times New Roman" w:hAnsi="Times New Roman" w:cs="Times New Roman"/>
                <w:sz w:val="20"/>
                <w:szCs w:val="24"/>
                <w:lang w:val="en-US"/>
              </w:rPr>
            </w:pPr>
            <w:r w:rsidRPr="00567EF0">
              <w:rPr>
                <w:rFonts w:ascii="Times New Roman" w:hAnsi="Times New Roman" w:cs="Times New Roman"/>
                <w:sz w:val="20"/>
                <w:szCs w:val="24"/>
                <w:lang w:val="en-US"/>
              </w:rPr>
              <w:t>GCAAGTGGCTAGAGTGCAGAGTAA</w:t>
            </w:r>
          </w:p>
        </w:tc>
      </w:tr>
    </w:tbl>
    <w:p w:rsidR="00281E22" w:rsidRDefault="00281E22"/>
    <w:p w:rsidR="00724EB5" w:rsidRDefault="00724EB5"/>
    <w:p w:rsidR="00724EB5" w:rsidRDefault="0099755A">
      <w:r>
        <w:rPr>
          <w:noProof/>
          <w:lang w:val="pt-PT" w:eastAsia="pt-PT"/>
        </w:rPr>
        <w:lastRenderedPageBreak/>
        <w:drawing>
          <wp:inline distT="0" distB="0" distL="0" distR="0" wp14:anchorId="607506A6">
            <wp:extent cx="5328000" cy="579400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8000" cy="5794006"/>
                    </a:xfrm>
                    <a:prstGeom prst="rect">
                      <a:avLst/>
                    </a:prstGeom>
                    <a:noFill/>
                  </pic:spPr>
                </pic:pic>
              </a:graphicData>
            </a:graphic>
          </wp:inline>
        </w:drawing>
      </w:r>
    </w:p>
    <w:p w:rsidR="00336ACF" w:rsidRDefault="00724EB5" w:rsidP="00336ACF">
      <w:pPr>
        <w:spacing w:after="0" w:line="240" w:lineRule="auto"/>
        <w:jc w:val="both"/>
        <w:rPr>
          <w:rFonts w:ascii="Times New Roman" w:hAnsi="Times New Roman"/>
          <w:sz w:val="24"/>
          <w:szCs w:val="24"/>
        </w:rPr>
      </w:pPr>
      <w:r>
        <w:rPr>
          <w:rFonts w:ascii="Times New Roman" w:hAnsi="Times New Roman"/>
          <w:b/>
          <w:sz w:val="24"/>
          <w:szCs w:val="24"/>
          <w:lang w:val="en-GB"/>
        </w:rPr>
        <w:t xml:space="preserve">Figure S1 - </w:t>
      </w:r>
      <w:r w:rsidRPr="00F37891">
        <w:rPr>
          <w:rFonts w:ascii="Times New Roman" w:eastAsiaTheme="minorHAnsi" w:hAnsi="Times New Roman"/>
          <w:b/>
          <w:sz w:val="24"/>
          <w:szCs w:val="24"/>
        </w:rPr>
        <w:t>Evaluation of histological and clinical parameters.</w:t>
      </w:r>
      <w:r w:rsidRPr="00F37891">
        <w:rPr>
          <w:rFonts w:ascii="Times New Roman" w:eastAsiaTheme="minorHAnsi" w:hAnsi="Times New Roman"/>
          <w:sz w:val="24"/>
          <w:szCs w:val="24"/>
        </w:rPr>
        <w:t xml:space="preserve"> (A) Colon length was measured after excision at day 13. (B) Intestinal permeability was measured after administration of FITC-</w:t>
      </w:r>
      <w:r w:rsidRPr="00336ACF">
        <w:rPr>
          <w:rFonts w:ascii="Times New Roman" w:eastAsiaTheme="minorHAnsi" w:hAnsi="Times New Roman"/>
          <w:sz w:val="24"/>
          <w:szCs w:val="24"/>
        </w:rPr>
        <w:t xml:space="preserve">Dextran by oral gavage and quantified in the serum after four hours of administration. </w:t>
      </w:r>
      <w:r w:rsidR="0099755A" w:rsidRPr="00336ACF">
        <w:rPr>
          <w:rFonts w:ascii="Times New Roman" w:eastAsiaTheme="minorHAnsi" w:hAnsi="Times New Roman"/>
          <w:sz w:val="24"/>
          <w:szCs w:val="24"/>
        </w:rPr>
        <w:t>(C) As one of the parameters of DAI, the body weight was measured daily during the experimental procedure.</w:t>
      </w:r>
      <w:r w:rsidR="0099755A" w:rsidRPr="0099755A">
        <w:rPr>
          <w:rFonts w:ascii="Times New Roman" w:eastAsiaTheme="minorHAnsi" w:hAnsi="Times New Roman"/>
          <w:sz w:val="24"/>
          <w:szCs w:val="24"/>
        </w:rPr>
        <w:t xml:space="preserve"> </w:t>
      </w:r>
      <w:r w:rsidRPr="00F37891">
        <w:rPr>
          <w:rFonts w:ascii="Times New Roman" w:eastAsiaTheme="minorHAnsi" w:hAnsi="Times New Roman"/>
          <w:sz w:val="24"/>
          <w:szCs w:val="24"/>
        </w:rPr>
        <w:t>(</w:t>
      </w:r>
      <w:r w:rsidR="0099755A">
        <w:rPr>
          <w:rFonts w:ascii="Times New Roman" w:eastAsiaTheme="minorHAnsi" w:hAnsi="Times New Roman"/>
          <w:sz w:val="24"/>
          <w:szCs w:val="24"/>
        </w:rPr>
        <w:t>D</w:t>
      </w:r>
      <w:r w:rsidRPr="00F37891">
        <w:rPr>
          <w:rFonts w:ascii="Times New Roman" w:eastAsiaTheme="minorHAnsi" w:hAnsi="Times New Roman"/>
          <w:sz w:val="24"/>
          <w:szCs w:val="24"/>
        </w:rPr>
        <w:t>) Serum levels of alanine transaminase (ALT), aspartate aminotransferase (AST) and creatinine were analyzed for renal and hepatic toxicity control. (</w:t>
      </w:r>
      <w:r w:rsidR="0099755A">
        <w:rPr>
          <w:rFonts w:ascii="Times New Roman" w:eastAsiaTheme="minorHAnsi" w:hAnsi="Times New Roman"/>
          <w:sz w:val="24"/>
          <w:szCs w:val="24"/>
        </w:rPr>
        <w:t>E</w:t>
      </w:r>
      <w:r w:rsidRPr="00F37891">
        <w:rPr>
          <w:rFonts w:ascii="Times New Roman" w:eastAsiaTheme="minorHAnsi" w:hAnsi="Times New Roman"/>
          <w:sz w:val="24"/>
          <w:szCs w:val="24"/>
        </w:rPr>
        <w:t xml:space="preserve">) Histological analysis of hematoxylin &amp; eosin staining of mice treated with DSS, </w:t>
      </w:r>
      <w:proofErr w:type="spellStart"/>
      <w:r w:rsidRPr="00F37891">
        <w:rPr>
          <w:rFonts w:ascii="Times New Roman" w:eastAsiaTheme="minorHAnsi" w:hAnsi="Times New Roman"/>
          <w:sz w:val="24"/>
          <w:szCs w:val="24"/>
        </w:rPr>
        <w:t>DSS+Thr</w:t>
      </w:r>
      <w:proofErr w:type="spellEnd"/>
      <w:r w:rsidRPr="00F37891">
        <w:rPr>
          <w:rFonts w:ascii="Times New Roman" w:eastAsiaTheme="minorHAnsi" w:hAnsi="Times New Roman"/>
          <w:sz w:val="24"/>
          <w:szCs w:val="24"/>
        </w:rPr>
        <w:t xml:space="preserve"> and </w:t>
      </w:r>
      <w:proofErr w:type="spellStart"/>
      <w:r w:rsidRPr="00F37891">
        <w:rPr>
          <w:rFonts w:ascii="Times New Roman" w:eastAsiaTheme="minorHAnsi" w:hAnsi="Times New Roman"/>
          <w:sz w:val="24"/>
          <w:szCs w:val="24"/>
        </w:rPr>
        <w:t>DSS+Thr</w:t>
      </w:r>
      <w:proofErr w:type="spellEnd"/>
      <w:r w:rsidRPr="00F37891">
        <w:rPr>
          <w:rFonts w:ascii="Times New Roman" w:eastAsiaTheme="minorHAnsi" w:hAnsi="Times New Roman"/>
          <w:sz w:val="24"/>
          <w:szCs w:val="24"/>
        </w:rPr>
        <w:t xml:space="preserve"> D8. Scale bar = 100 µm. Data is shown as mean ± SD; n=5 mice/group.</w:t>
      </w:r>
      <w:r w:rsidR="00092F03">
        <w:rPr>
          <w:rFonts w:ascii="Times New Roman" w:eastAsiaTheme="minorHAnsi" w:hAnsi="Times New Roman"/>
          <w:sz w:val="24"/>
          <w:szCs w:val="24"/>
        </w:rPr>
        <w:t xml:space="preserve"> </w:t>
      </w:r>
      <w:r w:rsidR="00336ACF" w:rsidRPr="003038B1">
        <w:rPr>
          <w:rFonts w:ascii="Times New Roman" w:eastAsiaTheme="minorHAnsi" w:hAnsi="Times New Roman"/>
          <w:sz w:val="24"/>
          <w:szCs w:val="24"/>
        </w:rPr>
        <w:t>No statistical differences were found between conditions.</w:t>
      </w:r>
      <w:r w:rsidR="00336ACF">
        <w:rPr>
          <w:rFonts w:ascii="Times New Roman" w:eastAsiaTheme="minorHAnsi" w:hAnsi="Times New Roman"/>
          <w:sz w:val="24"/>
          <w:szCs w:val="24"/>
        </w:rPr>
        <w:t xml:space="preserve"> </w:t>
      </w:r>
    </w:p>
    <w:p w:rsidR="00724EB5" w:rsidRPr="0099755A" w:rsidRDefault="00724EB5" w:rsidP="00724EB5">
      <w:pPr>
        <w:spacing w:after="0" w:line="240" w:lineRule="auto"/>
        <w:jc w:val="both"/>
        <w:rPr>
          <w:rFonts w:ascii="Times New Roman" w:eastAsiaTheme="minorHAnsi" w:hAnsi="Times New Roman"/>
          <w:sz w:val="24"/>
          <w:szCs w:val="24"/>
        </w:rPr>
      </w:pPr>
    </w:p>
    <w:p w:rsidR="00724EB5" w:rsidRDefault="00724EB5" w:rsidP="00724EB5"/>
    <w:p w:rsidR="00724EB5" w:rsidRDefault="00724EB5" w:rsidP="00724EB5"/>
    <w:p w:rsidR="00724EB5" w:rsidRDefault="00724EB5" w:rsidP="00724EB5">
      <w:r>
        <w:rPr>
          <w:noProof/>
          <w:lang w:val="pt-PT" w:eastAsia="pt-PT"/>
        </w:rPr>
        <w:lastRenderedPageBreak/>
        <w:drawing>
          <wp:inline distT="0" distB="0" distL="0" distR="0" wp14:anchorId="2996118D">
            <wp:extent cx="5400000" cy="270298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00" cy="2702988"/>
                    </a:xfrm>
                    <a:prstGeom prst="rect">
                      <a:avLst/>
                    </a:prstGeom>
                    <a:noFill/>
                  </pic:spPr>
                </pic:pic>
              </a:graphicData>
            </a:graphic>
          </wp:inline>
        </w:drawing>
      </w:r>
    </w:p>
    <w:p w:rsidR="00724EB5" w:rsidRDefault="00724EB5" w:rsidP="00724EB5">
      <w:pPr>
        <w:spacing w:after="0" w:line="240" w:lineRule="auto"/>
        <w:jc w:val="both"/>
        <w:rPr>
          <w:rFonts w:ascii="Times New Roman" w:hAnsi="Times New Roman"/>
          <w:b/>
          <w:sz w:val="24"/>
          <w:szCs w:val="24"/>
          <w:lang w:val="en-GB"/>
        </w:rPr>
      </w:pPr>
    </w:p>
    <w:p w:rsidR="00092F03" w:rsidRDefault="00724EB5" w:rsidP="00092F03">
      <w:pPr>
        <w:spacing w:after="0" w:line="240" w:lineRule="auto"/>
        <w:jc w:val="both"/>
        <w:rPr>
          <w:rFonts w:ascii="Times New Roman" w:hAnsi="Times New Roman"/>
          <w:sz w:val="24"/>
          <w:szCs w:val="24"/>
        </w:rPr>
      </w:pPr>
      <w:r>
        <w:rPr>
          <w:rFonts w:ascii="Times New Roman" w:hAnsi="Times New Roman"/>
          <w:b/>
          <w:sz w:val="24"/>
          <w:szCs w:val="24"/>
          <w:lang w:val="en-GB"/>
        </w:rPr>
        <w:t xml:space="preserve">Figure S2 - </w:t>
      </w:r>
      <w:r w:rsidRPr="00F37891">
        <w:rPr>
          <w:rFonts w:ascii="Times New Roman" w:eastAsiaTheme="minorHAnsi" w:hAnsi="Times New Roman"/>
          <w:b/>
          <w:sz w:val="24"/>
          <w:szCs w:val="24"/>
        </w:rPr>
        <w:t>Quantification of cytokine levels in supernatants from colonic extracts.</w:t>
      </w:r>
      <w:r w:rsidRPr="00F37891">
        <w:rPr>
          <w:rFonts w:ascii="Times New Roman" w:eastAsiaTheme="minorHAnsi" w:hAnsi="Times New Roman"/>
          <w:sz w:val="24"/>
          <w:szCs w:val="24"/>
        </w:rPr>
        <w:t xml:space="preserve"> Levels of colonic IL-1β, IL-10, IL-12p70, IL-17A/F and GM-CSF were measured in the supernatants of ex vivo colonic </w:t>
      </w:r>
      <w:proofErr w:type="spellStart"/>
      <w:r w:rsidRPr="00F37891">
        <w:rPr>
          <w:rFonts w:ascii="Times New Roman" w:eastAsiaTheme="minorHAnsi" w:hAnsi="Times New Roman"/>
          <w:sz w:val="24"/>
          <w:szCs w:val="24"/>
        </w:rPr>
        <w:t>explantes</w:t>
      </w:r>
      <w:proofErr w:type="spellEnd"/>
      <w:r w:rsidRPr="00F37891">
        <w:rPr>
          <w:rFonts w:ascii="Times New Roman" w:eastAsiaTheme="minorHAnsi" w:hAnsi="Times New Roman"/>
          <w:sz w:val="24"/>
          <w:szCs w:val="24"/>
        </w:rPr>
        <w:t xml:space="preserve"> cultured at day 13. The concentration of secreted cytokines in the supernatant was normalized to total explant protein and expressed as picogram of cytokine per milligram of protein. Data is shown as mean ± SD; n=5 mice/group.</w:t>
      </w:r>
      <w:r w:rsidR="00092F03">
        <w:rPr>
          <w:rFonts w:ascii="Times New Roman" w:eastAsiaTheme="minorHAnsi" w:hAnsi="Times New Roman"/>
          <w:sz w:val="24"/>
          <w:szCs w:val="24"/>
        </w:rPr>
        <w:t xml:space="preserve"> </w:t>
      </w:r>
      <w:r w:rsidR="00336ACF" w:rsidRPr="003038B1">
        <w:rPr>
          <w:rFonts w:ascii="Times New Roman" w:eastAsiaTheme="minorHAnsi" w:hAnsi="Times New Roman"/>
          <w:sz w:val="24"/>
          <w:szCs w:val="24"/>
        </w:rPr>
        <w:t>No statistical differences were found between conditions.</w:t>
      </w:r>
    </w:p>
    <w:p w:rsidR="00724EB5" w:rsidRPr="00F37891" w:rsidRDefault="00724EB5" w:rsidP="00724EB5">
      <w:pPr>
        <w:spacing w:after="0" w:line="240" w:lineRule="auto"/>
        <w:jc w:val="both"/>
        <w:rPr>
          <w:rFonts w:ascii="Times New Roman" w:hAnsi="Times New Roman"/>
          <w:sz w:val="24"/>
          <w:szCs w:val="24"/>
        </w:rPr>
      </w:pPr>
    </w:p>
    <w:p w:rsidR="00724EB5" w:rsidRPr="00724EB5" w:rsidRDefault="00724EB5" w:rsidP="00724EB5"/>
    <w:sectPr w:rsidR="00724EB5" w:rsidRPr="00724EB5" w:rsidSect="00BD30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1FE"/>
    <w:rsid w:val="000171FE"/>
    <w:rsid w:val="00092F03"/>
    <w:rsid w:val="000D6951"/>
    <w:rsid w:val="00190F2D"/>
    <w:rsid w:val="00281E22"/>
    <w:rsid w:val="003038B1"/>
    <w:rsid w:val="003266A4"/>
    <w:rsid w:val="00332CDD"/>
    <w:rsid w:val="00336ACF"/>
    <w:rsid w:val="00377D47"/>
    <w:rsid w:val="004C0AA6"/>
    <w:rsid w:val="0053644E"/>
    <w:rsid w:val="006063B5"/>
    <w:rsid w:val="006A38C0"/>
    <w:rsid w:val="00715C7C"/>
    <w:rsid w:val="00724EB5"/>
    <w:rsid w:val="0074393A"/>
    <w:rsid w:val="00757A5C"/>
    <w:rsid w:val="008A5D0E"/>
    <w:rsid w:val="00900857"/>
    <w:rsid w:val="0099755A"/>
    <w:rsid w:val="00A4670A"/>
    <w:rsid w:val="00BD302E"/>
    <w:rsid w:val="00F45D9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A5F74-74D6-4DDE-B3A3-7C0185C3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E22"/>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1FE"/>
    <w:pPr>
      <w:spacing w:after="0" w:line="240" w:lineRule="auto"/>
    </w:pPr>
  </w:style>
  <w:style w:type="paragraph" w:styleId="CommentText">
    <w:name w:val="annotation text"/>
    <w:basedOn w:val="Normal"/>
    <w:link w:val="CommentTextChar"/>
    <w:uiPriority w:val="99"/>
    <w:semiHidden/>
    <w:unhideWhenUsed/>
    <w:rsid w:val="000171FE"/>
    <w:pPr>
      <w:spacing w:line="240" w:lineRule="auto"/>
    </w:pPr>
    <w:rPr>
      <w:sz w:val="20"/>
      <w:szCs w:val="20"/>
    </w:rPr>
  </w:style>
  <w:style w:type="character" w:customStyle="1" w:styleId="CommentTextChar">
    <w:name w:val="Comment Text Char"/>
    <w:basedOn w:val="DefaultParagraphFont"/>
    <w:link w:val="CommentText"/>
    <w:uiPriority w:val="99"/>
    <w:semiHidden/>
    <w:rsid w:val="000171FE"/>
    <w:rPr>
      <w:rFonts w:ascii="Calibri" w:eastAsia="Calibri" w:hAnsi="Calibri" w:cs="Times New Roman"/>
      <w:sz w:val="20"/>
      <w:szCs w:val="20"/>
      <w:lang w:val="en-US"/>
    </w:rPr>
  </w:style>
  <w:style w:type="character" w:styleId="CommentReference">
    <w:name w:val="annotation reference"/>
    <w:basedOn w:val="DefaultParagraphFont"/>
    <w:uiPriority w:val="99"/>
    <w:semiHidden/>
    <w:unhideWhenUsed/>
    <w:rsid w:val="000171FE"/>
    <w:rPr>
      <w:sz w:val="16"/>
      <w:szCs w:val="16"/>
    </w:rPr>
  </w:style>
  <w:style w:type="paragraph" w:styleId="BalloonText">
    <w:name w:val="Balloon Text"/>
    <w:basedOn w:val="Normal"/>
    <w:link w:val="BalloonTextChar"/>
    <w:uiPriority w:val="99"/>
    <w:semiHidden/>
    <w:unhideWhenUsed/>
    <w:rsid w:val="0001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1FE"/>
    <w:rPr>
      <w:rFonts w:ascii="Tahoma" w:hAnsi="Tahoma" w:cs="Tahoma"/>
      <w:sz w:val="16"/>
      <w:szCs w:val="16"/>
    </w:rPr>
  </w:style>
  <w:style w:type="table" w:styleId="TableGrid">
    <w:name w:val="Table Grid"/>
    <w:basedOn w:val="TableNormal"/>
    <w:uiPriority w:val="59"/>
    <w:rsid w:val="00281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24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336A5-BAB4-4CF6-9804-7B8C801BC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2346</Characters>
  <Application>Microsoft Office Word</Application>
  <DocSecurity>0</DocSecurity>
  <Lines>19</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dc:creator>
  <cp:lastModifiedBy>Sidra Amiri</cp:lastModifiedBy>
  <cp:revision>2</cp:revision>
  <dcterms:created xsi:type="dcterms:W3CDTF">2018-08-29T09:29:00Z</dcterms:created>
  <dcterms:modified xsi:type="dcterms:W3CDTF">2018-08-29T09:29:00Z</dcterms:modified>
</cp:coreProperties>
</file>