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450360" w:rsidRDefault="00450360" w:rsidP="00450360">
      <w:pPr>
        <w:spacing w:after="0"/>
        <w:jc w:val="center"/>
        <w:rPr>
          <w:rFonts w:cs="Times New Roman"/>
          <w:b/>
          <w:sz w:val="32"/>
          <w:szCs w:val="32"/>
        </w:rPr>
      </w:pPr>
      <w:r w:rsidRPr="00C432C9">
        <w:rPr>
          <w:rFonts w:cs="Times New Roman"/>
          <w:b/>
          <w:sz w:val="32"/>
          <w:szCs w:val="32"/>
        </w:rPr>
        <w:t xml:space="preserve">The Complex Puzzle of Interactions among Functional Food, Gut Microbiota and Colorectal Cancer </w:t>
      </w:r>
    </w:p>
    <w:p w:rsidR="00450360" w:rsidRPr="00DF2CE5" w:rsidRDefault="00450360" w:rsidP="00450360">
      <w:pPr>
        <w:pStyle w:val="AuthorList"/>
        <w:rPr>
          <w:lang w:val="pt-BR"/>
        </w:rPr>
      </w:pPr>
      <w:r w:rsidRPr="00933AC6">
        <w:rPr>
          <w:lang w:val="pt-BR"/>
        </w:rPr>
        <w:t>Lígia Aurélio Bezerra Maranhão Mendonça</w:t>
      </w:r>
      <w:r w:rsidRPr="00933AC6">
        <w:rPr>
          <w:vertAlign w:val="superscript"/>
          <w:lang w:val="pt-BR"/>
        </w:rPr>
        <w:t>*1</w:t>
      </w:r>
      <w:r w:rsidRPr="00933AC6">
        <w:rPr>
          <w:lang w:val="pt-BR"/>
        </w:rPr>
        <w:t>, Rosângela dos Santos Ferreira</w:t>
      </w:r>
      <w:r w:rsidRPr="00933AC6">
        <w:rPr>
          <w:vertAlign w:val="superscript"/>
          <w:lang w:val="pt-BR"/>
        </w:rPr>
        <w:t xml:space="preserve"> 2*</w:t>
      </w:r>
      <w:r w:rsidRPr="00933AC6">
        <w:rPr>
          <w:lang w:val="pt-BR"/>
        </w:rPr>
        <w:t>, Rita de Cássia Avellaneda Guimarães</w:t>
      </w:r>
      <w:r w:rsidRPr="00933AC6">
        <w:rPr>
          <w:vertAlign w:val="superscript"/>
          <w:lang w:val="pt-BR"/>
        </w:rPr>
        <w:t xml:space="preserve"> 2</w:t>
      </w:r>
      <w:r>
        <w:rPr>
          <w:lang w:val="pt-BR"/>
        </w:rPr>
        <w:t xml:space="preserve">, </w:t>
      </w:r>
      <w:r w:rsidRPr="00933AC6">
        <w:rPr>
          <w:lang w:val="pt-BR"/>
        </w:rPr>
        <w:t>Alinne Pereira de Castro</w:t>
      </w:r>
      <w:r w:rsidRPr="00933AC6">
        <w:rPr>
          <w:vertAlign w:val="superscript"/>
          <w:lang w:val="pt-BR"/>
        </w:rPr>
        <w:t>1</w:t>
      </w:r>
      <w:r>
        <w:rPr>
          <w:lang w:val="pt-BR"/>
        </w:rPr>
        <w:t xml:space="preserve">, </w:t>
      </w:r>
      <w:r w:rsidRPr="00933AC6">
        <w:rPr>
          <w:lang w:val="pt-BR"/>
        </w:rPr>
        <w:t>Octávio Luiz Franco</w:t>
      </w:r>
      <w:r w:rsidRPr="00933AC6">
        <w:rPr>
          <w:vertAlign w:val="superscript"/>
          <w:lang w:val="pt-BR"/>
        </w:rPr>
        <w:t>1</w:t>
      </w:r>
      <w:r>
        <w:rPr>
          <w:vertAlign w:val="superscript"/>
          <w:lang w:val="pt-BR"/>
        </w:rPr>
        <w:t>,</w:t>
      </w:r>
      <w:r w:rsidRPr="00933AC6">
        <w:rPr>
          <w:vertAlign w:val="superscript"/>
          <w:lang w:val="pt-BR"/>
        </w:rPr>
        <w:t>3</w:t>
      </w:r>
      <w:r>
        <w:rPr>
          <w:lang w:val="pt-BR"/>
        </w:rPr>
        <w:t xml:space="preserve">, </w:t>
      </w:r>
      <w:r w:rsidRPr="00DF2CE5">
        <w:rPr>
          <w:lang w:val="pt-BR"/>
        </w:rPr>
        <w:t>Rosemary Matias</w:t>
      </w:r>
      <w:r w:rsidRPr="00DF2CE5">
        <w:rPr>
          <w:vertAlign w:val="superscript"/>
          <w:lang w:val="pt-BR"/>
        </w:rPr>
        <w:t>4</w:t>
      </w:r>
      <w:r>
        <w:rPr>
          <w:vertAlign w:val="superscript"/>
          <w:lang w:val="pt-BR"/>
        </w:rPr>
        <w:t>,</w:t>
      </w:r>
      <w:r w:rsidRPr="00DF2CE5">
        <w:rPr>
          <w:vertAlign w:val="superscript"/>
          <w:lang w:val="pt-BR"/>
        </w:rPr>
        <w:t>5</w:t>
      </w:r>
      <w:r w:rsidRPr="00DF2CE5">
        <w:rPr>
          <w:lang w:val="pt-BR"/>
        </w:rPr>
        <w:t>, Cristiano Marcelo Espinola Carvalho</w:t>
      </w:r>
      <w:r w:rsidRPr="00DF2CE5">
        <w:rPr>
          <w:vertAlign w:val="superscript"/>
          <w:lang w:val="pt-BR"/>
        </w:rPr>
        <w:t>1</w:t>
      </w:r>
      <w:r>
        <w:rPr>
          <w:vertAlign w:val="superscript"/>
          <w:lang w:val="pt-BR"/>
        </w:rPr>
        <w:t>,</w:t>
      </w:r>
      <w:r w:rsidRPr="00DF2CE5">
        <w:rPr>
          <w:vertAlign w:val="superscript"/>
          <w:lang w:val="pt-BR"/>
        </w:rPr>
        <w:t>5</w:t>
      </w:r>
    </w:p>
    <w:p w:rsidR="00450360" w:rsidRPr="00450360" w:rsidRDefault="002868E2" w:rsidP="00450360">
      <w:pPr>
        <w:pStyle w:val="Padro"/>
        <w:spacing w:after="0" w:line="240" w:lineRule="auto"/>
        <w:jc w:val="both"/>
        <w:rPr>
          <w:rFonts w:cs="Times New Roman"/>
        </w:rPr>
      </w:pPr>
      <w:r w:rsidRPr="00994A3D">
        <w:rPr>
          <w:rFonts w:cs="Times New Roman"/>
          <w:b/>
        </w:rPr>
        <w:t xml:space="preserve">* </w:t>
      </w:r>
      <w:proofErr w:type="spellStart"/>
      <w:r w:rsidRPr="00994A3D">
        <w:rPr>
          <w:rFonts w:cs="Times New Roman"/>
          <w:b/>
        </w:rPr>
        <w:t>Correspondence</w:t>
      </w:r>
      <w:proofErr w:type="spellEnd"/>
      <w:r w:rsidRPr="00994A3D">
        <w:rPr>
          <w:rFonts w:cs="Times New Roman"/>
          <w:b/>
        </w:rPr>
        <w:t xml:space="preserve">: </w:t>
      </w:r>
      <w:r w:rsidR="00450360" w:rsidRPr="00B42E9A">
        <w:rPr>
          <w:rFonts w:cs="Times New Roman"/>
        </w:rPr>
        <w:t>Lígia Aur</w:t>
      </w:r>
      <w:r w:rsidR="00450360">
        <w:rPr>
          <w:rFonts w:cs="Times New Roman"/>
        </w:rPr>
        <w:t xml:space="preserve">élio Bezerra Maranhão Mendonça </w:t>
      </w:r>
      <w:r w:rsidR="00450360" w:rsidRPr="00450360">
        <w:rPr>
          <w:rFonts w:cs="Times New Roman"/>
        </w:rPr>
        <w:t xml:space="preserve">lmendoncanutri@gmail.com </w:t>
      </w:r>
    </w:p>
    <w:p w:rsidR="002868E2" w:rsidRPr="00450360" w:rsidRDefault="002868E2" w:rsidP="00994A3D">
      <w:pPr>
        <w:spacing w:before="240" w:after="0"/>
        <w:rPr>
          <w:rFonts w:cs="Times New Roman"/>
          <w:lang w:val="pt-BR"/>
        </w:rPr>
      </w:pPr>
    </w:p>
    <w:p w:rsidR="00EA3D3C" w:rsidRPr="00994A3D" w:rsidRDefault="00251D5B" w:rsidP="0037433C">
      <w:pPr>
        <w:pStyle w:val="Ttulo1"/>
        <w:numPr>
          <w:ilvl w:val="0"/>
          <w:numId w:val="0"/>
        </w:numPr>
      </w:pPr>
      <w:r>
        <w:t xml:space="preserve">1 </w:t>
      </w:r>
      <w:r w:rsidR="00654E8F" w:rsidRPr="00994A3D">
        <w:t xml:space="preserve">Supplementary </w:t>
      </w:r>
      <w:r w:rsidR="00E3665F">
        <w:t>Table 2</w:t>
      </w:r>
    </w:p>
    <w:p w:rsidR="0037433C" w:rsidRDefault="0037433C" w:rsidP="007C4F3E">
      <w:pPr>
        <w:pStyle w:val="PargrafodaLista"/>
        <w:numPr>
          <w:ilvl w:val="0"/>
          <w:numId w:val="0"/>
        </w:numPr>
        <w:spacing w:after="0"/>
        <w:jc w:val="both"/>
      </w:pPr>
      <w:r>
        <w:rPr>
          <w:b/>
        </w:rPr>
        <w:t>Table</w:t>
      </w:r>
      <w:r w:rsidRPr="005E150C">
        <w:rPr>
          <w:b/>
        </w:rPr>
        <w:t xml:space="preserve"> 2. </w:t>
      </w:r>
      <w:r w:rsidRPr="006255A8">
        <w:t xml:space="preserve">Functional foods, </w:t>
      </w:r>
      <w:r>
        <w:t>BFC</w:t>
      </w:r>
      <w:r w:rsidRPr="006255A8">
        <w:t xml:space="preserve"> constituents, us</w:t>
      </w:r>
      <w:r>
        <w:t>ed in the treatment of CRC</w:t>
      </w:r>
    </w:p>
    <w:tbl>
      <w:tblPr>
        <w:tblStyle w:val="Tabelacomgrade"/>
        <w:tblW w:w="957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7"/>
        <w:gridCol w:w="3434"/>
        <w:gridCol w:w="1704"/>
        <w:gridCol w:w="749"/>
      </w:tblGrid>
      <w:tr w:rsidR="0037433C" w:rsidRPr="00672F4E" w:rsidTr="00F6445A">
        <w:tc>
          <w:tcPr>
            <w:tcW w:w="9571" w:type="dxa"/>
            <w:gridSpan w:val="5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255A8">
              <w:rPr>
                <w:b/>
              </w:rPr>
              <w:t xml:space="preserve">iological </w:t>
            </w:r>
            <w:r>
              <w:rPr>
                <w:b/>
              </w:rPr>
              <w:t>assay</w:t>
            </w:r>
          </w:p>
        </w:tc>
      </w:tr>
      <w:tr w:rsidR="0037433C" w:rsidRPr="00672F4E" w:rsidTr="00F6445A">
        <w:tc>
          <w:tcPr>
            <w:tcW w:w="1418" w:type="dxa"/>
            <w:tcBorders>
              <w:left w:val="nil"/>
            </w:tcBorders>
            <w:vAlign w:val="center"/>
            <w:hideMark/>
          </w:tcPr>
          <w:p w:rsidR="0037433C" w:rsidRPr="00672F4E" w:rsidRDefault="0037433C" w:rsidP="00F6445A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Functional Food</w:t>
            </w:r>
          </w:p>
        </w:tc>
        <w:tc>
          <w:tcPr>
            <w:tcW w:w="2267" w:type="dxa"/>
            <w:vAlign w:val="center"/>
            <w:hideMark/>
          </w:tcPr>
          <w:p w:rsidR="0037433C" w:rsidRPr="00672F4E" w:rsidRDefault="0037433C" w:rsidP="00F6445A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Bioactive Substance</w:t>
            </w:r>
          </w:p>
        </w:tc>
        <w:tc>
          <w:tcPr>
            <w:tcW w:w="3434" w:type="dxa"/>
            <w:vAlign w:val="center"/>
            <w:hideMark/>
          </w:tcPr>
          <w:p w:rsidR="0037433C" w:rsidRPr="00672F4E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72F4E">
              <w:rPr>
                <w:b/>
              </w:rPr>
              <w:t>Probable bioactive effect</w:t>
            </w:r>
          </w:p>
        </w:tc>
        <w:tc>
          <w:tcPr>
            <w:tcW w:w="1704" w:type="dxa"/>
            <w:vAlign w:val="center"/>
            <w:hideMark/>
          </w:tcPr>
          <w:p w:rsidR="0037433C" w:rsidRPr="00672F4E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672F4E" w:rsidRDefault="0037433C" w:rsidP="00F6445A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672F4E">
              <w:rPr>
                <w:b/>
              </w:rPr>
              <w:t>Ref.</w:t>
            </w:r>
          </w:p>
        </w:tc>
      </w:tr>
      <w:tr w:rsidR="0037433C" w:rsidRPr="00672F4E" w:rsidTr="00F6445A">
        <w:tc>
          <w:tcPr>
            <w:tcW w:w="1418" w:type="dxa"/>
            <w:vMerge w:val="restart"/>
            <w:tcBorders>
              <w:left w:val="nil"/>
            </w:tcBorders>
            <w:vAlign w:val="center"/>
            <w:hideMark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121F8C">
              <w:t>Flaxseed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  <w:r w:rsidRPr="00121F8C">
              <w:t xml:space="preserve">Polyunsaturated fatty acid </w:t>
            </w:r>
            <w:r w:rsidRPr="00672F4E">
              <w:t>(n-3)</w:t>
            </w:r>
          </w:p>
        </w:tc>
        <w:tc>
          <w:tcPr>
            <w:tcW w:w="3434" w:type="dxa"/>
            <w:vAlign w:val="center"/>
            <w:hideMark/>
          </w:tcPr>
          <w:p w:rsidR="0037433C" w:rsidRPr="00F07BD0" w:rsidRDefault="0037433C" w:rsidP="00621192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07BD0">
              <w:t>Inhibition of angiogenesis caused by CRC</w:t>
            </w:r>
          </w:p>
        </w:tc>
        <w:tc>
          <w:tcPr>
            <w:tcW w:w="1704" w:type="dxa"/>
            <w:vAlign w:val="center"/>
            <w:hideMark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672F4E">
              <w:t>Nude (nu/nu)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672F4E" w:rsidRDefault="0037433C" w:rsidP="00AD58AD">
            <w:pPr>
              <w:pStyle w:val="PargrafodaLista"/>
              <w:spacing w:after="0"/>
              <w:ind w:left="0"/>
              <w:jc w:val="center"/>
            </w:pPr>
            <w:r w:rsidRPr="007565C6">
              <w:t>[</w:t>
            </w:r>
            <w:r w:rsidR="00AD58AD">
              <w:t>95</w:t>
            </w:r>
            <w:r w:rsidRPr="007565C6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37433C" w:rsidRPr="00672F4E" w:rsidRDefault="0037433C" w:rsidP="003D3A99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3434" w:type="dxa"/>
            <w:vAlign w:val="center"/>
            <w:hideMark/>
          </w:tcPr>
          <w:p w:rsidR="0037433C" w:rsidRPr="00F07BD0" w:rsidRDefault="0037433C" w:rsidP="007C4F3E">
            <w:pPr>
              <w:pStyle w:val="PargrafodaLista"/>
              <w:spacing w:after="0"/>
              <w:ind w:left="0"/>
              <w:jc w:val="center"/>
            </w:pPr>
            <w:r w:rsidRPr="00F07BD0">
              <w:t xml:space="preserve">Increased expression of FFAR4 </w:t>
            </w:r>
            <w:bookmarkStart w:id="0" w:name="_GoBack"/>
            <w:bookmarkEnd w:id="0"/>
            <w:r w:rsidRPr="00F07BD0">
              <w:t>in colon</w:t>
            </w:r>
          </w:p>
        </w:tc>
        <w:tc>
          <w:tcPr>
            <w:tcW w:w="1704" w:type="dxa"/>
            <w:vAlign w:val="center"/>
            <w:hideMark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672F4E">
              <w:t>Sprague–Dawley rats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672F4E" w:rsidRDefault="0037433C" w:rsidP="00AD58AD">
            <w:pPr>
              <w:pStyle w:val="PargrafodaLista"/>
              <w:spacing w:after="0"/>
              <w:ind w:left="0"/>
              <w:jc w:val="center"/>
            </w:pPr>
            <w:r w:rsidRPr="007565C6">
              <w:t>[</w:t>
            </w:r>
            <w:r w:rsidR="00AD58AD">
              <w:t>96</w:t>
            </w:r>
            <w:r w:rsidRPr="007565C6">
              <w:t>]</w:t>
            </w:r>
          </w:p>
        </w:tc>
      </w:tr>
      <w:tr w:rsidR="0037433C" w:rsidRPr="00672F4E" w:rsidTr="00F6445A">
        <w:trPr>
          <w:trHeight w:val="863"/>
        </w:trPr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37433C" w:rsidRPr="00672F4E" w:rsidRDefault="0037433C" w:rsidP="003D3A99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Align w:val="center"/>
            <w:hideMark/>
          </w:tcPr>
          <w:p w:rsidR="0037433C" w:rsidRPr="002D7250" w:rsidRDefault="0037433C" w:rsidP="007C4F3E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2D7250">
              <w:rPr>
                <w:rFonts w:cs="Times New Roman"/>
                <w:szCs w:val="24"/>
              </w:rPr>
              <w:t>Phytic</w:t>
            </w:r>
            <w:proofErr w:type="spellEnd"/>
            <w:r w:rsidRPr="002D7250">
              <w:rPr>
                <w:rFonts w:cs="Times New Roman"/>
                <w:szCs w:val="24"/>
              </w:rPr>
              <w:t xml:space="preserve"> Acid</w:t>
            </w:r>
          </w:p>
          <w:p w:rsidR="0037433C" w:rsidRPr="002D7250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2D7250">
              <w:t xml:space="preserve">Inositol </w:t>
            </w:r>
            <w:proofErr w:type="spellStart"/>
            <w:r w:rsidRPr="002D7250">
              <w:t>Hexaphosphate</w:t>
            </w:r>
            <w:proofErr w:type="spellEnd"/>
            <w:r w:rsidRPr="002D7250">
              <w:t xml:space="preserve"> (IP6)</w:t>
            </w:r>
          </w:p>
        </w:tc>
        <w:tc>
          <w:tcPr>
            <w:tcW w:w="3434" w:type="dxa"/>
            <w:vAlign w:val="center"/>
            <w:hideMark/>
          </w:tcPr>
          <w:p w:rsidR="0037433C" w:rsidRPr="002D7250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2D7250">
              <w:t>Inhibition of development of metastatic progression of CRC</w:t>
            </w:r>
          </w:p>
        </w:tc>
        <w:tc>
          <w:tcPr>
            <w:tcW w:w="1704" w:type="dxa"/>
            <w:vAlign w:val="center"/>
            <w:hideMark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672F4E">
              <w:t>BALB/c</w:t>
            </w:r>
          </w:p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672F4E">
              <w:t>(n</w:t>
            </w:r>
            <w:r>
              <w:t xml:space="preserve"> </w:t>
            </w:r>
            <w:r w:rsidRPr="00672F4E">
              <w:t>= 48)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672F4E" w:rsidRDefault="0037433C" w:rsidP="00AD58AD">
            <w:pPr>
              <w:pStyle w:val="PargrafodaLista"/>
              <w:spacing w:after="0"/>
              <w:ind w:left="0"/>
              <w:jc w:val="center"/>
            </w:pPr>
            <w:r w:rsidRPr="007565C6">
              <w:t>[</w:t>
            </w:r>
            <w:r w:rsidR="00AD58AD">
              <w:t>97</w:t>
            </w:r>
            <w:r w:rsidRPr="007565C6">
              <w:t>]</w:t>
            </w:r>
          </w:p>
        </w:tc>
      </w:tr>
      <w:tr w:rsidR="0037433C" w:rsidRPr="007D2CC9" w:rsidTr="00F6445A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7433C" w:rsidRPr="00672F4E" w:rsidRDefault="0037433C" w:rsidP="003D3A99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t>Lignan</w:t>
            </w:r>
          </w:p>
        </w:tc>
        <w:tc>
          <w:tcPr>
            <w:tcW w:w="3434" w:type="dxa"/>
            <w:vAlign w:val="center"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t>Decreased proliferation and increased apoptosis of tumor cells - CRC</w:t>
            </w:r>
          </w:p>
        </w:tc>
        <w:tc>
          <w:tcPr>
            <w:tcW w:w="1704" w:type="dxa"/>
            <w:vAlign w:val="center"/>
          </w:tcPr>
          <w:p w:rsidR="0037433C" w:rsidRPr="00F45206" w:rsidRDefault="0037433C" w:rsidP="007C4F3E">
            <w:pPr>
              <w:pStyle w:val="PargrafodaLista"/>
              <w:spacing w:after="0"/>
              <w:ind w:left="0"/>
              <w:jc w:val="center"/>
            </w:pPr>
            <w:r w:rsidRPr="00F45206">
              <w:t>Caco-2 colon cancer cells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7D2CC9" w:rsidRDefault="0037433C" w:rsidP="00AD58AD">
            <w:pPr>
              <w:pStyle w:val="PargrafodaLista"/>
              <w:spacing w:after="0"/>
              <w:ind w:left="0"/>
              <w:jc w:val="center"/>
            </w:pPr>
            <w:r w:rsidRPr="007565C6">
              <w:t>[</w:t>
            </w:r>
            <w:r w:rsidR="00AD58AD">
              <w:t>98</w:t>
            </w:r>
            <w:r w:rsidRPr="007565C6">
              <w:t>]</w:t>
            </w:r>
          </w:p>
        </w:tc>
      </w:tr>
      <w:tr w:rsidR="0037433C" w:rsidRPr="00F45206" w:rsidTr="00F6445A">
        <w:tc>
          <w:tcPr>
            <w:tcW w:w="1418" w:type="dxa"/>
            <w:vMerge w:val="restart"/>
            <w:tcBorders>
              <w:left w:val="nil"/>
            </w:tcBorders>
            <w:vAlign w:val="center"/>
            <w:hideMark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>
              <w:t>Oat</w:t>
            </w:r>
          </w:p>
        </w:tc>
        <w:tc>
          <w:tcPr>
            <w:tcW w:w="2267" w:type="dxa"/>
            <w:vAlign w:val="center"/>
            <w:hideMark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rPr>
                <w:i/>
              </w:rPr>
              <w:t>β</w:t>
            </w:r>
            <w:r w:rsidRPr="00F45206">
              <w:t xml:space="preserve"> </w:t>
            </w:r>
            <w:proofErr w:type="spellStart"/>
            <w:r w:rsidRPr="00F45206">
              <w:t>glucan</w:t>
            </w:r>
            <w:proofErr w:type="spellEnd"/>
          </w:p>
        </w:tc>
        <w:tc>
          <w:tcPr>
            <w:tcW w:w="3434" w:type="dxa"/>
            <w:vAlign w:val="center"/>
            <w:hideMark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t>Prevention of CRC</w:t>
            </w:r>
          </w:p>
        </w:tc>
        <w:tc>
          <w:tcPr>
            <w:tcW w:w="1704" w:type="dxa"/>
            <w:vAlign w:val="center"/>
            <w:hideMark/>
          </w:tcPr>
          <w:p w:rsidR="0037433C" w:rsidRPr="00F45206" w:rsidRDefault="0037433C" w:rsidP="007C4F3E">
            <w:pPr>
              <w:pStyle w:val="PargrafodaLista"/>
              <w:spacing w:after="0"/>
              <w:ind w:left="0"/>
              <w:jc w:val="center"/>
            </w:pPr>
            <w:r w:rsidRPr="00F45206">
              <w:t>Kunming Mice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F45206" w:rsidRDefault="0037433C" w:rsidP="00AD58AD">
            <w:pPr>
              <w:pStyle w:val="PargrafodaLista"/>
              <w:spacing w:after="0"/>
              <w:ind w:left="0"/>
              <w:jc w:val="center"/>
            </w:pPr>
            <w:r w:rsidRPr="00F45206">
              <w:t>[</w:t>
            </w:r>
            <w:r w:rsidR="00AD58AD">
              <w:t>92</w:t>
            </w:r>
            <w:r w:rsidRPr="00F45206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 w:val="restart"/>
            <w:vAlign w:val="center"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rPr>
                <w:rFonts w:eastAsia="Times New Roman"/>
                <w:lang w:eastAsia="pt-BR"/>
              </w:rPr>
              <w:t>Phenolic amides (</w:t>
            </w:r>
            <w:proofErr w:type="spellStart"/>
            <w:r w:rsidRPr="00F45206">
              <w:rPr>
                <w:rFonts w:eastAsia="Times New Roman"/>
                <w:lang w:eastAsia="pt-BR"/>
              </w:rPr>
              <w:t>Avenanthramides</w:t>
            </w:r>
            <w:proofErr w:type="spellEnd"/>
            <w:r w:rsidRPr="00F45206">
              <w:rPr>
                <w:rFonts w:eastAsia="Times New Roman"/>
                <w:lang w:eastAsia="pt-BR"/>
              </w:rPr>
              <w:t>)</w:t>
            </w:r>
          </w:p>
        </w:tc>
        <w:tc>
          <w:tcPr>
            <w:tcW w:w="3434" w:type="dxa"/>
            <w:vAlign w:val="center"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t>Reducing the risk of CRC</w:t>
            </w:r>
          </w:p>
        </w:tc>
        <w:tc>
          <w:tcPr>
            <w:tcW w:w="1704" w:type="dxa"/>
            <w:vAlign w:val="center"/>
          </w:tcPr>
          <w:p w:rsidR="0037433C" w:rsidRPr="00F45206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45206">
              <w:t>Caco-2 and HT29 colon cancer cells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F45206" w:rsidRDefault="0037433C" w:rsidP="00AD58AD">
            <w:pPr>
              <w:pStyle w:val="PargrafodaLista"/>
              <w:spacing w:after="0"/>
              <w:ind w:left="0"/>
              <w:jc w:val="center"/>
            </w:pPr>
            <w:r w:rsidRPr="00F45206">
              <w:t>[</w:t>
            </w:r>
            <w:r w:rsidR="00AD58AD">
              <w:t>99</w:t>
            </w:r>
            <w:r w:rsidRPr="00F45206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37433C" w:rsidRPr="0028324C" w:rsidRDefault="0037433C" w:rsidP="007C4F3E">
            <w:pPr>
              <w:pStyle w:val="PargrafodaLista"/>
              <w:spacing w:after="0"/>
              <w:ind w:left="0"/>
              <w:jc w:val="center"/>
              <w:rPr>
                <w:rFonts w:eastAsia="Times New Roman"/>
                <w:highlight w:val="yellow"/>
                <w:lang w:eastAsia="pt-BR"/>
              </w:rPr>
            </w:pPr>
          </w:p>
        </w:tc>
        <w:tc>
          <w:tcPr>
            <w:tcW w:w="3434" w:type="dxa"/>
            <w:vAlign w:val="center"/>
          </w:tcPr>
          <w:p w:rsidR="0037433C" w:rsidRPr="0028324C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28324C">
              <w:t>Induction of apoptosis of colon cells</w:t>
            </w:r>
          </w:p>
        </w:tc>
        <w:tc>
          <w:tcPr>
            <w:tcW w:w="1704" w:type="dxa"/>
            <w:vAlign w:val="center"/>
          </w:tcPr>
          <w:p w:rsidR="0037433C" w:rsidRPr="00A1292C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A1292C">
              <w:t>HCT-116 human colon cancer cells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A1292C" w:rsidRDefault="0037433C" w:rsidP="00AD58AD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A1292C">
              <w:t>[</w:t>
            </w:r>
            <w:r w:rsidR="00FE25AF" w:rsidRPr="00A1292C">
              <w:t>7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vMerge w:val="restart"/>
            <w:tcBorders>
              <w:left w:val="nil"/>
            </w:tcBorders>
            <w:vAlign w:val="center"/>
            <w:hideMark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>
              <w:t>Soy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B446EB">
              <w:t>Isoflavone (</w:t>
            </w:r>
            <w:proofErr w:type="spellStart"/>
            <w:r w:rsidRPr="00B446EB">
              <w:t>Genistein</w:t>
            </w:r>
            <w:proofErr w:type="spellEnd"/>
            <w:r w:rsidRPr="00B446EB">
              <w:t xml:space="preserve"> and </w:t>
            </w:r>
            <w:proofErr w:type="spellStart"/>
            <w:r w:rsidRPr="00B446EB">
              <w:t>daidzein</w:t>
            </w:r>
            <w:proofErr w:type="spellEnd"/>
            <w:r w:rsidRPr="00B446EB">
              <w:t>)</w:t>
            </w:r>
          </w:p>
        </w:tc>
        <w:tc>
          <w:tcPr>
            <w:tcW w:w="3434" w:type="dxa"/>
            <w:vAlign w:val="center"/>
            <w:hideMark/>
          </w:tcPr>
          <w:p w:rsidR="0037433C" w:rsidRPr="00B446EB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B446EB">
              <w:t>Suppression of colon cancer growth</w:t>
            </w:r>
          </w:p>
        </w:tc>
        <w:tc>
          <w:tcPr>
            <w:tcW w:w="1704" w:type="dxa"/>
            <w:vAlign w:val="center"/>
            <w:hideMark/>
          </w:tcPr>
          <w:p w:rsidR="0037433C" w:rsidRPr="00A1292C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A1292C">
              <w:t>Sprague–Dawley rats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A1292C" w:rsidRDefault="0037433C" w:rsidP="00AD58AD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D58AD" w:rsidRPr="00A1292C">
              <w:t>100</w:t>
            </w:r>
            <w:r w:rsidRPr="00A1292C">
              <w:t>]</w:t>
            </w:r>
          </w:p>
        </w:tc>
      </w:tr>
      <w:tr w:rsidR="0037433C" w:rsidRPr="00672F4E" w:rsidTr="00F6445A">
        <w:trPr>
          <w:trHeight w:val="45"/>
        </w:trPr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37433C" w:rsidRPr="00672F4E" w:rsidRDefault="0037433C" w:rsidP="007C4F3E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3434" w:type="dxa"/>
            <w:vMerge w:val="restart"/>
            <w:vAlign w:val="center"/>
            <w:hideMark/>
          </w:tcPr>
          <w:p w:rsidR="0037433C" w:rsidRPr="00B446EB" w:rsidRDefault="0037433C" w:rsidP="007C4F3E">
            <w:pPr>
              <w:pStyle w:val="PargrafodaLista"/>
              <w:spacing w:after="0"/>
              <w:ind w:left="0"/>
              <w:jc w:val="center"/>
            </w:pPr>
            <w:r w:rsidRPr="00B446EB">
              <w:t>Reducing the risk of CRC - Anti-cancer</w:t>
            </w:r>
          </w:p>
        </w:tc>
        <w:tc>
          <w:tcPr>
            <w:tcW w:w="1704" w:type="dxa"/>
            <w:vAlign w:val="center"/>
            <w:hideMark/>
          </w:tcPr>
          <w:p w:rsidR="0037433C" w:rsidRPr="00A1292C" w:rsidRDefault="0037433C" w:rsidP="00A1292C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A1292C">
              <w:t>Women</w:t>
            </w:r>
          </w:p>
          <w:p w:rsidR="0037433C" w:rsidRPr="00A1292C" w:rsidRDefault="0037433C" w:rsidP="00A1292C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A1292C">
              <w:t>(n = 68.412)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A1292C" w:rsidRDefault="0037433C" w:rsidP="00AD58AD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D58AD" w:rsidRPr="00A1292C">
              <w:t>101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37433C" w:rsidRPr="00672F4E" w:rsidRDefault="0037433C" w:rsidP="007C4F3E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3434" w:type="dxa"/>
            <w:vMerge/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704" w:type="dxa"/>
            <w:vAlign w:val="center"/>
            <w:hideMark/>
          </w:tcPr>
          <w:p w:rsidR="0037433C" w:rsidRPr="00A1292C" w:rsidRDefault="0037433C" w:rsidP="007C4F3E">
            <w:pPr>
              <w:pStyle w:val="PargrafodaLista"/>
              <w:spacing w:after="0"/>
              <w:ind w:left="0"/>
              <w:jc w:val="center"/>
            </w:pPr>
            <w:r w:rsidRPr="00A1292C">
              <w:t>Patients with CRC (n = 901)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A1292C" w:rsidRDefault="0037433C" w:rsidP="00AD58AD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D58AD" w:rsidRPr="00A1292C">
              <w:t>102</w:t>
            </w:r>
            <w:r w:rsidRPr="00A1292C">
              <w:t>]</w:t>
            </w:r>
          </w:p>
        </w:tc>
      </w:tr>
      <w:tr w:rsidR="0037433C" w:rsidRPr="00672F4E" w:rsidTr="00F6445A">
        <w:trPr>
          <w:trHeight w:val="246"/>
        </w:trPr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37433C" w:rsidRPr="00672F4E" w:rsidRDefault="0037433C" w:rsidP="007C4F3E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3434" w:type="dxa"/>
            <w:vMerge/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704" w:type="dxa"/>
            <w:vAlign w:val="center"/>
            <w:hideMark/>
          </w:tcPr>
          <w:p w:rsidR="0037433C" w:rsidRPr="00A1292C" w:rsidRDefault="0037433C" w:rsidP="007C4F3E">
            <w:pPr>
              <w:pStyle w:val="PargrafodaLista"/>
              <w:spacing w:after="0"/>
              <w:ind w:left="0"/>
              <w:jc w:val="center"/>
            </w:pPr>
            <w:r w:rsidRPr="00A1292C">
              <w:t>Patients with CRC (n = 101)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D58AD" w:rsidRPr="00A1292C">
              <w:t>93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B936FF">
              <w:rPr>
                <w:b/>
              </w:rPr>
              <w:t>Reviews and Other Studies</w:t>
            </w:r>
          </w:p>
        </w:tc>
      </w:tr>
      <w:tr w:rsidR="0037433C" w:rsidRPr="00672F4E" w:rsidTr="00F6445A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8332DC">
            <w:pPr>
              <w:pStyle w:val="PargrafodaLista"/>
              <w:spacing w:after="0"/>
              <w:ind w:left="0"/>
              <w:jc w:val="center"/>
              <w:rPr>
                <w:rFonts w:eastAsia="Times New Roman"/>
                <w:lang w:eastAsia="pt-BR"/>
              </w:rPr>
            </w:pPr>
            <w:r>
              <w:rPr>
                <w:b/>
              </w:rPr>
              <w:t>Functional Food</w:t>
            </w: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  <w:rPr>
                <w:rFonts w:eastAsia="Times New Roman"/>
                <w:lang w:eastAsia="pt-BR"/>
              </w:rPr>
            </w:pPr>
            <w:r>
              <w:rPr>
                <w:b/>
              </w:rPr>
              <w:t>Bioactive Substance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7C4F3E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lang w:eastAsia="pt-BR"/>
              </w:rPr>
            </w:pPr>
            <w:r w:rsidRPr="00672F4E">
              <w:rPr>
                <w:b/>
              </w:rPr>
              <w:t>Probable bioactive effect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7C4F3E">
            <w:pPr>
              <w:pStyle w:val="PargrafodaLista"/>
              <w:spacing w:after="0"/>
              <w:ind w:left="0"/>
              <w:jc w:val="center"/>
              <w:rPr>
                <w:rFonts w:eastAsia="Times New Roman"/>
                <w:lang w:eastAsia="pt-BR"/>
              </w:rPr>
            </w:pPr>
            <w:r w:rsidRPr="00672F4E">
              <w:rPr>
                <w:b/>
              </w:rPr>
              <w:t>Ref.</w:t>
            </w:r>
          </w:p>
        </w:tc>
      </w:tr>
      <w:tr w:rsidR="0037433C" w:rsidRPr="00672F4E" w:rsidTr="00F6445A"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121F8C">
              <w:t>Flaxseed</w:t>
            </w:r>
          </w:p>
        </w:tc>
        <w:tc>
          <w:tcPr>
            <w:tcW w:w="2267" w:type="dxa"/>
            <w:vMerge w:val="restart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121F8C">
              <w:t xml:space="preserve">Polyunsaturated fatty acid </w:t>
            </w:r>
            <w:r w:rsidRPr="00672F4E">
              <w:t>(n-3)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CD77AE">
              <w:t>Blocks tumor formation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A1292C">
              <w:t>[</w:t>
            </w:r>
            <w:r w:rsidR="00A1292C" w:rsidRPr="00A1292C">
              <w:t>103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CD77AE">
              <w:t xml:space="preserve">Deregulates the expression of genes involved </w:t>
            </w:r>
            <w:r>
              <w:t>in the</w:t>
            </w:r>
            <w:r w:rsidRPr="00CD77AE">
              <w:t xml:space="preserve"> CRC and alters the membrane lipid composition of tumor cells</w:t>
            </w:r>
            <w:r>
              <w:t>.</w:t>
            </w:r>
          </w:p>
          <w:p w:rsidR="0037433C" w:rsidRPr="00CD77AE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CD77AE">
              <w:t>Reduction of proliferation and induction of apoptosis</w:t>
            </w:r>
            <w:r>
              <w:t>.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A1292C">
              <w:t>[</w:t>
            </w:r>
            <w:r w:rsidR="00A1292C" w:rsidRPr="00A1292C">
              <w:t>104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7433C" w:rsidRPr="00CD77A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>
              <w:t>IP6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F6445A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F6445A">
              <w:t>Inhibition of the metastatic process in CRC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F6445A" w:rsidRDefault="0037433C" w:rsidP="00F6445A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F6445A">
              <w:t>[</w:t>
            </w:r>
            <w:r w:rsidR="00F6445A" w:rsidRPr="00F6445A">
              <w:t>96</w:t>
            </w:r>
            <w:r w:rsidRPr="00F6445A">
              <w:t>]</w:t>
            </w:r>
          </w:p>
        </w:tc>
      </w:tr>
      <w:tr w:rsidR="0037433C" w:rsidRPr="00672F4E" w:rsidTr="00F6445A">
        <w:trPr>
          <w:trHeight w:val="848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 w:val="restart"/>
            <w:tcBorders>
              <w:left w:val="nil"/>
              <w:right w:val="nil"/>
            </w:tcBorders>
            <w:vAlign w:val="center"/>
          </w:tcPr>
          <w:p w:rsidR="0037433C" w:rsidRPr="007101E8" w:rsidRDefault="0037433C" w:rsidP="003D3A99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101E8">
              <w:rPr>
                <w:rFonts w:cs="Times New Roman"/>
                <w:szCs w:val="24"/>
              </w:rPr>
              <w:t>Lignanas</w:t>
            </w:r>
          </w:p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  <w:r w:rsidRPr="007101E8">
              <w:t>(Secossolariciresinol diglucoside)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7101E8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7101E8">
              <w:t>Reduction of proliferation and induction of tumor cell apoptosis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1292C" w:rsidRPr="00A1292C">
              <w:t>103</w:t>
            </w:r>
            <w:r w:rsidRPr="00A1292C">
              <w:t>]</w:t>
            </w:r>
          </w:p>
        </w:tc>
      </w:tr>
      <w:tr w:rsidR="0037433C" w:rsidRPr="00672F4E" w:rsidTr="00F6445A">
        <w:trPr>
          <w:trHeight w:val="804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7101E8">
              <w:t>Modulates cellular signaling pathways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1292C" w:rsidRPr="00A1292C">
              <w:t>105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7101E8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7101E8">
              <w:t>Antiproliferative and anti-angiogenesis protection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1292C" w:rsidRPr="00A1292C">
              <w:t>106</w:t>
            </w:r>
            <w:r w:rsidRPr="00A1292C">
              <w:t>]</w:t>
            </w:r>
            <w:r w:rsidR="00404B65" w:rsidRPr="00A1292C">
              <w:t xml:space="preserve"> </w:t>
            </w:r>
          </w:p>
        </w:tc>
      </w:tr>
      <w:tr w:rsidR="0037433C" w:rsidRPr="00672F4E" w:rsidTr="00F6445A"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8A27B7">
              <w:rPr>
                <w:rFonts w:eastAsia="Times New Roman"/>
                <w:lang w:eastAsia="pt-BR"/>
              </w:rPr>
              <w:t>Phenolic amides (</w:t>
            </w:r>
            <w:proofErr w:type="spellStart"/>
            <w:r w:rsidRPr="008A27B7">
              <w:rPr>
                <w:rFonts w:eastAsia="Times New Roman"/>
                <w:lang w:eastAsia="pt-BR"/>
              </w:rPr>
              <w:t>Avenanthramides</w:t>
            </w:r>
            <w:proofErr w:type="spellEnd"/>
            <w:r w:rsidRPr="008A27B7">
              <w:rPr>
                <w:rFonts w:eastAsia="Times New Roman"/>
                <w:lang w:eastAsia="pt-BR"/>
              </w:rPr>
              <w:t>)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8A27B7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8A27B7">
              <w:t>Reducing the risk of CRC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</w:pPr>
            <w:r w:rsidRPr="00A1292C">
              <w:t>[</w:t>
            </w:r>
            <w:r w:rsidR="00A1292C" w:rsidRPr="00A1292C">
              <w:t>107</w:t>
            </w:r>
            <w:r w:rsidRPr="00A1292C">
              <w:t>]</w:t>
            </w:r>
          </w:p>
        </w:tc>
      </w:tr>
      <w:tr w:rsidR="0037433C" w:rsidRPr="00672F4E" w:rsidTr="00F6445A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>
              <w:t>Oat</w:t>
            </w: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EC1A22">
              <w:rPr>
                <w:i/>
              </w:rPr>
              <w:t>β</w:t>
            </w:r>
            <w:r>
              <w:t xml:space="preserve"> </w:t>
            </w:r>
            <w:proofErr w:type="spellStart"/>
            <w:r>
              <w:t>Glucan</w:t>
            </w:r>
            <w:proofErr w:type="spellEnd"/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8A27B7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lang w:eastAsia="pt-BR"/>
              </w:rPr>
            </w:pPr>
            <w:r w:rsidRPr="008A27B7">
              <w:t>Formation of short chain fatty acids (SCFA) that decrease intra-colonic pH, inhibiting pathogenic a</w:t>
            </w:r>
            <w:r>
              <w:t>nd toxic proliferation (Figure 2</w:t>
            </w:r>
            <w:r w:rsidRPr="008A27B7">
              <w:t>)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A1292C">
              <w:t>[</w:t>
            </w:r>
            <w:r w:rsidR="00A1292C" w:rsidRPr="00A1292C">
              <w:t>108</w:t>
            </w:r>
            <w:r w:rsidRPr="00A1292C">
              <w:t>]</w:t>
            </w:r>
          </w:p>
        </w:tc>
      </w:tr>
      <w:tr w:rsidR="0037433C" w:rsidRPr="00672F4E" w:rsidTr="00F6445A">
        <w:trPr>
          <w:trHeight w:val="761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>
              <w:t>Soy</w:t>
            </w:r>
          </w:p>
        </w:tc>
        <w:tc>
          <w:tcPr>
            <w:tcW w:w="2267" w:type="dxa"/>
            <w:vMerge w:val="restart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lang w:eastAsia="pt-BR"/>
              </w:rPr>
            </w:pPr>
            <w:r w:rsidRPr="00B446EB">
              <w:t>Isoflavone (</w:t>
            </w:r>
            <w:proofErr w:type="spellStart"/>
            <w:r w:rsidRPr="00B446EB">
              <w:t>Genistein</w:t>
            </w:r>
            <w:proofErr w:type="spellEnd"/>
            <w:r w:rsidRPr="00B446EB">
              <w:t xml:space="preserve"> and </w:t>
            </w:r>
            <w:proofErr w:type="spellStart"/>
            <w:r w:rsidRPr="00B446EB">
              <w:t>daidzein</w:t>
            </w:r>
            <w:proofErr w:type="spellEnd"/>
            <w:r w:rsidRPr="00B446EB">
              <w:t>)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8A27B7" w:rsidRDefault="0037433C" w:rsidP="00F6445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F565C">
              <w:rPr>
                <w:rFonts w:cs="Times New Roman"/>
                <w:szCs w:val="24"/>
              </w:rPr>
              <w:t>Inhibit cell</w:t>
            </w:r>
            <w:r>
              <w:rPr>
                <w:rFonts w:cs="Times New Roman"/>
                <w:szCs w:val="24"/>
              </w:rPr>
              <w:t xml:space="preserve"> </w:t>
            </w:r>
            <w:r w:rsidRPr="00072865">
              <w:rPr>
                <w:rFonts w:cs="Times New Roman"/>
                <w:szCs w:val="24"/>
              </w:rPr>
              <w:t>proliferation and induce apoptosis</w:t>
            </w:r>
            <w:r>
              <w:rPr>
                <w:rFonts w:cs="Times New Roman"/>
                <w:szCs w:val="24"/>
              </w:rPr>
              <w:t>;</w:t>
            </w:r>
            <w:r w:rsidRPr="0007286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Decrease </w:t>
            </w:r>
            <w:r w:rsidRPr="00024343">
              <w:rPr>
                <w:rFonts w:cs="Times New Roman"/>
                <w:szCs w:val="24"/>
              </w:rPr>
              <w:t>GLI1 expression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  <w:lang w:val="es-AR"/>
              </w:rPr>
            </w:pPr>
            <w:r w:rsidRPr="00A1292C">
              <w:t>[</w:t>
            </w:r>
            <w:r w:rsidR="00A1292C" w:rsidRPr="00A1292C">
              <w:t>109</w:t>
            </w:r>
            <w:r w:rsidRPr="00A1292C">
              <w:t>]</w:t>
            </w:r>
            <w:r w:rsidRPr="00A1292C">
              <w:rPr>
                <w:rFonts w:eastAsia="Times New Roman"/>
                <w:lang w:val="es-AR" w:eastAsia="pt-BR"/>
              </w:rPr>
              <w:t xml:space="preserve"> </w:t>
            </w:r>
            <w:r w:rsidRPr="00A1292C">
              <w:t>[</w:t>
            </w:r>
            <w:r w:rsidR="00A1292C" w:rsidRPr="00A1292C">
              <w:t>110</w:t>
            </w:r>
            <w:r w:rsidRPr="00A1292C">
              <w:t>]</w:t>
            </w:r>
          </w:p>
        </w:tc>
      </w:tr>
      <w:tr w:rsidR="0037433C" w:rsidRPr="00481E8F" w:rsidTr="00F6445A">
        <w:trPr>
          <w:trHeight w:val="984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  <w:rPr>
                <w:lang w:val="es-AR"/>
              </w:rPr>
            </w:pPr>
          </w:p>
        </w:tc>
        <w:tc>
          <w:tcPr>
            <w:tcW w:w="2267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  <w:rPr>
                <w:lang w:val="es-AR"/>
              </w:rPr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8A27B7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lang w:eastAsia="pt-BR"/>
              </w:rPr>
            </w:pPr>
            <w:r w:rsidRPr="008A27B7">
              <w:rPr>
                <w:rFonts w:eastAsia="Times New Roman"/>
                <w:lang w:eastAsia="pt-BR"/>
              </w:rPr>
              <w:t>Inhibition of MMP-9 (Matrix metallopeptidase 9) responsible for tumor progression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  <w:lang w:val="es-AR"/>
              </w:rPr>
            </w:pPr>
            <w:r w:rsidRPr="00A1292C">
              <w:t>[</w:t>
            </w:r>
            <w:r w:rsidR="00A1292C" w:rsidRPr="00A1292C">
              <w:t>111</w:t>
            </w:r>
            <w:r w:rsidRPr="00A1292C">
              <w:t>]</w:t>
            </w:r>
          </w:p>
        </w:tc>
      </w:tr>
      <w:tr w:rsidR="0037433C" w:rsidRPr="00DF7CF8" w:rsidTr="00F6445A"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spacing w:after="0"/>
              <w:ind w:left="0"/>
              <w:jc w:val="center"/>
              <w:rPr>
                <w:lang w:val="es-AR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7433C" w:rsidRPr="00672F4E" w:rsidRDefault="0037433C" w:rsidP="003D3A99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  <w:rPr>
                <w:rFonts w:eastAsia="Times New Roman"/>
                <w:lang w:eastAsia="pt-BR"/>
              </w:rPr>
            </w:pPr>
            <w:r w:rsidRPr="008A27B7">
              <w:t>Saponins</w:t>
            </w: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37433C" w:rsidRPr="008A27B7" w:rsidRDefault="0037433C" w:rsidP="00F6445A">
            <w:pPr>
              <w:pStyle w:val="PargrafodaLista"/>
              <w:numPr>
                <w:ilvl w:val="0"/>
                <w:numId w:val="0"/>
              </w:numPr>
              <w:spacing w:after="0"/>
              <w:jc w:val="center"/>
            </w:pPr>
            <w:r w:rsidRPr="008A27B7">
              <w:rPr>
                <w:rFonts w:eastAsia="Times New Roman"/>
                <w:lang w:eastAsia="pt-BR"/>
              </w:rPr>
              <w:t>Inhibition of MMP-9 and gelatinase B, responsible for tumor progression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37433C" w:rsidRPr="00A1292C" w:rsidRDefault="0037433C" w:rsidP="00A1292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 w:rsidRPr="00A1292C">
              <w:t>[</w:t>
            </w:r>
            <w:r w:rsidR="00A1292C" w:rsidRPr="00A1292C">
              <w:t>111</w:t>
            </w:r>
            <w:r w:rsidRPr="00A1292C">
              <w:t>]</w:t>
            </w:r>
          </w:p>
        </w:tc>
      </w:tr>
    </w:tbl>
    <w:p w:rsidR="0080476A" w:rsidRDefault="0080476A" w:rsidP="0080476A">
      <w:pPr>
        <w:pStyle w:val="Ttulo2"/>
        <w:numPr>
          <w:ilvl w:val="0"/>
          <w:numId w:val="0"/>
        </w:numPr>
        <w:ind w:left="360"/>
      </w:pPr>
    </w:p>
    <w:p w:rsidR="0080476A" w:rsidRDefault="0080476A" w:rsidP="0080476A">
      <w:pPr>
        <w:pStyle w:val="Ttulo2"/>
        <w:numPr>
          <w:ilvl w:val="0"/>
          <w:numId w:val="0"/>
        </w:numPr>
        <w:ind w:left="360"/>
      </w:pPr>
    </w:p>
    <w:sectPr w:rsidR="0080476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50" w:rsidRDefault="00811F50" w:rsidP="00117666">
      <w:pPr>
        <w:spacing w:after="0"/>
      </w:pPr>
      <w:r>
        <w:separator/>
      </w:r>
    </w:p>
  </w:endnote>
  <w:endnote w:type="continuationSeparator" w:id="0">
    <w:p w:rsidR="00811F50" w:rsidRDefault="00811F5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5E20B" wp14:editId="3C4D817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6445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5E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6445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46D4273" wp14:editId="6E9AE56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6445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D427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6445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50" w:rsidRDefault="00811F50" w:rsidP="00117666">
      <w:pPr>
        <w:spacing w:after="0"/>
      </w:pPr>
      <w:r>
        <w:separator/>
      </w:r>
    </w:p>
  </w:footnote>
  <w:footnote w:type="continuationSeparator" w:id="0">
    <w:p w:rsidR="00811F50" w:rsidRDefault="00811F5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47609AE1" wp14:editId="6022958F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D06AE"/>
    <w:multiLevelType w:val="multilevel"/>
    <w:tmpl w:val="E51E5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6933"/>
    <w:multiLevelType w:val="multilevel"/>
    <w:tmpl w:val="16F27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0"/>
    <w:rsid w:val="0001436A"/>
    <w:rsid w:val="00034304"/>
    <w:rsid w:val="00035434"/>
    <w:rsid w:val="00052A14"/>
    <w:rsid w:val="00077D53"/>
    <w:rsid w:val="000A6D0A"/>
    <w:rsid w:val="00101AB2"/>
    <w:rsid w:val="00105FD9"/>
    <w:rsid w:val="00117666"/>
    <w:rsid w:val="001549D3"/>
    <w:rsid w:val="00160065"/>
    <w:rsid w:val="00177D84"/>
    <w:rsid w:val="001E064E"/>
    <w:rsid w:val="001F4F95"/>
    <w:rsid w:val="00251D5B"/>
    <w:rsid w:val="00267D18"/>
    <w:rsid w:val="0028324C"/>
    <w:rsid w:val="002868E2"/>
    <w:rsid w:val="002869C3"/>
    <w:rsid w:val="002936E4"/>
    <w:rsid w:val="0029693F"/>
    <w:rsid w:val="002B4A57"/>
    <w:rsid w:val="002C74CA"/>
    <w:rsid w:val="00331558"/>
    <w:rsid w:val="003544FB"/>
    <w:rsid w:val="0037433C"/>
    <w:rsid w:val="003D2F2D"/>
    <w:rsid w:val="003D3A99"/>
    <w:rsid w:val="00401590"/>
    <w:rsid w:val="00404B65"/>
    <w:rsid w:val="00447801"/>
    <w:rsid w:val="00450360"/>
    <w:rsid w:val="00452E9C"/>
    <w:rsid w:val="004735C8"/>
    <w:rsid w:val="004961FF"/>
    <w:rsid w:val="004B6DB8"/>
    <w:rsid w:val="00517A89"/>
    <w:rsid w:val="005250F2"/>
    <w:rsid w:val="00593EEA"/>
    <w:rsid w:val="005A5EEE"/>
    <w:rsid w:val="00621192"/>
    <w:rsid w:val="006375C7"/>
    <w:rsid w:val="00654E8F"/>
    <w:rsid w:val="00657F0D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4F3E"/>
    <w:rsid w:val="007C7E49"/>
    <w:rsid w:val="0080476A"/>
    <w:rsid w:val="00811F50"/>
    <w:rsid w:val="00817DD6"/>
    <w:rsid w:val="00861764"/>
    <w:rsid w:val="00885156"/>
    <w:rsid w:val="009151AA"/>
    <w:rsid w:val="0093429D"/>
    <w:rsid w:val="00943573"/>
    <w:rsid w:val="00970F7D"/>
    <w:rsid w:val="00994A3D"/>
    <w:rsid w:val="009C2B12"/>
    <w:rsid w:val="00A1292C"/>
    <w:rsid w:val="00A174D9"/>
    <w:rsid w:val="00AB6715"/>
    <w:rsid w:val="00AD0989"/>
    <w:rsid w:val="00AD58AD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3D80"/>
    <w:rsid w:val="00D62F1D"/>
    <w:rsid w:val="00DB59C3"/>
    <w:rsid w:val="00DC259A"/>
    <w:rsid w:val="00DE23E8"/>
    <w:rsid w:val="00E3665F"/>
    <w:rsid w:val="00E52377"/>
    <w:rsid w:val="00E64E17"/>
    <w:rsid w:val="00E866C9"/>
    <w:rsid w:val="00EA3D3C"/>
    <w:rsid w:val="00EA4040"/>
    <w:rsid w:val="00F45206"/>
    <w:rsid w:val="00F46900"/>
    <w:rsid w:val="00F61D89"/>
    <w:rsid w:val="00F6445A"/>
    <w:rsid w:val="00F72FFB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4ED2"/>
  <w15:docId w15:val="{076F1BB6-E979-4501-81F9-C5D1528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customStyle="1" w:styleId="Padro">
    <w:name w:val="Padrão"/>
    <w:rsid w:val="00450360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IA~1\AppData\Local\Temp\Rar$DI00.859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99B50F-3E56-49C4-BB30-7480D395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25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Aurélio</dc:creator>
  <cp:lastModifiedBy>Lígia Aurélio</cp:lastModifiedBy>
  <cp:revision>10</cp:revision>
  <cp:lastPrinted>2013-10-03T12:51:00Z</cp:lastPrinted>
  <dcterms:created xsi:type="dcterms:W3CDTF">2018-06-11T18:35:00Z</dcterms:created>
  <dcterms:modified xsi:type="dcterms:W3CDTF">2018-08-12T15:17:00Z</dcterms:modified>
</cp:coreProperties>
</file>