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04B2" w14:textId="77777777" w:rsidR="00C72994" w:rsidRPr="00376CC5" w:rsidRDefault="00C72994" w:rsidP="00C72994">
      <w:pPr>
        <w:pStyle w:val="Title"/>
      </w:pPr>
      <w:bookmarkStart w:id="0" w:name="_GoBack"/>
      <w:bookmarkEnd w:id="0"/>
      <w:r>
        <w:t>Physical Activity, Nutrition, Cognition, Neurophysiology and Short-Time Synaptic Plasticity in Healthy Older Adults: A Cross-Sectional Study</w:t>
      </w:r>
    </w:p>
    <w:p w14:paraId="1AAB12EF" w14:textId="77777777" w:rsidR="00C72994" w:rsidRPr="00F85637" w:rsidRDefault="00C72994" w:rsidP="00C72994">
      <w:pPr>
        <w:pStyle w:val="AuthorList"/>
        <w:rPr>
          <w:vertAlign w:val="superscript"/>
          <w:lang w:val="it-IT"/>
        </w:rPr>
      </w:pPr>
      <w:r w:rsidRPr="00F85637">
        <w:rPr>
          <w:lang w:val="it-IT"/>
        </w:rPr>
        <w:t>Alexandra Schättin</w:t>
      </w:r>
      <w:r w:rsidRPr="00F85637">
        <w:rPr>
          <w:vertAlign w:val="superscript"/>
          <w:lang w:val="it-IT"/>
        </w:rPr>
        <w:t>1*</w:t>
      </w:r>
      <w:r w:rsidRPr="00F85637">
        <w:rPr>
          <w:lang w:val="it-IT"/>
        </w:rPr>
        <w:t>, Federico Gennaro</w:t>
      </w:r>
      <w:r w:rsidRPr="00F85637">
        <w:rPr>
          <w:vertAlign w:val="superscript"/>
          <w:lang w:val="it-IT"/>
        </w:rPr>
        <w:t>1</w:t>
      </w:r>
      <w:r w:rsidRPr="00F85637">
        <w:rPr>
          <w:lang w:val="it-IT"/>
        </w:rPr>
        <w:t>, Martin Egloff</w:t>
      </w:r>
      <w:r w:rsidRPr="00F85637">
        <w:rPr>
          <w:vertAlign w:val="superscript"/>
          <w:lang w:val="it-IT"/>
        </w:rPr>
        <w:t>1</w:t>
      </w:r>
      <w:r>
        <w:rPr>
          <w:lang w:val="it-IT"/>
        </w:rPr>
        <w:t>, Simon Vogt</w:t>
      </w:r>
      <w:r w:rsidRPr="00F85637">
        <w:rPr>
          <w:vertAlign w:val="superscript"/>
          <w:lang w:val="it-IT"/>
        </w:rPr>
        <w:t>1</w:t>
      </w:r>
      <w:r>
        <w:rPr>
          <w:lang w:val="it-IT"/>
        </w:rPr>
        <w:t>, Eling D. de Bruin</w:t>
      </w:r>
      <w:r>
        <w:rPr>
          <w:vertAlign w:val="superscript"/>
          <w:lang w:val="it-IT"/>
        </w:rPr>
        <w:t>1,2</w:t>
      </w:r>
    </w:p>
    <w:p w14:paraId="30020E73" w14:textId="77777777" w:rsidR="00C72994" w:rsidRDefault="00C72994" w:rsidP="00C72994">
      <w:pPr>
        <w:spacing w:after="0" w:line="276" w:lineRule="auto"/>
        <w:rPr>
          <w:rFonts w:cs="Times New Roman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8F3F11">
        <w:rPr>
          <w:rFonts w:cs="Times New Roman"/>
        </w:rPr>
        <w:t>Department of Health Sciences and Technology, Institute of Human Movement Sciences and Sport, ETH Zürich, HCP, Leopold-Ruzicka-Weg 4, 8093 Zurich, Switzerland</w:t>
      </w:r>
      <w:r w:rsidRPr="008F3F11">
        <w:rPr>
          <w:rFonts w:cs="Times New Roman"/>
          <w:szCs w:val="24"/>
          <w:vertAlign w:val="superscript"/>
        </w:rPr>
        <w:t xml:space="preserve"> </w:t>
      </w:r>
    </w:p>
    <w:p w14:paraId="59F13162" w14:textId="77777777" w:rsidR="00C72994" w:rsidRDefault="00C72994" w:rsidP="00C72994">
      <w:pPr>
        <w:spacing w:after="0"/>
        <w:rPr>
          <w:rFonts w:cs="Arial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F856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7D6B44">
        <w:rPr>
          <w:rFonts w:cs="Arial"/>
        </w:rPr>
        <w:t>epartment of Neurobiology, Care Sciences and Society</w:t>
      </w:r>
      <w:r>
        <w:rPr>
          <w:rFonts w:cs="Arial"/>
        </w:rPr>
        <w:t>,</w:t>
      </w:r>
      <w:r w:rsidRPr="007D6B44">
        <w:rPr>
          <w:rFonts w:cs="Arial"/>
        </w:rPr>
        <w:t xml:space="preserve"> Karolinska Institutet</w:t>
      </w:r>
      <w:r>
        <w:rPr>
          <w:rFonts w:cs="Arial"/>
        </w:rPr>
        <w:t>,</w:t>
      </w:r>
      <w:r w:rsidRPr="007D6B44">
        <w:rPr>
          <w:rFonts w:cs="Arial"/>
        </w:rPr>
        <w:t xml:space="preserve"> Alfred Nobels Alle 23</w:t>
      </w:r>
      <w:r>
        <w:rPr>
          <w:rFonts w:cs="Arial"/>
        </w:rPr>
        <w:t>,</w:t>
      </w:r>
      <w:r w:rsidRPr="007D6B44">
        <w:rPr>
          <w:rFonts w:cs="Arial"/>
        </w:rPr>
        <w:t xml:space="preserve"> 141 83 Huddinge</w:t>
      </w:r>
      <w:r>
        <w:rPr>
          <w:rFonts w:cs="Arial"/>
        </w:rPr>
        <w:t>, Sweden</w:t>
      </w:r>
    </w:p>
    <w:p w14:paraId="1500741D" w14:textId="77777777" w:rsidR="00C72994" w:rsidRDefault="00C72994" w:rsidP="00C72994">
      <w:pPr>
        <w:spacing w:after="0"/>
        <w:rPr>
          <w:rFonts w:cs="Arial"/>
        </w:rPr>
      </w:pPr>
    </w:p>
    <w:p w14:paraId="4D734B82" w14:textId="6726493A" w:rsidR="00C72994" w:rsidRDefault="00C72994" w:rsidP="00C72994">
      <w:pPr>
        <w:pStyle w:val="Heading1"/>
        <w:numPr>
          <w:ilvl w:val="0"/>
          <w:numId w:val="0"/>
        </w:numPr>
        <w:ind w:left="567" w:hanging="567"/>
      </w:pPr>
      <w:r>
        <w:t>Supplementary table 1</w:t>
      </w:r>
    </w:p>
    <w:p w14:paraId="50CEE7CB" w14:textId="77777777" w:rsidR="00C72994" w:rsidRDefault="00C72994" w:rsidP="008932FF">
      <w:pPr>
        <w:spacing w:before="0" w:after="0"/>
        <w:jc w:val="both"/>
        <w:rPr>
          <w:rFonts w:cs="Times New Roman"/>
          <w:b/>
        </w:rPr>
      </w:pPr>
    </w:p>
    <w:p w14:paraId="6ADB1FF8" w14:textId="0EE70C48" w:rsidR="008932FF" w:rsidRPr="00513E4E" w:rsidRDefault="00640AB1" w:rsidP="008932FF">
      <w:pPr>
        <w:spacing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  <w:t>T</w:t>
      </w:r>
      <w:r w:rsidR="008932FF" w:rsidRPr="00513E4E">
        <w:rPr>
          <w:rFonts w:cs="Times New Roman"/>
          <w:b/>
        </w:rPr>
        <w:t xml:space="preserve">able </w:t>
      </w:r>
      <w:r>
        <w:rPr>
          <w:rFonts w:cs="Times New Roman"/>
          <w:b/>
        </w:rPr>
        <w:t>1</w:t>
      </w:r>
      <w:r w:rsidR="008932FF" w:rsidRPr="00513E4E">
        <w:rPr>
          <w:rFonts w:cs="Times New Roman"/>
          <w:b/>
        </w:rPr>
        <w:t xml:space="preserve">. </w:t>
      </w:r>
      <w:r w:rsidR="008932FF">
        <w:rPr>
          <w:rFonts w:cs="Times New Roman"/>
          <w:b/>
        </w:rPr>
        <w:t xml:space="preserve">Comparison of normalized motor evoked potential peak-to-peak amplitudes for before, 5min after, and 30min after paired associative stimulation.  </w:t>
      </w:r>
    </w:p>
    <w:tbl>
      <w:tblPr>
        <w:tblStyle w:val="TableGrid"/>
        <w:tblW w:w="9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767"/>
        <w:gridCol w:w="1767"/>
        <w:gridCol w:w="1767"/>
        <w:gridCol w:w="814"/>
        <w:gridCol w:w="407"/>
        <w:gridCol w:w="784"/>
      </w:tblGrid>
      <w:tr w:rsidR="008932FF" w:rsidRPr="00744982" w14:paraId="5B8A852C" w14:textId="77777777" w:rsidTr="008932FF">
        <w:trPr>
          <w:trHeight w:val="80"/>
          <w:jc w:val="center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665CE3" w14:textId="77777777" w:rsidR="008932FF" w:rsidRPr="00744982" w:rsidRDefault="008932FF" w:rsidP="008932F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65625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 xml:space="preserve">Before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8FA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 xml:space="preserve">5min after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AB4B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 xml:space="preserve">30min after 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3890D" w14:textId="606648AF" w:rsidR="008932FF" w:rsidRPr="00744982" w:rsidRDefault="008932FF" w:rsidP="00E1378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χ</w:t>
            </w:r>
            <w:r w:rsidRPr="0074498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96E2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df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29CD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p</w:t>
            </w:r>
          </w:p>
        </w:tc>
      </w:tr>
      <w:tr w:rsidR="008932FF" w:rsidRPr="00744982" w14:paraId="19D04E0B" w14:textId="77777777" w:rsidTr="008932FF">
        <w:trPr>
          <w:trHeight w:val="134"/>
          <w:jc w:val="center"/>
        </w:trPr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6C23D1CF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90% RMT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3534D07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0.08 (0.03; 0.19)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462E05D3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0.07 (0.03; 0.18)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6EA24A03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0.11 (0.03; 0.18)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62FE578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0.222</w:t>
            </w: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14:paraId="52712C1D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5AB62C5A" w14:textId="0BC0C4F5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.895</w:t>
            </w:r>
          </w:p>
        </w:tc>
      </w:tr>
      <w:tr w:rsidR="008932FF" w:rsidRPr="00744982" w14:paraId="028D68B8" w14:textId="77777777" w:rsidTr="008932FF">
        <w:trPr>
          <w:trHeight w:val="98"/>
          <w:jc w:val="center"/>
        </w:trPr>
        <w:tc>
          <w:tcPr>
            <w:tcW w:w="2176" w:type="dxa"/>
            <w:vAlign w:val="center"/>
          </w:tcPr>
          <w:p w14:paraId="674EAB33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44982">
              <w:rPr>
                <w:b/>
                <w:sz w:val="20"/>
                <w:szCs w:val="20"/>
              </w:rPr>
              <w:t>100%</w:t>
            </w:r>
            <w:r w:rsidRPr="00744982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44982">
              <w:rPr>
                <w:b/>
                <w:sz w:val="20"/>
                <w:szCs w:val="20"/>
              </w:rPr>
              <w:t>RMT</w:t>
            </w:r>
            <w:r w:rsidRPr="0074498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7" w:type="dxa"/>
            <w:vAlign w:val="center"/>
          </w:tcPr>
          <w:p w14:paraId="500AAE00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0.20 (0.10; 0.29)</w:t>
            </w:r>
          </w:p>
        </w:tc>
        <w:tc>
          <w:tcPr>
            <w:tcW w:w="1767" w:type="dxa"/>
            <w:vAlign w:val="center"/>
          </w:tcPr>
          <w:p w14:paraId="44C2141C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0.19 (0.12; 0.36)</w:t>
            </w:r>
          </w:p>
        </w:tc>
        <w:tc>
          <w:tcPr>
            <w:tcW w:w="1767" w:type="dxa"/>
            <w:vAlign w:val="center"/>
          </w:tcPr>
          <w:p w14:paraId="648A5567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0.21 (0.13; 0.50)</w:t>
            </w:r>
          </w:p>
        </w:tc>
        <w:tc>
          <w:tcPr>
            <w:tcW w:w="814" w:type="dxa"/>
            <w:vAlign w:val="center"/>
          </w:tcPr>
          <w:p w14:paraId="29FB4B74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4.800</w:t>
            </w:r>
          </w:p>
        </w:tc>
        <w:tc>
          <w:tcPr>
            <w:tcW w:w="407" w:type="dxa"/>
            <w:vAlign w:val="center"/>
          </w:tcPr>
          <w:p w14:paraId="288A5E5C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14:paraId="5F52B242" w14:textId="7D50A153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.091</w:t>
            </w:r>
          </w:p>
        </w:tc>
      </w:tr>
      <w:tr w:rsidR="008932FF" w:rsidRPr="00744982" w14:paraId="714F26F5" w14:textId="77777777" w:rsidTr="008932FF">
        <w:trPr>
          <w:trHeight w:val="98"/>
          <w:jc w:val="center"/>
        </w:trPr>
        <w:tc>
          <w:tcPr>
            <w:tcW w:w="2176" w:type="dxa"/>
            <w:vAlign w:val="center"/>
          </w:tcPr>
          <w:p w14:paraId="05F70D0D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110% RMT</w:t>
            </w:r>
          </w:p>
        </w:tc>
        <w:tc>
          <w:tcPr>
            <w:tcW w:w="1767" w:type="dxa"/>
            <w:vAlign w:val="center"/>
          </w:tcPr>
          <w:p w14:paraId="71BC53A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0.36 (0.21; 0.67)</w:t>
            </w:r>
          </w:p>
        </w:tc>
        <w:tc>
          <w:tcPr>
            <w:tcW w:w="1767" w:type="dxa"/>
            <w:vAlign w:val="center"/>
          </w:tcPr>
          <w:p w14:paraId="60E2641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0.46 (0.22; 0.68)</w:t>
            </w:r>
          </w:p>
        </w:tc>
        <w:tc>
          <w:tcPr>
            <w:tcW w:w="1767" w:type="dxa"/>
            <w:vAlign w:val="center"/>
          </w:tcPr>
          <w:p w14:paraId="68275C1D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0.35 (0.22; 0.73)</w:t>
            </w:r>
          </w:p>
        </w:tc>
        <w:tc>
          <w:tcPr>
            <w:tcW w:w="814" w:type="dxa"/>
            <w:vAlign w:val="center"/>
          </w:tcPr>
          <w:p w14:paraId="4905AB7D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2.800</w:t>
            </w:r>
          </w:p>
        </w:tc>
        <w:tc>
          <w:tcPr>
            <w:tcW w:w="407" w:type="dxa"/>
            <w:vAlign w:val="center"/>
          </w:tcPr>
          <w:p w14:paraId="7990A3E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14:paraId="3CED291E" w14:textId="1949E172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.247</w:t>
            </w:r>
          </w:p>
        </w:tc>
      </w:tr>
      <w:tr w:rsidR="008932FF" w:rsidRPr="00744982" w14:paraId="6E888DED" w14:textId="77777777" w:rsidTr="008932FF">
        <w:trPr>
          <w:trHeight w:val="98"/>
          <w:jc w:val="center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49674A7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120% RMT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1B05D0A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0.62 (0.29; 0.80)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49229A64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0.58 (0.39; 0.81)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4F89D49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0.72 (0.46; 0.86)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5AE15D2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3.389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32881F7D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B2CBE2D" w14:textId="425A824B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.184</w:t>
            </w:r>
          </w:p>
        </w:tc>
      </w:tr>
      <w:tr w:rsidR="008932FF" w:rsidRPr="00744982" w14:paraId="5A74B6A3" w14:textId="77777777" w:rsidTr="008932FF">
        <w:trPr>
          <w:trHeight w:val="84"/>
          <w:jc w:val="center"/>
        </w:trPr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07B9A52D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130% RMT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78026E5C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0.84 (0.71; 0.99)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1050B66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0.87 (0.65; 1.06)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03729EB5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0.97 (0.65; 1.06)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5F3F40F2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6.000</w:t>
            </w: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14:paraId="18AB70C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0412A5F1" w14:textId="254553B6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.050*</w:t>
            </w:r>
          </w:p>
        </w:tc>
      </w:tr>
      <w:tr w:rsidR="008932FF" w:rsidRPr="00744982" w14:paraId="08021557" w14:textId="77777777" w:rsidTr="007A140F">
        <w:trPr>
          <w:trHeight w:val="8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6BDF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 xml:space="preserve">Post-hoc 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A2FFC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FDEEB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p</w:t>
            </w:r>
            <w:r w:rsidRPr="00744982">
              <w:rPr>
                <w:b/>
                <w:sz w:val="20"/>
                <w:szCs w:val="20"/>
                <w:vertAlign w:val="subscript"/>
              </w:rPr>
              <w:t>adapted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7A753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4FAFFB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C30939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E9B5468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6368F450" w14:textId="77777777" w:rsidTr="008932FF">
        <w:trPr>
          <w:trHeight w:val="84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14:paraId="52F9723C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Before – 5min after 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46A05A83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-2.121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10BD30F4" w14:textId="4060ECF0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744982">
              <w:rPr>
                <w:rFonts w:cs="Times New Roman"/>
                <w:sz w:val="20"/>
                <w:szCs w:val="20"/>
              </w:rPr>
              <w:t>.102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450BC08E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814" w:type="dxa"/>
            <w:vAlign w:val="center"/>
          </w:tcPr>
          <w:p w14:paraId="6EE6DF1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2A09C848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45531E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4C4EE2BF" w14:textId="77777777" w:rsidTr="008932FF">
        <w:trPr>
          <w:trHeight w:val="84"/>
          <w:jc w:val="center"/>
        </w:trPr>
        <w:tc>
          <w:tcPr>
            <w:tcW w:w="2176" w:type="dxa"/>
          </w:tcPr>
          <w:p w14:paraId="4C718923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5min after – 30min after </w:t>
            </w:r>
          </w:p>
        </w:tc>
        <w:tc>
          <w:tcPr>
            <w:tcW w:w="1767" w:type="dxa"/>
          </w:tcPr>
          <w:p w14:paraId="3AA6E905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&lt; 0.001</w:t>
            </w:r>
          </w:p>
        </w:tc>
        <w:tc>
          <w:tcPr>
            <w:tcW w:w="1767" w:type="dxa"/>
          </w:tcPr>
          <w:p w14:paraId="30462E79" w14:textId="616E9797" w:rsidR="008932FF" w:rsidRPr="001D2575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1D2575">
              <w:rPr>
                <w:rFonts w:cs="Times New Roman"/>
                <w:sz w:val="20"/>
                <w:szCs w:val="20"/>
              </w:rPr>
              <w:t>.999</w:t>
            </w:r>
          </w:p>
        </w:tc>
        <w:tc>
          <w:tcPr>
            <w:tcW w:w="1767" w:type="dxa"/>
          </w:tcPr>
          <w:p w14:paraId="0F71A0A4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&lt; 0.01</w:t>
            </w:r>
          </w:p>
        </w:tc>
        <w:tc>
          <w:tcPr>
            <w:tcW w:w="814" w:type="dxa"/>
            <w:vAlign w:val="center"/>
          </w:tcPr>
          <w:p w14:paraId="152C6E6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64940915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E2D5627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5CA8838A" w14:textId="77777777" w:rsidTr="008932FF">
        <w:trPr>
          <w:trHeight w:val="84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095D854B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Before – 30min after 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3CF41C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-2.121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11C07C0" w14:textId="6ABA64FA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744982">
              <w:rPr>
                <w:rFonts w:cs="Times New Roman"/>
                <w:sz w:val="20"/>
                <w:szCs w:val="20"/>
              </w:rPr>
              <w:t>.102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B622605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0.25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F595C6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723B3D1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5A3EC2E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668A40EE" w14:textId="77777777" w:rsidTr="008932FF">
        <w:trPr>
          <w:trHeight w:val="84"/>
          <w:jc w:val="center"/>
        </w:trPr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47CB3560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140% RMT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59CB817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1.00 (1.00; 1.00)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6F3260AF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0.95 (0.80; 1.19)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7AB40B1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1.09 (1.02; 1.22)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681A5263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13.556</w:t>
            </w: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14:paraId="54D7827F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6AB61681" w14:textId="6FA92623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2FF" w:rsidRPr="00744982">
              <w:rPr>
                <w:sz w:val="20"/>
                <w:szCs w:val="20"/>
              </w:rPr>
              <w:t>.001*</w:t>
            </w:r>
          </w:p>
        </w:tc>
      </w:tr>
      <w:tr w:rsidR="008932FF" w:rsidRPr="00744982" w14:paraId="09371F32" w14:textId="77777777" w:rsidTr="007A140F">
        <w:trPr>
          <w:trHeight w:val="84"/>
          <w:jc w:val="center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9E425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Post-hoc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238AF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551DE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p</w:t>
            </w:r>
            <w:r w:rsidRPr="00744982">
              <w:rPr>
                <w:b/>
                <w:sz w:val="20"/>
                <w:szCs w:val="20"/>
                <w:vertAlign w:val="subscript"/>
              </w:rPr>
              <w:t>adapted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25F48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4E1863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D0A4F8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F99C56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6E806DE1" w14:textId="77777777" w:rsidTr="008932FF">
        <w:trPr>
          <w:trHeight w:val="84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14:paraId="22B470AC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Before – 5min after 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F53301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0.236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3569496F" w14:textId="132A9661" w:rsidR="008932FF" w:rsidRPr="001D2575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1D2575">
              <w:rPr>
                <w:rFonts w:cs="Times New Roman"/>
                <w:sz w:val="20"/>
                <w:szCs w:val="20"/>
              </w:rPr>
              <w:t>.999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2333080F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0.03</w:t>
            </w:r>
          </w:p>
        </w:tc>
        <w:tc>
          <w:tcPr>
            <w:tcW w:w="814" w:type="dxa"/>
            <w:vAlign w:val="center"/>
          </w:tcPr>
          <w:p w14:paraId="77C8EE07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726086CA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C1FE426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53EE1DDC" w14:textId="77777777" w:rsidTr="008932FF">
        <w:trPr>
          <w:trHeight w:val="84"/>
          <w:jc w:val="center"/>
        </w:trPr>
        <w:tc>
          <w:tcPr>
            <w:tcW w:w="2176" w:type="dxa"/>
          </w:tcPr>
          <w:p w14:paraId="5004361E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5min after – 30min after </w:t>
            </w:r>
          </w:p>
        </w:tc>
        <w:tc>
          <w:tcPr>
            <w:tcW w:w="1767" w:type="dxa"/>
          </w:tcPr>
          <w:p w14:paraId="4C9CED9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-3.300</w:t>
            </w:r>
          </w:p>
        </w:tc>
        <w:tc>
          <w:tcPr>
            <w:tcW w:w="1767" w:type="dxa"/>
          </w:tcPr>
          <w:p w14:paraId="3B53D21C" w14:textId="63D7B35F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744982">
              <w:rPr>
                <w:rFonts w:cs="Times New Roman"/>
                <w:sz w:val="20"/>
                <w:szCs w:val="20"/>
              </w:rPr>
              <w:t>.003*</w:t>
            </w:r>
          </w:p>
        </w:tc>
        <w:tc>
          <w:tcPr>
            <w:tcW w:w="1767" w:type="dxa"/>
          </w:tcPr>
          <w:p w14:paraId="19B0599C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0.39</w:t>
            </w:r>
          </w:p>
        </w:tc>
        <w:tc>
          <w:tcPr>
            <w:tcW w:w="814" w:type="dxa"/>
            <w:vAlign w:val="center"/>
          </w:tcPr>
          <w:p w14:paraId="1D6A7C8E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14:paraId="193926FC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0994B64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932FF" w:rsidRPr="00744982" w14:paraId="7C197FA9" w14:textId="77777777" w:rsidTr="008932FF">
        <w:trPr>
          <w:trHeight w:val="84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70FC554A" w14:textId="77777777" w:rsidR="008932FF" w:rsidRPr="00744982" w:rsidRDefault="008932FF" w:rsidP="008932F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 xml:space="preserve">Before – 30min after 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B60E5F4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-3.064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F629509" w14:textId="65091CD3" w:rsidR="008932FF" w:rsidRPr="00744982" w:rsidRDefault="00A5015D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8932FF" w:rsidRPr="00744982">
              <w:rPr>
                <w:rFonts w:cs="Times New Roman"/>
                <w:sz w:val="20"/>
                <w:szCs w:val="20"/>
              </w:rPr>
              <w:t>.007*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3FC5A7B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44982">
              <w:rPr>
                <w:rFonts w:cs="Times New Roman"/>
                <w:sz w:val="20"/>
                <w:szCs w:val="20"/>
              </w:rPr>
              <w:t>0.36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327DCD9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5B506B90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73B6188" w14:textId="77777777" w:rsidR="008932FF" w:rsidRPr="00744982" w:rsidRDefault="008932FF" w:rsidP="008932F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314C999B" w14:textId="480A4DEB" w:rsidR="00387CFF" w:rsidRDefault="008932FF" w:rsidP="00B21DC0">
      <w:pPr>
        <w:spacing w:after="0"/>
        <w:jc w:val="both"/>
        <w:rPr>
          <w:rFonts w:cs="Times New Roman"/>
          <w:sz w:val="20"/>
          <w:szCs w:val="20"/>
        </w:rPr>
      </w:pPr>
      <w:r w:rsidRPr="00744982">
        <w:rPr>
          <w:rFonts w:cs="Times New Roman"/>
          <w:sz w:val="20"/>
          <w:szCs w:val="20"/>
        </w:rPr>
        <w:t xml:space="preserve">N = 36, </w:t>
      </w:r>
      <w:r w:rsidRPr="00744982">
        <w:rPr>
          <w:rFonts w:cs="Times New Roman"/>
          <w:sz w:val="20"/>
          <w:szCs w:val="20"/>
          <w:vertAlign w:val="superscript"/>
        </w:rPr>
        <w:t>1</w:t>
      </w:r>
      <w:r w:rsidRPr="00744982">
        <w:rPr>
          <w:rFonts w:cs="Times New Roman"/>
          <w:sz w:val="20"/>
          <w:szCs w:val="20"/>
        </w:rPr>
        <w:t xml:space="preserve">N = 35. Motor evoked potential values were normalized to the individual maximum (140%) pre-measurement RMT. </w:t>
      </w:r>
      <w:r>
        <w:rPr>
          <w:rFonts w:cs="Times New Roman"/>
          <w:sz w:val="20"/>
          <w:szCs w:val="20"/>
        </w:rPr>
        <w:t>Normalized d</w:t>
      </w:r>
      <w:r w:rsidRPr="00744982">
        <w:rPr>
          <w:rFonts w:cs="Times New Roman"/>
          <w:sz w:val="20"/>
          <w:szCs w:val="20"/>
        </w:rPr>
        <w:t>ata are median values (interquartile range) as indicated. For each stimulation intensity, the comparison of before, 5min after, and 30min after PAS w</w:t>
      </w:r>
      <w:r>
        <w:rPr>
          <w:rFonts w:cs="Times New Roman"/>
          <w:sz w:val="20"/>
          <w:szCs w:val="20"/>
        </w:rPr>
        <w:t>as</w:t>
      </w:r>
      <w:r w:rsidRPr="00744982">
        <w:rPr>
          <w:rFonts w:cs="Times New Roman"/>
          <w:sz w:val="20"/>
          <w:szCs w:val="20"/>
        </w:rPr>
        <w:t xml:space="preserve"> performed using Friedman test. Dunn-Bonferroni post-hoc test was performed when a significant co</w:t>
      </w:r>
      <w:r>
        <w:rPr>
          <w:rFonts w:cs="Times New Roman"/>
          <w:sz w:val="20"/>
          <w:szCs w:val="20"/>
        </w:rPr>
        <w:t xml:space="preserve">mparison resulted. *p </w:t>
      </w:r>
      <w:r w:rsidR="00A5015D">
        <w:rPr>
          <w:rFonts w:cs="Times New Roman"/>
          <w:sz w:val="20"/>
          <w:szCs w:val="20"/>
        </w:rPr>
        <w:t>≤</w:t>
      </w:r>
      <w:r>
        <w:rPr>
          <w:rFonts w:cs="Times New Roman"/>
          <w:sz w:val="20"/>
          <w:szCs w:val="20"/>
        </w:rPr>
        <w:t xml:space="preserve"> </w:t>
      </w:r>
      <w:r w:rsidR="00A5015D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.05</w:t>
      </w:r>
      <w:r w:rsidRPr="00744982">
        <w:rPr>
          <w:rFonts w:cs="Times New Roman"/>
          <w:sz w:val="20"/>
          <w:szCs w:val="20"/>
        </w:rPr>
        <w:t>. For effect size, r = 0.1 is considered a “small” effect, around 0.3 a “medium” effect, and 0.5 and above a “large” effect. RMT = resting motor threshold.</w:t>
      </w:r>
    </w:p>
    <w:sectPr w:rsidR="00387CFF" w:rsidSect="004B2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09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5360B" w14:textId="77777777" w:rsidR="00AD0218" w:rsidRDefault="00AD0218" w:rsidP="00117666">
      <w:pPr>
        <w:spacing w:after="0"/>
      </w:pPr>
      <w:r>
        <w:separator/>
      </w:r>
    </w:p>
  </w:endnote>
  <w:endnote w:type="continuationSeparator" w:id="0">
    <w:p w14:paraId="5FFC6EB9" w14:textId="77777777" w:rsidR="00AD0218" w:rsidRDefault="00AD021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7D48" w14:textId="77777777" w:rsidR="00AD0218" w:rsidRPr="00577C4C" w:rsidRDefault="00AD0218">
    <w:pPr>
      <w:pStyle w:val="Footer"/>
      <w:rPr>
        <w:color w:val="C0000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21ECDF" wp14:editId="0A88DC8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411533" w14:textId="35491054" w:rsidR="00AD0218" w:rsidRPr="00577C4C" w:rsidRDefault="00AD021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0AB1" w:rsidRPr="00640AB1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1EC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7F411533" w14:textId="35491054" w:rsidR="00AD0218" w:rsidRPr="00577C4C" w:rsidRDefault="00AD021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0AB1" w:rsidRPr="00640AB1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9913" w14:textId="77777777" w:rsidR="00AD0218" w:rsidRPr="00577C4C" w:rsidRDefault="00AD0218">
    <w:pPr>
      <w:pStyle w:val="Footer"/>
      <w:rPr>
        <w:b/>
        <w:sz w:val="2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F805B97" wp14:editId="3A468D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BDE996" w14:textId="4149C70E" w:rsidR="00AD0218" w:rsidRPr="00577C4C" w:rsidRDefault="00AD021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40AB1" w:rsidRPr="00640AB1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05B9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0BDE996" w14:textId="4149C70E" w:rsidR="00AD0218" w:rsidRPr="00577C4C" w:rsidRDefault="00AD021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40AB1" w:rsidRPr="00640AB1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DC0E" w14:textId="77777777" w:rsidR="00AD0218" w:rsidRDefault="00AD0218" w:rsidP="00117666">
      <w:pPr>
        <w:spacing w:after="0"/>
      </w:pPr>
      <w:r>
        <w:separator/>
      </w:r>
    </w:p>
  </w:footnote>
  <w:footnote w:type="continuationSeparator" w:id="0">
    <w:p w14:paraId="28C0A9D0" w14:textId="77777777" w:rsidR="00AD0218" w:rsidRDefault="00AD021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1DA8" w14:textId="06B9F782" w:rsidR="00AD0218" w:rsidRPr="007E3148" w:rsidRDefault="00AD0218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Behavior, neurophysiology and older adults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B34E" w14:textId="6BDE067C" w:rsidR="00AD0218" w:rsidRPr="0044533C" w:rsidRDefault="00AD0218" w:rsidP="0044533C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Behavior factors, synaptic plasticity and elderly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A197" w14:textId="77777777" w:rsidR="00AD0218" w:rsidRDefault="00AD0218" w:rsidP="00A53000">
    <w:pPr>
      <w:pStyle w:val="Header"/>
    </w:pPr>
    <w:r w:rsidRPr="005A1D84">
      <w:rPr>
        <w:noProof/>
        <w:color w:val="A6A6A6" w:themeColor="background1" w:themeShade="A6"/>
        <w:lang w:val="de-CH" w:eastAsia="de-CH"/>
      </w:rPr>
      <w:drawing>
        <wp:inline distT="0" distB="0" distL="0" distR="0" wp14:anchorId="3F9E9D84" wp14:editId="430DB0B6">
          <wp:extent cx="1382534" cy="497091"/>
          <wp:effectExtent l="0" t="0" r="0" b="0"/>
          <wp:docPr id="11" name="Picture 1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397A6F5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397A6F5A"/>
    <w:numStyleLink w:val="Headings"/>
  </w:abstractNum>
  <w:abstractNum w:abstractNumId="6" w15:restartNumberingAfterBreak="0">
    <w:nsid w:val="35C62F8F"/>
    <w:multiLevelType w:val="hybridMultilevel"/>
    <w:tmpl w:val="0C0C805C"/>
    <w:lvl w:ilvl="0" w:tplc="D4BCC57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397A6F5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ttachedTemplate r:id="rId1"/>
  <w:defaultTabStop w:val="72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02we5vct0zvxevwt355vpj9wfrztdaze9z&quot;&gt;My EndNote Library&lt;record-ids&gt;&lt;item&gt;8&lt;/item&gt;&lt;item&gt;80&lt;/item&gt;&lt;item&gt;425&lt;/item&gt;&lt;item&gt;882&lt;/item&gt;&lt;item&gt;893&lt;/item&gt;&lt;item&gt;927&lt;/item&gt;&lt;item&gt;938&lt;/item&gt;&lt;item&gt;944&lt;/item&gt;&lt;item&gt;981&lt;/item&gt;&lt;item&gt;983&lt;/item&gt;&lt;item&gt;984&lt;/item&gt;&lt;item&gt;1027&lt;/item&gt;&lt;item&gt;1076&lt;/item&gt;&lt;item&gt;1081&lt;/item&gt;&lt;item&gt;1082&lt;/item&gt;&lt;item&gt;1083&lt;/item&gt;&lt;item&gt;1085&lt;/item&gt;&lt;item&gt;1086&lt;/item&gt;&lt;item&gt;1088&lt;/item&gt;&lt;item&gt;1090&lt;/item&gt;&lt;item&gt;1205&lt;/item&gt;&lt;item&gt;1290&lt;/item&gt;&lt;item&gt;1291&lt;/item&gt;&lt;item&gt;1292&lt;/item&gt;&lt;item&gt;1293&lt;/item&gt;&lt;item&gt;1294&lt;/item&gt;&lt;item&gt;1295&lt;/item&gt;&lt;item&gt;1314&lt;/item&gt;&lt;item&gt;1457&lt;/item&gt;&lt;item&gt;1458&lt;/item&gt;&lt;item&gt;1459&lt;/item&gt;&lt;item&gt;1461&lt;/item&gt;&lt;item&gt;1494&lt;/item&gt;&lt;item&gt;1528&lt;/item&gt;&lt;item&gt;1532&lt;/item&gt;&lt;item&gt;1533&lt;/item&gt;&lt;item&gt;1534&lt;/item&gt;&lt;item&gt;1535&lt;/item&gt;&lt;item&gt;1537&lt;/item&gt;&lt;item&gt;1538&lt;/item&gt;&lt;item&gt;1558&lt;/item&gt;&lt;item&gt;1559&lt;/item&gt;&lt;item&gt;1563&lt;/item&gt;&lt;item&gt;1564&lt;/item&gt;&lt;item&gt;1565&lt;/item&gt;&lt;item&gt;1567&lt;/item&gt;&lt;item&gt;1568&lt;/item&gt;&lt;item&gt;1569&lt;/item&gt;&lt;item&gt;1570&lt;/item&gt;&lt;item&gt;1571&lt;/item&gt;&lt;item&gt;1572&lt;/item&gt;&lt;item&gt;1574&lt;/item&gt;&lt;item&gt;1577&lt;/item&gt;&lt;item&gt;1578&lt;/item&gt;&lt;item&gt;1579&lt;/item&gt;&lt;item&gt;1581&lt;/item&gt;&lt;item&gt;1599&lt;/item&gt;&lt;item&gt;1600&lt;/item&gt;&lt;item&gt;1601&lt;/item&gt;&lt;item&gt;1612&lt;/item&gt;&lt;item&gt;1613&lt;/item&gt;&lt;item&gt;1614&lt;/item&gt;&lt;item&gt;1615&lt;/item&gt;&lt;item&gt;1616&lt;/item&gt;&lt;item&gt;1617&lt;/item&gt;&lt;item&gt;1618&lt;/item&gt;&lt;item&gt;1619&lt;/item&gt;&lt;item&gt;1620&lt;/item&gt;&lt;item&gt;1632&lt;/item&gt;&lt;item&gt;1633&lt;/item&gt;&lt;item&gt;1634&lt;/item&gt;&lt;/record-ids&gt;&lt;/item&gt;&lt;/Libraries&gt;"/>
  </w:docVars>
  <w:rsids>
    <w:rsidRoot w:val="005F6F9F"/>
    <w:rsid w:val="000212A4"/>
    <w:rsid w:val="00034304"/>
    <w:rsid w:val="00035434"/>
    <w:rsid w:val="00045678"/>
    <w:rsid w:val="000458E4"/>
    <w:rsid w:val="00063D84"/>
    <w:rsid w:val="0006636D"/>
    <w:rsid w:val="00077D53"/>
    <w:rsid w:val="00081394"/>
    <w:rsid w:val="00095332"/>
    <w:rsid w:val="000B34BD"/>
    <w:rsid w:val="000C4FB1"/>
    <w:rsid w:val="000C7E2A"/>
    <w:rsid w:val="000D452B"/>
    <w:rsid w:val="000D4BE5"/>
    <w:rsid w:val="000D54F9"/>
    <w:rsid w:val="000D68F0"/>
    <w:rsid w:val="000E51EB"/>
    <w:rsid w:val="000F4CFB"/>
    <w:rsid w:val="000F749C"/>
    <w:rsid w:val="00117666"/>
    <w:rsid w:val="001223A7"/>
    <w:rsid w:val="00134256"/>
    <w:rsid w:val="001370BD"/>
    <w:rsid w:val="00141BBF"/>
    <w:rsid w:val="0014505A"/>
    <w:rsid w:val="00147395"/>
    <w:rsid w:val="001514B3"/>
    <w:rsid w:val="001552C9"/>
    <w:rsid w:val="00177D84"/>
    <w:rsid w:val="00180DD4"/>
    <w:rsid w:val="00183066"/>
    <w:rsid w:val="001964EF"/>
    <w:rsid w:val="001A2C0F"/>
    <w:rsid w:val="001B1A2C"/>
    <w:rsid w:val="001B33E5"/>
    <w:rsid w:val="001D5C23"/>
    <w:rsid w:val="001E2862"/>
    <w:rsid w:val="001F0928"/>
    <w:rsid w:val="001F1694"/>
    <w:rsid w:val="001F4C07"/>
    <w:rsid w:val="00210C28"/>
    <w:rsid w:val="00220AEA"/>
    <w:rsid w:val="00226954"/>
    <w:rsid w:val="00244962"/>
    <w:rsid w:val="00254D1A"/>
    <w:rsid w:val="002629A3"/>
    <w:rsid w:val="00265660"/>
    <w:rsid w:val="00267D18"/>
    <w:rsid w:val="00276D0B"/>
    <w:rsid w:val="002868E2"/>
    <w:rsid w:val="002869C3"/>
    <w:rsid w:val="00292EF4"/>
    <w:rsid w:val="002936E4"/>
    <w:rsid w:val="00296B88"/>
    <w:rsid w:val="002A4F32"/>
    <w:rsid w:val="002C2A71"/>
    <w:rsid w:val="002C47F3"/>
    <w:rsid w:val="002C74CA"/>
    <w:rsid w:val="002E07E2"/>
    <w:rsid w:val="002E10E7"/>
    <w:rsid w:val="002F744D"/>
    <w:rsid w:val="00303DE6"/>
    <w:rsid w:val="00310124"/>
    <w:rsid w:val="003115C4"/>
    <w:rsid w:val="0032385C"/>
    <w:rsid w:val="003508D8"/>
    <w:rsid w:val="003544FB"/>
    <w:rsid w:val="00365D63"/>
    <w:rsid w:val="0036793B"/>
    <w:rsid w:val="00371B6D"/>
    <w:rsid w:val="00372682"/>
    <w:rsid w:val="00376CC5"/>
    <w:rsid w:val="00382571"/>
    <w:rsid w:val="00384C70"/>
    <w:rsid w:val="00387CFF"/>
    <w:rsid w:val="00394BE0"/>
    <w:rsid w:val="0039693B"/>
    <w:rsid w:val="003B0DB3"/>
    <w:rsid w:val="003B36F8"/>
    <w:rsid w:val="003D2F2D"/>
    <w:rsid w:val="003E1D2D"/>
    <w:rsid w:val="003F6F58"/>
    <w:rsid w:val="00401590"/>
    <w:rsid w:val="00440CCC"/>
    <w:rsid w:val="0044533C"/>
    <w:rsid w:val="00463E3D"/>
    <w:rsid w:val="004645AE"/>
    <w:rsid w:val="004955CC"/>
    <w:rsid w:val="00495BBD"/>
    <w:rsid w:val="00495C99"/>
    <w:rsid w:val="004A14E5"/>
    <w:rsid w:val="004A65E9"/>
    <w:rsid w:val="004B2313"/>
    <w:rsid w:val="004B7A37"/>
    <w:rsid w:val="004C42B1"/>
    <w:rsid w:val="004D3E33"/>
    <w:rsid w:val="004D7A46"/>
    <w:rsid w:val="00501C1F"/>
    <w:rsid w:val="005100A3"/>
    <w:rsid w:val="00511E1B"/>
    <w:rsid w:val="005235E1"/>
    <w:rsid w:val="005250F2"/>
    <w:rsid w:val="005454D4"/>
    <w:rsid w:val="00555044"/>
    <w:rsid w:val="00570C71"/>
    <w:rsid w:val="00577AAE"/>
    <w:rsid w:val="005A1D84"/>
    <w:rsid w:val="005A70EA"/>
    <w:rsid w:val="005B0031"/>
    <w:rsid w:val="005B63E1"/>
    <w:rsid w:val="005C3963"/>
    <w:rsid w:val="005D1840"/>
    <w:rsid w:val="005D35E4"/>
    <w:rsid w:val="005D7910"/>
    <w:rsid w:val="005F6F9F"/>
    <w:rsid w:val="0062154F"/>
    <w:rsid w:val="00631A8C"/>
    <w:rsid w:val="00640AB1"/>
    <w:rsid w:val="00651CA2"/>
    <w:rsid w:val="00653D60"/>
    <w:rsid w:val="00660D05"/>
    <w:rsid w:val="00671D9A"/>
    <w:rsid w:val="00673952"/>
    <w:rsid w:val="00684045"/>
    <w:rsid w:val="00686C9D"/>
    <w:rsid w:val="006B2D5B"/>
    <w:rsid w:val="006B7D14"/>
    <w:rsid w:val="006D3B29"/>
    <w:rsid w:val="006D5B93"/>
    <w:rsid w:val="006D79FA"/>
    <w:rsid w:val="006F05FE"/>
    <w:rsid w:val="00715733"/>
    <w:rsid w:val="00721466"/>
    <w:rsid w:val="00725A7D"/>
    <w:rsid w:val="007279CE"/>
    <w:rsid w:val="0073085C"/>
    <w:rsid w:val="0073779C"/>
    <w:rsid w:val="00737D54"/>
    <w:rsid w:val="00741BE9"/>
    <w:rsid w:val="00746505"/>
    <w:rsid w:val="00760A03"/>
    <w:rsid w:val="0076708A"/>
    <w:rsid w:val="007671B1"/>
    <w:rsid w:val="0077194D"/>
    <w:rsid w:val="0077441A"/>
    <w:rsid w:val="00790BB3"/>
    <w:rsid w:val="00792043"/>
    <w:rsid w:val="00797EDD"/>
    <w:rsid w:val="007A140F"/>
    <w:rsid w:val="007B0322"/>
    <w:rsid w:val="007B1CE5"/>
    <w:rsid w:val="007C0E3F"/>
    <w:rsid w:val="007C206C"/>
    <w:rsid w:val="007C5729"/>
    <w:rsid w:val="007E3CF0"/>
    <w:rsid w:val="007E7AE4"/>
    <w:rsid w:val="00801389"/>
    <w:rsid w:val="00805042"/>
    <w:rsid w:val="00806C6F"/>
    <w:rsid w:val="008111E4"/>
    <w:rsid w:val="0081301C"/>
    <w:rsid w:val="0081367A"/>
    <w:rsid w:val="00817DD6"/>
    <w:rsid w:val="0084181D"/>
    <w:rsid w:val="008629A9"/>
    <w:rsid w:val="00863798"/>
    <w:rsid w:val="0088513A"/>
    <w:rsid w:val="00891DC9"/>
    <w:rsid w:val="008932FF"/>
    <w:rsid w:val="00893C19"/>
    <w:rsid w:val="008B0B5A"/>
    <w:rsid w:val="008D29C5"/>
    <w:rsid w:val="008D6C8D"/>
    <w:rsid w:val="008D74E0"/>
    <w:rsid w:val="008E00DC"/>
    <w:rsid w:val="008E2B54"/>
    <w:rsid w:val="008E4404"/>
    <w:rsid w:val="008E58C7"/>
    <w:rsid w:val="008F2BF7"/>
    <w:rsid w:val="008F5021"/>
    <w:rsid w:val="00931807"/>
    <w:rsid w:val="00943573"/>
    <w:rsid w:val="00943ED8"/>
    <w:rsid w:val="0094457A"/>
    <w:rsid w:val="00971B61"/>
    <w:rsid w:val="00974BBD"/>
    <w:rsid w:val="00980C31"/>
    <w:rsid w:val="00993B9B"/>
    <w:rsid w:val="009955FF"/>
    <w:rsid w:val="009A2219"/>
    <w:rsid w:val="009D259D"/>
    <w:rsid w:val="009E7ECD"/>
    <w:rsid w:val="00A05410"/>
    <w:rsid w:val="00A2098B"/>
    <w:rsid w:val="00A21245"/>
    <w:rsid w:val="00A5015D"/>
    <w:rsid w:val="00A50D9D"/>
    <w:rsid w:val="00A53000"/>
    <w:rsid w:val="00A545C6"/>
    <w:rsid w:val="00A74C76"/>
    <w:rsid w:val="00A75F87"/>
    <w:rsid w:val="00A86D56"/>
    <w:rsid w:val="00A92125"/>
    <w:rsid w:val="00A95D8B"/>
    <w:rsid w:val="00AA4B12"/>
    <w:rsid w:val="00AA58BD"/>
    <w:rsid w:val="00AC0270"/>
    <w:rsid w:val="00AC3EA3"/>
    <w:rsid w:val="00AC792D"/>
    <w:rsid w:val="00AD0218"/>
    <w:rsid w:val="00AE3780"/>
    <w:rsid w:val="00AE37D0"/>
    <w:rsid w:val="00AF5E8C"/>
    <w:rsid w:val="00AF5FD7"/>
    <w:rsid w:val="00B04F74"/>
    <w:rsid w:val="00B21DC0"/>
    <w:rsid w:val="00B452C9"/>
    <w:rsid w:val="00B6244E"/>
    <w:rsid w:val="00B6426C"/>
    <w:rsid w:val="00B657B8"/>
    <w:rsid w:val="00B81EE1"/>
    <w:rsid w:val="00B84920"/>
    <w:rsid w:val="00B8556A"/>
    <w:rsid w:val="00B91632"/>
    <w:rsid w:val="00B9415C"/>
    <w:rsid w:val="00BA7717"/>
    <w:rsid w:val="00BC1127"/>
    <w:rsid w:val="00BE3D95"/>
    <w:rsid w:val="00BF4275"/>
    <w:rsid w:val="00BF42A9"/>
    <w:rsid w:val="00C012A3"/>
    <w:rsid w:val="00C16F19"/>
    <w:rsid w:val="00C52512"/>
    <w:rsid w:val="00C52A7B"/>
    <w:rsid w:val="00C606EE"/>
    <w:rsid w:val="00C6324C"/>
    <w:rsid w:val="00C66980"/>
    <w:rsid w:val="00C679AA"/>
    <w:rsid w:val="00C724CF"/>
    <w:rsid w:val="00C72994"/>
    <w:rsid w:val="00C75972"/>
    <w:rsid w:val="00C77009"/>
    <w:rsid w:val="00C8054E"/>
    <w:rsid w:val="00C82792"/>
    <w:rsid w:val="00C948FD"/>
    <w:rsid w:val="00C97591"/>
    <w:rsid w:val="00CA49EA"/>
    <w:rsid w:val="00CB33B3"/>
    <w:rsid w:val="00CB43D5"/>
    <w:rsid w:val="00CC76F9"/>
    <w:rsid w:val="00CD066B"/>
    <w:rsid w:val="00CD2BEB"/>
    <w:rsid w:val="00CD46E2"/>
    <w:rsid w:val="00CE50CE"/>
    <w:rsid w:val="00CF22C2"/>
    <w:rsid w:val="00D00D0B"/>
    <w:rsid w:val="00D04B69"/>
    <w:rsid w:val="00D42E8E"/>
    <w:rsid w:val="00D537FA"/>
    <w:rsid w:val="00D6021B"/>
    <w:rsid w:val="00D733B8"/>
    <w:rsid w:val="00D80D99"/>
    <w:rsid w:val="00D8542B"/>
    <w:rsid w:val="00D9047D"/>
    <w:rsid w:val="00D9503C"/>
    <w:rsid w:val="00DA2225"/>
    <w:rsid w:val="00DC5AD0"/>
    <w:rsid w:val="00DD73EF"/>
    <w:rsid w:val="00DE1775"/>
    <w:rsid w:val="00DE23E8"/>
    <w:rsid w:val="00E0128B"/>
    <w:rsid w:val="00E0332C"/>
    <w:rsid w:val="00E1378C"/>
    <w:rsid w:val="00E170D4"/>
    <w:rsid w:val="00E227AD"/>
    <w:rsid w:val="00E33C8D"/>
    <w:rsid w:val="00E43B95"/>
    <w:rsid w:val="00E61E52"/>
    <w:rsid w:val="00E64E17"/>
    <w:rsid w:val="00E67319"/>
    <w:rsid w:val="00E72BB2"/>
    <w:rsid w:val="00E9552A"/>
    <w:rsid w:val="00EA3D3C"/>
    <w:rsid w:val="00EA75E9"/>
    <w:rsid w:val="00EC137C"/>
    <w:rsid w:val="00EC7CC3"/>
    <w:rsid w:val="00ED79DA"/>
    <w:rsid w:val="00EE7EA3"/>
    <w:rsid w:val="00F0276A"/>
    <w:rsid w:val="00F02C34"/>
    <w:rsid w:val="00F21557"/>
    <w:rsid w:val="00F3331E"/>
    <w:rsid w:val="00F36A8C"/>
    <w:rsid w:val="00F46494"/>
    <w:rsid w:val="00F558AB"/>
    <w:rsid w:val="00F61D89"/>
    <w:rsid w:val="00F62A58"/>
    <w:rsid w:val="00F7262B"/>
    <w:rsid w:val="00F84944"/>
    <w:rsid w:val="00F85215"/>
    <w:rsid w:val="00F85637"/>
    <w:rsid w:val="00F86ABB"/>
    <w:rsid w:val="00F9685A"/>
    <w:rsid w:val="00FB4B28"/>
    <w:rsid w:val="00FD48BA"/>
    <w:rsid w:val="00FD7648"/>
    <w:rsid w:val="00FE4D2D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6AB4032"/>
  <w15:docId w15:val="{2DA3E00F-090D-464D-A221-48B99610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F856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de-CH"/>
    </w:rPr>
  </w:style>
  <w:style w:type="character" w:customStyle="1" w:styleId="DefaultChar">
    <w:name w:val="Default Char"/>
    <w:basedOn w:val="DefaultParagraphFont"/>
    <w:link w:val="Default"/>
    <w:rsid w:val="00F85637"/>
    <w:rPr>
      <w:rFonts w:ascii="Helvetica" w:eastAsia="Arial Unicode MS" w:hAnsi="Arial Unicode MS" w:cs="Arial Unicode MS"/>
      <w:color w:val="000000"/>
      <w:u w:color="000000"/>
      <w:bdr w:val="nil"/>
      <w:lang w:eastAsia="de-CH"/>
    </w:rPr>
  </w:style>
  <w:style w:type="paragraph" w:customStyle="1" w:styleId="EndNoteBibliography">
    <w:name w:val="EndNote Bibliography"/>
    <w:basedOn w:val="Normal"/>
    <w:link w:val="EndNoteBibliographyChar"/>
    <w:rsid w:val="003B0DB3"/>
    <w:pPr>
      <w:spacing w:before="0" w:after="160"/>
      <w:jc w:val="both"/>
    </w:pPr>
    <w:rPr>
      <w:rFonts w:ascii="Calibri" w:hAnsi="Calibri" w:cs="Calibri"/>
      <w:noProof/>
      <w:sz w:val="32"/>
      <w:szCs w:val="32"/>
    </w:rPr>
  </w:style>
  <w:style w:type="character" w:customStyle="1" w:styleId="EndNoteBibliographyChar">
    <w:name w:val="EndNote Bibliography Char"/>
    <w:basedOn w:val="TitleChar"/>
    <w:link w:val="EndNoteBibliography"/>
    <w:rsid w:val="003B0DB3"/>
    <w:rPr>
      <w:rFonts w:ascii="Calibri" w:hAnsi="Calibri" w:cs="Calibri"/>
      <w:b w:val="0"/>
      <w:noProof/>
      <w:sz w:val="32"/>
      <w:szCs w:val="32"/>
    </w:rPr>
  </w:style>
  <w:style w:type="character" w:customStyle="1" w:styleId="mwe-math-mathml-inline">
    <w:name w:val="mwe-math-mathml-inline"/>
    <w:basedOn w:val="DefaultParagraphFont"/>
    <w:rsid w:val="008932FF"/>
  </w:style>
  <w:style w:type="paragraph" w:customStyle="1" w:styleId="EndNoteBibliographyTitle">
    <w:name w:val="EndNote Bibliography Title"/>
    <w:basedOn w:val="Normal"/>
    <w:link w:val="EndNoteBibliographyTitleChar"/>
    <w:rsid w:val="00292EF4"/>
    <w:pPr>
      <w:spacing w:after="0"/>
      <w:jc w:val="center"/>
    </w:pPr>
    <w:rPr>
      <w:rFonts w:ascii="Calibri" w:hAnsi="Calibri" w:cs="Calibri"/>
      <w:noProof/>
      <w:sz w:val="32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92EF4"/>
    <w:rPr>
      <w:rFonts w:ascii="Calibri" w:eastAsia="Cambria" w:hAnsi="Calibri" w:cs="Calibri"/>
      <w:b w:val="0"/>
      <w:noProof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etta\AppData\Local\Temp\Temp1_Frontiers_Word_Templates.zip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8109B2-F48B-4504-B0F7-68DA8DD0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Schättin  Alexandra</dc:creator>
  <cp:keywords/>
  <dc:description/>
  <cp:lastModifiedBy>Schättin  Alexandra</cp:lastModifiedBy>
  <cp:revision>3</cp:revision>
  <cp:lastPrinted>2013-10-03T12:51:00Z</cp:lastPrinted>
  <dcterms:created xsi:type="dcterms:W3CDTF">2018-08-13T07:55:00Z</dcterms:created>
  <dcterms:modified xsi:type="dcterms:W3CDTF">2018-08-13T10:28:00Z</dcterms:modified>
</cp:coreProperties>
</file>