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4E8F" w:rsidRPr="001549D3" w:rsidRDefault="00654E8F" w:rsidP="0001436A">
      <w:pPr>
        <w:pStyle w:val="SupplementaryMaterial"/>
        <w:rPr>
          <w:b w:val="0"/>
        </w:rPr>
      </w:pPr>
      <w:r w:rsidRPr="001549D3">
        <w:t>Supplementary Material</w:t>
      </w:r>
    </w:p>
    <w:p w:rsidR="00817DD6" w:rsidRPr="00AF431C" w:rsidRDefault="00AF431C" w:rsidP="0001436A">
      <w:pPr>
        <w:pStyle w:val="Titel"/>
      </w:pPr>
      <w:r w:rsidRPr="00AF431C">
        <w:rPr>
          <w:lang w:val="en-GB"/>
        </w:rPr>
        <w:t xml:space="preserve">IgG-independent co-aggregation of </w:t>
      </w:r>
      <w:proofErr w:type="spellStart"/>
      <w:r w:rsidRPr="00AF431C">
        <w:rPr>
          <w:lang w:val="en-GB"/>
        </w:rPr>
        <w:t>Fc</w:t>
      </w:r>
      <w:r>
        <w:rPr>
          <w:lang w:val="en-GB"/>
        </w:rPr>
        <w:t>ε</w:t>
      </w:r>
      <w:r w:rsidRPr="00AF431C">
        <w:rPr>
          <w:lang w:val="en-GB"/>
        </w:rPr>
        <w:t>RI</w:t>
      </w:r>
      <w:proofErr w:type="spellEnd"/>
      <w:r w:rsidRPr="00AF431C">
        <w:rPr>
          <w:lang w:val="en-GB"/>
        </w:rPr>
        <w:t xml:space="preserve"> and </w:t>
      </w:r>
      <w:proofErr w:type="spellStart"/>
      <w:r w:rsidRPr="00AF431C">
        <w:rPr>
          <w:lang w:val="en-GB"/>
        </w:rPr>
        <w:t>Fc</w:t>
      </w:r>
      <w:r>
        <w:rPr>
          <w:lang w:val="en-GB"/>
        </w:rPr>
        <w:t>γ</w:t>
      </w:r>
      <w:r w:rsidRPr="00AF431C">
        <w:rPr>
          <w:lang w:val="en-GB"/>
        </w:rPr>
        <w:t>RIIB</w:t>
      </w:r>
      <w:proofErr w:type="spellEnd"/>
      <w:r w:rsidRPr="00AF431C">
        <w:rPr>
          <w:lang w:val="en-GB"/>
        </w:rPr>
        <w:t xml:space="preserve"> results in LYN- and SHIP1-dependent tyrosine phosphorylation of </w:t>
      </w:r>
      <w:proofErr w:type="spellStart"/>
      <w:r w:rsidRPr="00AF431C">
        <w:rPr>
          <w:lang w:val="en-GB"/>
        </w:rPr>
        <w:t>Fc</w:t>
      </w:r>
      <w:r>
        <w:rPr>
          <w:lang w:val="en-GB"/>
        </w:rPr>
        <w:t>γ</w:t>
      </w:r>
      <w:r w:rsidRPr="00AF431C">
        <w:rPr>
          <w:lang w:val="en-GB"/>
        </w:rPr>
        <w:t>RIIB</w:t>
      </w:r>
      <w:proofErr w:type="spellEnd"/>
    </w:p>
    <w:p w:rsidR="00AF431C" w:rsidRPr="00376CC5" w:rsidRDefault="00AF431C" w:rsidP="00AF431C">
      <w:pPr>
        <w:pStyle w:val="AuthorList"/>
      </w:pPr>
      <w:r w:rsidRPr="00F172F7">
        <w:t>Mathias Gast</w:t>
      </w:r>
      <w:r w:rsidRPr="00F172F7">
        <w:rPr>
          <w:vertAlign w:val="superscript"/>
        </w:rPr>
        <w:t>1</w:t>
      </w:r>
      <w:r w:rsidRPr="00F172F7">
        <w:t>, Christian Preisinger</w:t>
      </w:r>
      <w:r w:rsidRPr="00F172F7">
        <w:rPr>
          <w:vertAlign w:val="superscript"/>
        </w:rPr>
        <w:t>2</w:t>
      </w:r>
      <w:r w:rsidRPr="00F172F7">
        <w:t>, Falk Nimmerjahn</w:t>
      </w:r>
      <w:r w:rsidRPr="00F172F7">
        <w:rPr>
          <w:vertAlign w:val="superscript"/>
        </w:rPr>
        <w:t>3</w:t>
      </w:r>
      <w:r w:rsidRPr="00F172F7">
        <w:t>, and Michael Huber</w:t>
      </w:r>
      <w:r w:rsidRPr="00F172F7">
        <w:rPr>
          <w:vertAlign w:val="superscript"/>
        </w:rPr>
        <w:t>1*</w:t>
      </w:r>
    </w:p>
    <w:p w:rsidR="00AF431C" w:rsidRPr="00F172F7" w:rsidRDefault="00AF431C" w:rsidP="00AF431C">
      <w:pPr>
        <w:jc w:val="both"/>
        <w:rPr>
          <w:lang w:eastAsia="de-DE"/>
        </w:rPr>
      </w:pPr>
      <w:r w:rsidRPr="00F172F7">
        <w:rPr>
          <w:vertAlign w:val="superscript"/>
        </w:rPr>
        <w:t>1</w:t>
      </w:r>
      <w:r w:rsidRPr="00F172F7">
        <w:t>Institute of Biochemistry and Molecular Immunology, Medical Faculty, RWTH Aachen University, Aachen, Germany</w:t>
      </w:r>
    </w:p>
    <w:p w:rsidR="00AF431C" w:rsidRPr="00F172F7" w:rsidRDefault="00AF431C" w:rsidP="00AF431C">
      <w:pPr>
        <w:jc w:val="both"/>
      </w:pPr>
      <w:r w:rsidRPr="00F172F7">
        <w:rPr>
          <w:vertAlign w:val="superscript"/>
        </w:rPr>
        <w:t>2</w:t>
      </w:r>
      <w:r w:rsidRPr="00F172F7">
        <w:t xml:space="preserve"> Proteomics Facility, IZKF, RWTH Aachen University, Aachen, Germany</w:t>
      </w:r>
    </w:p>
    <w:p w:rsidR="00AF431C" w:rsidRDefault="00AF431C" w:rsidP="00AF431C">
      <w:pPr>
        <w:spacing w:after="0"/>
      </w:pPr>
      <w:r w:rsidRPr="00F172F7">
        <w:rPr>
          <w:vertAlign w:val="superscript"/>
        </w:rPr>
        <w:t>3</w:t>
      </w:r>
      <w:r w:rsidRPr="00F172F7">
        <w:t>Institute of Genetics at the Department of Biology, Friedrich-Alexander-University Erlangen-</w:t>
      </w:r>
      <w:proofErr w:type="spellStart"/>
      <w:r w:rsidRPr="00F172F7">
        <w:t>Nürnberg</w:t>
      </w:r>
      <w:proofErr w:type="spellEnd"/>
      <w:r w:rsidRPr="00F172F7">
        <w:t>, Erlangen, Germany</w:t>
      </w:r>
    </w:p>
    <w:p w:rsidR="00AF431C" w:rsidRPr="00376CC5" w:rsidRDefault="00AF431C" w:rsidP="00AF431C">
      <w:pPr>
        <w:spacing w:after="0"/>
        <w:rPr>
          <w:rFonts w:cs="Times New Roman"/>
          <w:b/>
          <w:szCs w:val="24"/>
        </w:rPr>
      </w:pPr>
    </w:p>
    <w:p w:rsidR="009B3BD7" w:rsidRPr="0001179D" w:rsidRDefault="00AF431C" w:rsidP="0001179D">
      <w:pPr>
        <w:pStyle w:val="PaperBodytext"/>
        <w:tabs>
          <w:tab w:val="left" w:pos="2410"/>
        </w:tabs>
        <w:spacing w:line="240" w:lineRule="auto"/>
        <w:rPr>
          <w:rStyle w:val="Hyperlink"/>
          <w:b/>
          <w:color w:val="auto"/>
          <w:u w:val="none"/>
        </w:rPr>
      </w:pPr>
      <w:r w:rsidRPr="00376CC5">
        <w:rPr>
          <w:b/>
        </w:rPr>
        <w:t xml:space="preserve">*Correspondence: </w:t>
      </w:r>
      <w:hyperlink r:id="rId8" w:history="1">
        <w:r w:rsidRPr="00F172F7">
          <w:rPr>
            <w:rStyle w:val="Hyperlink"/>
          </w:rPr>
          <w:t>mhuber@ukaachen.de</w:t>
        </w:r>
      </w:hyperlink>
    </w:p>
    <w:p w:rsidR="009B3BD7" w:rsidRDefault="009B3BD7" w:rsidP="00AF431C">
      <w:pPr>
        <w:pStyle w:val="PaperBodytext"/>
        <w:tabs>
          <w:tab w:val="left" w:pos="0"/>
        </w:tabs>
        <w:spacing w:line="240" w:lineRule="auto"/>
        <w:rPr>
          <w:rFonts w:ascii="Times New Roman" w:hAnsi="Times New Roman"/>
          <w:b/>
          <w:lang w:val="en-GB"/>
        </w:rPr>
      </w:pPr>
    </w:p>
    <w:p w:rsidR="00E00532" w:rsidRDefault="00AF431C" w:rsidP="00B30415">
      <w:pPr>
        <w:pStyle w:val="berschrift1"/>
        <w:rPr>
          <w:lang w:val="en-GB"/>
        </w:rPr>
      </w:pPr>
      <w:r w:rsidRPr="004F5100">
        <w:t>Supplementary</w:t>
      </w:r>
      <w:r w:rsidRPr="00AF431C">
        <w:rPr>
          <w:lang w:val="en-GB"/>
        </w:rPr>
        <w:t xml:space="preserve"> </w:t>
      </w:r>
      <w:r w:rsidR="00425FA7">
        <w:rPr>
          <w:lang w:val="en-GB"/>
        </w:rPr>
        <w:t>F</w:t>
      </w:r>
      <w:r w:rsidRPr="00AF431C">
        <w:rPr>
          <w:lang w:val="en-GB"/>
        </w:rPr>
        <w:t>igures</w:t>
      </w:r>
      <w:r w:rsidR="00177435">
        <w:rPr>
          <w:lang w:val="en-GB"/>
        </w:rPr>
        <w:t xml:space="preserve"> </w:t>
      </w:r>
    </w:p>
    <w:p w:rsidR="00F3577B" w:rsidRDefault="00F3577B" w:rsidP="00F3577B">
      <w:pPr>
        <w:jc w:val="center"/>
        <w:rPr>
          <w:lang w:val="en-GB"/>
        </w:rPr>
      </w:pPr>
      <w:r>
        <w:rPr>
          <w:noProof/>
        </w:rPr>
        <w:drawing>
          <wp:inline distT="0" distB="0" distL="0" distR="0" wp14:anchorId="30EC6329" wp14:editId="77A4DDAE">
            <wp:extent cx="4381500" cy="293650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9650" cy="3002287"/>
                    </a:xfrm>
                    <a:prstGeom prst="rect">
                      <a:avLst/>
                    </a:prstGeom>
                    <a:noFill/>
                    <a:ln>
                      <a:noFill/>
                    </a:ln>
                  </pic:spPr>
                </pic:pic>
              </a:graphicData>
            </a:graphic>
          </wp:inline>
        </w:drawing>
      </w:r>
    </w:p>
    <w:p w:rsidR="00F3577B" w:rsidRPr="00F3577B" w:rsidRDefault="00F3577B" w:rsidP="00F3577B">
      <w:pPr>
        <w:jc w:val="both"/>
        <w:rPr>
          <w:lang w:val="en-GB"/>
        </w:rPr>
      </w:pPr>
      <w:r w:rsidRPr="004C7BEF">
        <w:rPr>
          <w:rFonts w:cs="Times New Roman"/>
          <w:b/>
          <w:bCs/>
          <w:szCs w:val="24"/>
        </w:rPr>
        <w:t xml:space="preserve">Supplementary </w:t>
      </w:r>
      <w:r>
        <w:rPr>
          <w:rFonts w:cs="Times New Roman"/>
          <w:b/>
          <w:bCs/>
          <w:szCs w:val="24"/>
        </w:rPr>
        <w:t>F</w:t>
      </w:r>
      <w:r w:rsidRPr="004C7BEF">
        <w:rPr>
          <w:rFonts w:cs="Times New Roman"/>
          <w:b/>
          <w:bCs/>
          <w:szCs w:val="24"/>
        </w:rPr>
        <w:t>igure S</w:t>
      </w:r>
      <w:r>
        <w:rPr>
          <w:rFonts w:cs="Times New Roman"/>
          <w:b/>
          <w:bCs/>
          <w:szCs w:val="24"/>
        </w:rPr>
        <w:t>1</w:t>
      </w:r>
      <w:r w:rsidRPr="004C7BEF">
        <w:rPr>
          <w:rFonts w:cs="Times New Roman"/>
          <w:b/>
          <w:bCs/>
          <w:szCs w:val="24"/>
        </w:rPr>
        <w:t xml:space="preserve">: </w:t>
      </w:r>
      <w:r w:rsidRPr="004C7BEF">
        <w:rPr>
          <w:rFonts w:cs="Times New Roman"/>
          <w:szCs w:val="24"/>
        </w:rPr>
        <w:t xml:space="preserve">WT and </w:t>
      </w:r>
      <w:r w:rsidRPr="004C7BEF">
        <w:rPr>
          <w:rFonts w:cs="Times New Roman"/>
          <w:i/>
          <w:iCs/>
          <w:szCs w:val="24"/>
        </w:rPr>
        <w:t>Fcgr2</w:t>
      </w:r>
      <w:r w:rsidRPr="004C7BEF">
        <w:rPr>
          <w:rFonts w:cs="Times New Roman"/>
          <w:szCs w:val="24"/>
          <w:vertAlign w:val="superscript"/>
        </w:rPr>
        <w:t>-/-</w:t>
      </w:r>
      <w:r w:rsidRPr="004C7BEF">
        <w:rPr>
          <w:rFonts w:cs="Times New Roman"/>
          <w:szCs w:val="24"/>
        </w:rPr>
        <w:t xml:space="preserve"> BMMCs were stained with FITC-labeled anti-</w:t>
      </w:r>
      <w:proofErr w:type="spellStart"/>
      <w:r w:rsidRPr="004C7BEF">
        <w:rPr>
          <w:rFonts w:cs="Times New Roman"/>
          <w:szCs w:val="24"/>
        </w:rPr>
        <w:t>FcεRI</w:t>
      </w:r>
      <w:proofErr w:type="spellEnd"/>
      <w:r w:rsidRPr="004C7BEF">
        <w:rPr>
          <w:rFonts w:cs="Times New Roman"/>
          <w:szCs w:val="24"/>
        </w:rPr>
        <w:t xml:space="preserve"> antibody (left panel) and PE-labeled anti-KIT antibody (right panel). Faint red and grey histograms show autofluorescence. Flow cytometry analysis to determine expression of the respective proteins on the cell surface showed that levels were comparable in WT and </w:t>
      </w:r>
      <w:r w:rsidRPr="004C7BEF">
        <w:rPr>
          <w:rFonts w:cs="Times New Roman"/>
          <w:i/>
          <w:iCs/>
          <w:szCs w:val="24"/>
        </w:rPr>
        <w:t>Fcgr2</w:t>
      </w:r>
      <w:r w:rsidRPr="004C7BEF">
        <w:rPr>
          <w:rFonts w:cs="Times New Roman"/>
          <w:szCs w:val="24"/>
          <w:vertAlign w:val="superscript"/>
        </w:rPr>
        <w:t>-/-</w:t>
      </w:r>
      <w:r w:rsidRPr="004C7BEF">
        <w:rPr>
          <w:rFonts w:cs="Times New Roman"/>
          <w:szCs w:val="24"/>
        </w:rPr>
        <w:t xml:space="preserve"> BMMCs.</w:t>
      </w:r>
    </w:p>
    <w:p w:rsidR="008663C0" w:rsidRPr="004C7BEF" w:rsidRDefault="009D2F39" w:rsidP="00F3396C">
      <w:pPr>
        <w:jc w:val="center"/>
        <w:rPr>
          <w:rFonts w:cs="Times New Roman"/>
          <w:szCs w:val="24"/>
        </w:rPr>
      </w:pPr>
      <w:r>
        <w:rPr>
          <w:noProof/>
        </w:rPr>
        <w:lastRenderedPageBreak/>
        <w:drawing>
          <wp:inline distT="0" distB="0" distL="0" distR="0">
            <wp:extent cx="5740400" cy="2963545"/>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0400" cy="2963545"/>
                    </a:xfrm>
                    <a:prstGeom prst="rect">
                      <a:avLst/>
                    </a:prstGeom>
                    <a:noFill/>
                    <a:ln>
                      <a:noFill/>
                    </a:ln>
                  </pic:spPr>
                </pic:pic>
              </a:graphicData>
            </a:graphic>
          </wp:inline>
        </w:drawing>
      </w:r>
    </w:p>
    <w:p w:rsidR="005160DC" w:rsidRPr="00F3577B" w:rsidRDefault="00F3396C" w:rsidP="005160DC">
      <w:pPr>
        <w:jc w:val="both"/>
        <w:rPr>
          <w:noProof/>
        </w:rPr>
      </w:pPr>
      <w:r w:rsidRPr="00F3396C">
        <w:rPr>
          <w:b/>
          <w:noProof/>
        </w:rPr>
        <w:t>Supplementary Figure S</w:t>
      </w:r>
      <w:r w:rsidR="00F3577B">
        <w:rPr>
          <w:b/>
          <w:noProof/>
        </w:rPr>
        <w:t>2</w:t>
      </w:r>
      <w:r>
        <w:rPr>
          <w:b/>
          <w:noProof/>
        </w:rPr>
        <w:t xml:space="preserve">: </w:t>
      </w:r>
      <w:r w:rsidRPr="00F3396C">
        <w:rPr>
          <w:noProof/>
        </w:rPr>
        <w:t xml:space="preserve">Negative control </w:t>
      </w:r>
      <w:r>
        <w:rPr>
          <w:noProof/>
        </w:rPr>
        <w:t xml:space="preserve">for SHIP1 immunoprecipitation. </w:t>
      </w:r>
      <w:r>
        <w:rPr>
          <w:b/>
          <w:noProof/>
        </w:rPr>
        <w:t>(A)</w:t>
      </w:r>
      <w:r>
        <w:rPr>
          <w:noProof/>
        </w:rPr>
        <w:t xml:space="preserve"> </w:t>
      </w:r>
      <w:r w:rsidR="000017EA">
        <w:rPr>
          <w:noProof/>
        </w:rPr>
        <w:t xml:space="preserve">WT and </w:t>
      </w:r>
      <w:r w:rsidR="000017EA" w:rsidRPr="000017EA">
        <w:rPr>
          <w:i/>
          <w:noProof/>
        </w:rPr>
        <w:t>Ship1</w:t>
      </w:r>
      <w:r w:rsidR="000017EA" w:rsidRPr="000017EA">
        <w:rPr>
          <w:i/>
          <w:noProof/>
          <w:vertAlign w:val="superscript"/>
        </w:rPr>
        <w:t>-/-</w:t>
      </w:r>
      <w:r w:rsidR="000017EA">
        <w:rPr>
          <w:noProof/>
        </w:rPr>
        <w:t xml:space="preserve"> BMMCs were sensitized with SPE-7 overnight (0.15 µg/ml). Cells were challenged with 2000 ng/ml of DNP-HSA for 2 min. Immunoprecipitation against SHIP1 was conducted. Specificty of the IP with the respective anti-SHIP1 antibody </w:t>
      </w:r>
      <w:r w:rsidR="00AA46FB">
        <w:rPr>
          <w:noProof/>
        </w:rPr>
        <w:t xml:space="preserve">(P1C1) </w:t>
      </w:r>
      <w:bookmarkStart w:id="0" w:name="_GoBack"/>
      <w:bookmarkEnd w:id="0"/>
      <w:r w:rsidR="000017EA">
        <w:rPr>
          <w:noProof/>
        </w:rPr>
        <w:t xml:space="preserve">was proven by the negative control. </w:t>
      </w:r>
      <w:r w:rsidR="000017EA">
        <w:rPr>
          <w:b/>
          <w:noProof/>
        </w:rPr>
        <w:t xml:space="preserve">(B) </w:t>
      </w:r>
      <w:r w:rsidR="000017EA" w:rsidRPr="00B17F60">
        <w:rPr>
          <w:rFonts w:cs="Times New Roman"/>
          <w:bCs/>
        </w:rPr>
        <w:t xml:space="preserve">Original blots belonging to bands shown in </w:t>
      </w:r>
      <w:r w:rsidR="000017EA">
        <w:rPr>
          <w:rFonts w:cs="Times New Roman"/>
          <w:bCs/>
        </w:rPr>
        <w:t>(A).</w:t>
      </w:r>
      <w:r w:rsidR="005160DC" w:rsidRPr="005160DC">
        <w:rPr>
          <w:noProof/>
        </w:rPr>
        <w:t xml:space="preserve"> </w:t>
      </w:r>
    </w:p>
    <w:p w:rsidR="005160DC" w:rsidRDefault="005160DC" w:rsidP="005160DC">
      <w:pPr>
        <w:jc w:val="both"/>
        <w:rPr>
          <w:rFonts w:cs="Times New Roman"/>
          <w:bCs/>
        </w:rPr>
      </w:pPr>
    </w:p>
    <w:p w:rsidR="00C2179A" w:rsidRPr="000017EA" w:rsidRDefault="00C2179A" w:rsidP="00F3396C">
      <w:pPr>
        <w:rPr>
          <w:noProof/>
        </w:rPr>
      </w:pPr>
      <w:r>
        <w:rPr>
          <w:noProof/>
        </w:rPr>
        <w:drawing>
          <wp:inline distT="0" distB="0" distL="0" distR="0">
            <wp:extent cx="6208395" cy="3151105"/>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8395" cy="3151105"/>
                    </a:xfrm>
                    <a:prstGeom prst="rect">
                      <a:avLst/>
                    </a:prstGeom>
                    <a:noFill/>
                    <a:ln>
                      <a:noFill/>
                    </a:ln>
                  </pic:spPr>
                </pic:pic>
              </a:graphicData>
            </a:graphic>
          </wp:inline>
        </w:drawing>
      </w:r>
    </w:p>
    <w:p w:rsidR="00B30415" w:rsidRDefault="00CC717C" w:rsidP="005160DC">
      <w:pPr>
        <w:jc w:val="both"/>
      </w:pPr>
      <w:r>
        <w:rPr>
          <w:rFonts w:cs="Times New Roman"/>
          <w:b/>
          <w:szCs w:val="24"/>
          <w:lang w:val="en-GB"/>
        </w:rPr>
        <w:t>Supplementary Figure S</w:t>
      </w:r>
      <w:r w:rsidR="005160DC">
        <w:rPr>
          <w:rFonts w:cs="Times New Roman"/>
          <w:b/>
          <w:szCs w:val="24"/>
          <w:lang w:val="en-GB"/>
        </w:rPr>
        <w:t>3</w:t>
      </w:r>
      <w:r>
        <w:rPr>
          <w:rFonts w:cs="Times New Roman"/>
          <w:b/>
          <w:szCs w:val="24"/>
          <w:lang w:val="en-GB"/>
        </w:rPr>
        <w:t xml:space="preserve">: </w:t>
      </w:r>
      <w:r>
        <w:rPr>
          <w:rFonts w:cs="Times New Roman"/>
          <w:szCs w:val="24"/>
          <w:lang w:val="en-GB"/>
        </w:rPr>
        <w:t xml:space="preserve">Alternative negative control for </w:t>
      </w:r>
      <w:r w:rsidRPr="00CC717C">
        <w:rPr>
          <w:rFonts w:cs="Times New Roman"/>
          <w:i/>
          <w:szCs w:val="24"/>
          <w:lang w:val="en-GB"/>
        </w:rPr>
        <w:t>in situ</w:t>
      </w:r>
      <w:r>
        <w:rPr>
          <w:rFonts w:cs="Times New Roman"/>
          <w:szCs w:val="24"/>
          <w:lang w:val="en-GB"/>
        </w:rPr>
        <w:t xml:space="preserve"> PLA shown in Fig.4. WT BMMCs </w:t>
      </w:r>
      <w:r w:rsidRPr="00F172F7">
        <w:t>were incubated with the solvent of the respective primary antibodies only</w:t>
      </w:r>
      <w:r>
        <w:t xml:space="preserve"> and </w:t>
      </w:r>
      <w:r>
        <w:rPr>
          <w:i/>
        </w:rPr>
        <w:t>Fcgr2</w:t>
      </w:r>
      <w:r>
        <w:rPr>
          <w:i/>
          <w:vertAlign w:val="superscript"/>
        </w:rPr>
        <w:t>-/-</w:t>
      </w:r>
      <w:r>
        <w:t xml:space="preserve"> </w:t>
      </w:r>
      <w:r w:rsidR="00AA46FB">
        <w:t xml:space="preserve">BMMCs </w:t>
      </w:r>
      <w:r>
        <w:t>with both primary antibodies.</w:t>
      </w:r>
    </w:p>
    <w:p w:rsidR="001007E8" w:rsidRDefault="001007E8" w:rsidP="001007E8">
      <w:pPr>
        <w:jc w:val="center"/>
      </w:pPr>
      <w:r>
        <w:rPr>
          <w:noProof/>
        </w:rPr>
        <w:lastRenderedPageBreak/>
        <w:drawing>
          <wp:inline distT="0" distB="0" distL="0" distR="0" wp14:anchorId="226E65E5" wp14:editId="0047CE3F">
            <wp:extent cx="3977640" cy="2731313"/>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8701" cy="2738908"/>
                    </a:xfrm>
                    <a:prstGeom prst="rect">
                      <a:avLst/>
                    </a:prstGeom>
                    <a:noFill/>
                    <a:ln>
                      <a:noFill/>
                    </a:ln>
                  </pic:spPr>
                </pic:pic>
              </a:graphicData>
            </a:graphic>
          </wp:inline>
        </w:drawing>
      </w:r>
    </w:p>
    <w:p w:rsidR="001007E8" w:rsidRDefault="001007E8" w:rsidP="001007E8">
      <w:pPr>
        <w:jc w:val="both"/>
        <w:rPr>
          <w:rFonts w:cs="Times New Roman"/>
          <w:noProof/>
          <w:szCs w:val="24"/>
        </w:rPr>
      </w:pPr>
      <w:r w:rsidRPr="001007E8">
        <w:rPr>
          <w:rFonts w:cs="Times New Roman"/>
          <w:b/>
          <w:noProof/>
          <w:szCs w:val="24"/>
        </w:rPr>
        <w:t>Supplementary Figure S4:</w:t>
      </w:r>
      <w:r w:rsidRPr="001007E8">
        <w:rPr>
          <w:rFonts w:cs="Times New Roman"/>
          <w:noProof/>
          <w:szCs w:val="24"/>
        </w:rPr>
        <w:t xml:space="preserve"> WT BMMCs were sensitized with 0.15 µg/ml of SPE-7 overnight. Cells were split into two batches and treated with 8 µg/ml of 2.4G2 for 40 min or left untreated intstead. Cells were then stimulated with the respective amounts of DNP-HSA for 30 min and β-hexosaminidase release was determined.</w:t>
      </w:r>
    </w:p>
    <w:p w:rsidR="001007E8" w:rsidRDefault="001007E8" w:rsidP="001007E8">
      <w:pPr>
        <w:jc w:val="both"/>
        <w:rPr>
          <w:rFonts w:cs="Times New Roman"/>
          <w:noProof/>
          <w:szCs w:val="24"/>
        </w:rPr>
      </w:pPr>
    </w:p>
    <w:p w:rsidR="001007E8" w:rsidRDefault="001007E8" w:rsidP="001007E8">
      <w:pPr>
        <w:jc w:val="center"/>
        <w:rPr>
          <w:rFonts w:cs="Times New Roman"/>
          <w:szCs w:val="24"/>
        </w:rPr>
      </w:pPr>
      <w:r>
        <w:rPr>
          <w:noProof/>
        </w:rPr>
        <w:drawing>
          <wp:inline distT="0" distB="0" distL="0" distR="0" wp14:anchorId="2E9CF22C" wp14:editId="56035035">
            <wp:extent cx="4055354" cy="2811712"/>
            <wp:effectExtent l="0" t="0" r="254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9270" cy="2869894"/>
                    </a:xfrm>
                    <a:prstGeom prst="rect">
                      <a:avLst/>
                    </a:prstGeom>
                    <a:noFill/>
                    <a:ln>
                      <a:noFill/>
                    </a:ln>
                  </pic:spPr>
                </pic:pic>
              </a:graphicData>
            </a:graphic>
          </wp:inline>
        </w:drawing>
      </w:r>
    </w:p>
    <w:p w:rsidR="001007E8" w:rsidRPr="001007E8" w:rsidRDefault="001007E8" w:rsidP="001007E8">
      <w:pPr>
        <w:rPr>
          <w:rFonts w:cs="Times New Roman"/>
          <w:szCs w:val="24"/>
        </w:rPr>
      </w:pPr>
      <w:r>
        <w:rPr>
          <w:rFonts w:cs="Times New Roman"/>
          <w:b/>
          <w:noProof/>
          <w:szCs w:val="24"/>
        </w:rPr>
        <w:t xml:space="preserve">Supplementary Figure S5: </w:t>
      </w:r>
      <w:r w:rsidRPr="001007E8">
        <w:rPr>
          <w:rFonts w:cs="Times New Roman"/>
          <w:noProof/>
          <w:szCs w:val="24"/>
        </w:rPr>
        <w:t>WT BMMCs were sensitized with 0.15 µg/ml of SPE-7 overnight. Cells were split into two batches and treated with 8 µg/ml of 2.4G2 for 40 min or left untreated intstead. Cells were then stimulated with the respective amounts of DNP-HSA for 4 h and IL-6 release was determined.</w:t>
      </w:r>
    </w:p>
    <w:p w:rsidR="00AF431C" w:rsidRDefault="00383093" w:rsidP="00AF431C">
      <w:pPr>
        <w:jc w:val="center"/>
        <w:rPr>
          <w:rFonts w:ascii="Arial" w:hAnsi="Arial" w:cs="Arial"/>
          <w:sz w:val="28"/>
          <w:szCs w:val="28"/>
          <w:lang w:val="en-GB"/>
        </w:rPr>
      </w:pPr>
      <w:r>
        <w:rPr>
          <w:noProof/>
        </w:rPr>
        <w:lastRenderedPageBreak/>
        <w:drawing>
          <wp:inline distT="0" distB="0" distL="0" distR="0">
            <wp:extent cx="3963600" cy="2962800"/>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3600" cy="2962800"/>
                    </a:xfrm>
                    <a:prstGeom prst="rect">
                      <a:avLst/>
                    </a:prstGeom>
                    <a:noFill/>
                    <a:ln>
                      <a:noFill/>
                    </a:ln>
                  </pic:spPr>
                </pic:pic>
              </a:graphicData>
            </a:graphic>
          </wp:inline>
        </w:drawing>
      </w:r>
    </w:p>
    <w:p w:rsidR="00AF431C" w:rsidRPr="004C7BEF" w:rsidRDefault="004C7BEF" w:rsidP="004C7BEF">
      <w:pPr>
        <w:jc w:val="both"/>
        <w:rPr>
          <w:sz w:val="28"/>
          <w:szCs w:val="28"/>
        </w:rPr>
      </w:pPr>
      <w:r w:rsidRPr="004C7BEF">
        <w:rPr>
          <w:b/>
          <w:bCs/>
        </w:rPr>
        <w:t xml:space="preserve">Supplementary </w:t>
      </w:r>
      <w:r w:rsidR="00425FA7">
        <w:rPr>
          <w:b/>
          <w:bCs/>
        </w:rPr>
        <w:t>F</w:t>
      </w:r>
      <w:r w:rsidRPr="004C7BEF">
        <w:rPr>
          <w:b/>
          <w:bCs/>
        </w:rPr>
        <w:t>igure S</w:t>
      </w:r>
      <w:r w:rsidR="001007E8">
        <w:rPr>
          <w:b/>
          <w:bCs/>
        </w:rPr>
        <w:t>6</w:t>
      </w:r>
      <w:r w:rsidRPr="004C7BEF">
        <w:rPr>
          <w:b/>
          <w:bCs/>
        </w:rPr>
        <w:t xml:space="preserve">: </w:t>
      </w:r>
      <w:r w:rsidRPr="004C7BEF">
        <w:t xml:space="preserve">LAMP-1 assay in WT and </w:t>
      </w:r>
      <w:r w:rsidRPr="004C7BEF">
        <w:rPr>
          <w:i/>
          <w:iCs/>
        </w:rPr>
        <w:t>Fcgr2</w:t>
      </w:r>
      <w:r w:rsidRPr="004C7BEF">
        <w:rPr>
          <w:vertAlign w:val="superscript"/>
        </w:rPr>
        <w:t>-/-</w:t>
      </w:r>
      <w:r w:rsidRPr="004C7BEF">
        <w:t xml:space="preserve"> BMMCs. MCs were stimulated as depicted, stained with a FITC-conjugated α-LAMP-1 antibody and analyzed by flow cytometry. Vesicle fusion appeared to be increased upon supra-optimal stimulation in </w:t>
      </w:r>
      <w:r w:rsidRPr="004C7BEF">
        <w:rPr>
          <w:i/>
          <w:iCs/>
        </w:rPr>
        <w:t>Fcgr2</w:t>
      </w:r>
      <w:r w:rsidRPr="004C7BEF">
        <w:rPr>
          <w:vertAlign w:val="superscript"/>
        </w:rPr>
        <w:t>-/-</w:t>
      </w:r>
      <w:r w:rsidRPr="004C7BEF">
        <w:t>,</w:t>
      </w:r>
      <w:r w:rsidRPr="004C7BEF">
        <w:rPr>
          <w:vertAlign w:val="superscript"/>
        </w:rPr>
        <w:t xml:space="preserve"> </w:t>
      </w:r>
      <w:r w:rsidRPr="004C7BEF">
        <w:t>whereas after optimal stimulation it was partly enhanced in WT BMMCs</w:t>
      </w:r>
      <w:r w:rsidR="00C442CC">
        <w:t>.</w:t>
      </w:r>
    </w:p>
    <w:p w:rsidR="00AF431C" w:rsidRPr="007F25E9" w:rsidRDefault="00AF431C" w:rsidP="00AF431C">
      <w:pPr>
        <w:rPr>
          <w:rFonts w:ascii="Arial" w:hAnsi="Arial" w:cs="Arial"/>
          <w:sz w:val="28"/>
          <w:szCs w:val="28"/>
          <w:lang w:val="en-GB"/>
        </w:rPr>
      </w:pPr>
    </w:p>
    <w:p w:rsidR="00AF431C" w:rsidRDefault="00383093" w:rsidP="004C7BEF">
      <w:pPr>
        <w:jc w:val="center"/>
        <w:rPr>
          <w:rFonts w:ascii="Arial" w:hAnsi="Arial" w:cs="Arial"/>
          <w:sz w:val="28"/>
          <w:szCs w:val="28"/>
          <w:lang w:val="en-GB"/>
        </w:rPr>
      </w:pPr>
      <w:r>
        <w:rPr>
          <w:noProof/>
        </w:rPr>
        <w:drawing>
          <wp:inline distT="0" distB="0" distL="0" distR="0">
            <wp:extent cx="3963600" cy="3096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3600" cy="3096000"/>
                    </a:xfrm>
                    <a:prstGeom prst="rect">
                      <a:avLst/>
                    </a:prstGeom>
                    <a:noFill/>
                    <a:ln>
                      <a:noFill/>
                    </a:ln>
                  </pic:spPr>
                </pic:pic>
              </a:graphicData>
            </a:graphic>
          </wp:inline>
        </w:drawing>
      </w:r>
    </w:p>
    <w:p w:rsidR="004C7BEF" w:rsidRPr="004C7BEF" w:rsidRDefault="004C7BEF" w:rsidP="004C7BEF">
      <w:pPr>
        <w:jc w:val="both"/>
      </w:pPr>
      <w:r w:rsidRPr="004C7BEF">
        <w:rPr>
          <w:b/>
          <w:bCs/>
        </w:rPr>
        <w:t xml:space="preserve">Supplementary </w:t>
      </w:r>
      <w:r w:rsidR="00425FA7">
        <w:rPr>
          <w:b/>
          <w:bCs/>
        </w:rPr>
        <w:t>F</w:t>
      </w:r>
      <w:r w:rsidRPr="004C7BEF">
        <w:rPr>
          <w:b/>
          <w:bCs/>
        </w:rPr>
        <w:t>igure S</w:t>
      </w:r>
      <w:r w:rsidR="001007E8">
        <w:rPr>
          <w:b/>
          <w:bCs/>
        </w:rPr>
        <w:t>7</w:t>
      </w:r>
      <w:r w:rsidRPr="004C7BEF">
        <w:rPr>
          <w:b/>
          <w:bCs/>
        </w:rPr>
        <w:t xml:space="preserve">: </w:t>
      </w:r>
      <w:r w:rsidRPr="004C7BEF">
        <w:t xml:space="preserve">LAMP-1 assay in WT and </w:t>
      </w:r>
      <w:r w:rsidRPr="004C7BEF">
        <w:rPr>
          <w:i/>
          <w:iCs/>
        </w:rPr>
        <w:t>Fcgr2</w:t>
      </w:r>
      <w:r w:rsidRPr="004C7BEF">
        <w:rPr>
          <w:vertAlign w:val="superscript"/>
        </w:rPr>
        <w:t>-/-</w:t>
      </w:r>
      <w:r w:rsidRPr="004C7BEF">
        <w:t xml:space="preserve"> BMMCs. MCs were stimulated as depicted, stained with a FITC-conjugated α-LAMP-1 antibody and analy</w:t>
      </w:r>
      <w:r>
        <w:t>z</w:t>
      </w:r>
      <w:r w:rsidRPr="004C7BEF">
        <w:t xml:space="preserve">ed by flow cytometry. Vesicle fusion appeared to be increased upon supra-optimal stimulation in </w:t>
      </w:r>
      <w:r w:rsidRPr="004C7BEF">
        <w:rPr>
          <w:i/>
          <w:iCs/>
        </w:rPr>
        <w:t>Fcgr2</w:t>
      </w:r>
      <w:r w:rsidRPr="004C7BEF">
        <w:rPr>
          <w:vertAlign w:val="superscript"/>
        </w:rPr>
        <w:t>-/-</w:t>
      </w:r>
      <w:r w:rsidRPr="004C7BEF">
        <w:t>,</w:t>
      </w:r>
      <w:r w:rsidRPr="004C7BEF">
        <w:rPr>
          <w:vertAlign w:val="superscript"/>
        </w:rPr>
        <w:t xml:space="preserve"> </w:t>
      </w:r>
      <w:r w:rsidRPr="004C7BEF">
        <w:t>whereas after optimal stimulation it was enhanced in WT BMMCs.</w:t>
      </w:r>
    </w:p>
    <w:p w:rsidR="00BD2303" w:rsidRDefault="00383093" w:rsidP="00BD2303">
      <w:pPr>
        <w:jc w:val="center"/>
        <w:rPr>
          <w:rFonts w:ascii="Arial" w:hAnsi="Arial" w:cs="Arial"/>
          <w:sz w:val="28"/>
          <w:szCs w:val="28"/>
          <w:lang w:val="en-GB"/>
        </w:rPr>
      </w:pPr>
      <w:r>
        <w:rPr>
          <w:noProof/>
        </w:rPr>
        <w:lastRenderedPageBreak/>
        <w:drawing>
          <wp:inline distT="0" distB="0" distL="0" distR="0">
            <wp:extent cx="4032000" cy="2919600"/>
            <wp:effectExtent l="0" t="0" r="698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2000" cy="2919600"/>
                    </a:xfrm>
                    <a:prstGeom prst="rect">
                      <a:avLst/>
                    </a:prstGeom>
                    <a:noFill/>
                    <a:ln>
                      <a:noFill/>
                    </a:ln>
                  </pic:spPr>
                </pic:pic>
              </a:graphicData>
            </a:graphic>
          </wp:inline>
        </w:drawing>
      </w:r>
    </w:p>
    <w:p w:rsidR="00AF431C" w:rsidRPr="00BD2303" w:rsidRDefault="00AF431C" w:rsidP="00BD2303">
      <w:pPr>
        <w:jc w:val="both"/>
        <w:rPr>
          <w:sz w:val="28"/>
          <w:szCs w:val="28"/>
        </w:rPr>
      </w:pPr>
      <w:r w:rsidRPr="00BD2303">
        <w:rPr>
          <w:b/>
          <w:bCs/>
        </w:rPr>
        <w:t xml:space="preserve">Supplementary </w:t>
      </w:r>
      <w:r w:rsidR="00425FA7">
        <w:rPr>
          <w:b/>
          <w:bCs/>
        </w:rPr>
        <w:t>F</w:t>
      </w:r>
      <w:r w:rsidRPr="00BD2303">
        <w:rPr>
          <w:b/>
          <w:bCs/>
        </w:rPr>
        <w:t>igure S</w:t>
      </w:r>
      <w:r w:rsidR="001007E8">
        <w:rPr>
          <w:b/>
          <w:bCs/>
        </w:rPr>
        <w:t>8</w:t>
      </w:r>
      <w:r w:rsidRPr="00BD2303">
        <w:rPr>
          <w:b/>
          <w:bCs/>
        </w:rPr>
        <w:t xml:space="preserve">: </w:t>
      </w:r>
      <w:r w:rsidRPr="00BD2303">
        <w:rPr>
          <w:i/>
          <w:iCs/>
        </w:rPr>
        <w:t>Il13</w:t>
      </w:r>
      <w:r w:rsidRPr="00BD2303">
        <w:t xml:space="preserve"> gene expression was determined in WT and </w:t>
      </w:r>
      <w:r w:rsidRPr="00BD2303">
        <w:rPr>
          <w:i/>
          <w:iCs/>
        </w:rPr>
        <w:t>Fcgr2</w:t>
      </w:r>
      <w:r w:rsidRPr="00BD2303">
        <w:rPr>
          <w:vertAlign w:val="superscript"/>
        </w:rPr>
        <w:t>-/-</w:t>
      </w:r>
      <w:r w:rsidRPr="00BD2303">
        <w:t xml:space="preserve"> BMMCs. MCs were stimulated as depicted for 2 h. After mRNA preparation, qPCR was conducted as described previously</w:t>
      </w:r>
      <w:r w:rsidR="00BD2303">
        <w:t xml:space="preserve"> </w:t>
      </w:r>
      <w:r w:rsidR="00BD2303">
        <w:fldChar w:fldCharType="begin" w:fldLock="1"/>
      </w:r>
      <w:r w:rsidR="00BD2303">
        <w:instrText>ADDIN CSL_CITATION { "citationItems" : [ { "id" : "ITEM-1", "itemData" : { "DOI" : "10.1038/s41598-017-04890-4", "ISSN" : "2045-2322", "PMID" : "28674400", "abstract" : "Stimulation with lipopolysaccharide (LPS; endotoxin) not only causes rapid production of proinflammatory cytokines, but also induces a state of LPS hypo-responsiveness to a second LPS stimulation (endotoxin tolerance (ET)). Murine bone marrow-derived MCs (BMMCs) and peritoneal MCs (PMCs) developed ET as shown by an abrogated production of Il6/Tnf RNAs and IL-6/TNF-\u03b1 proteins. In naive BMMCs, LPS stimulation induced a transient decline in the trimethylation of lysine 9 of the core histone H3 (H3K9me3), a suppressive chromatin mark, at the Il6/Tnf promoters, which correlated with p50(NF\u03baB) and p65(NF\u03baB) binding. Both demethylation and NF\u03baB binding were abrogated in tolerant cells. In addition, cytosolic NF\u03baB activation was suppressed in tolerant BMMCs. Intriguingly, antigen stimulation of naive and tolerant MCs induced comparable production of Il6/Tnf and IL-6/TNF-\u03b1, although ET also affected antigen-triggered activation of NF\u03baB; pharmacological analysis indicated the importance of Ca2+-dependent transcription in this respect. In macrophages, the I\u03baB member BCL3 is induced by LPS and known to be involved in ET, which was not corroborated comparing wild-type and Bcl3-deficient BMMCs. Interestingly, Bcl3-deficient PMCs produce markedly increased amounts of IL-6/TNF-\u03b1 after LPS stimulation. Collectively, ET in MCs is BCL3-independent, however, in PMCs, BCL3 negatively regulates immediate LPS-induced cytokine production and quantitatively affects ET.", "author" : [ { "dropping-particle" : "", "family" : "Poplutz", "given" : "Magdalena", "non-dropping-particle" : "", "parse-names" : false, "suffix" : "" }, { "dropping-particle" : "", "family" : "Levikova", "given" : "Maryna", "non-dropping-particle" : "", "parse-names" : false, "suffix" : "" }, { "dropping-particle" : "", "family" : "L\u00fcscher-Firzlaff", "given" : "Juliane", "non-dropping-particle" : "", "parse-names" : false, "suffix" : "" }, { "dropping-particle" : "", "family" : "Lesina", "given" : "Marina", "non-dropping-particle" : "", "parse-names" : false, "suffix" : "" }, { "dropping-particle" : "", "family" : "Alg\u00fcl", "given" : "Hana", "non-dropping-particle" : "", "parse-names" : false, "suffix" : "" }, { "dropping-particle" : "", "family" : "L\u00fcscher", "given" : "Bernhard", "non-dropping-particle" : "", "parse-names" : false, "suffix" : "" }, { "dropping-particle" : "", "family" : "Huber", "given" : "Michael", "non-dropping-particle" : "", "parse-names" : false, "suffix" : "" } ], "container-title" : "Scientific Reports", "id" : "ITEM-1", "issue" : "1", "issued" : { "date-parts" : [ [ "2017", "12", "3" ] ] }, "page" : "4534", "title" : "Endotoxin tolerance in mast cells, its consequences for IgE-mediated signalling, and the effects of BCL3 deficiency", "type" : "article-journal", "volume" : "7" }, "uris" : [ "http://www.mendeley.com/documents/?uuid=a3193f16-fd2b-3430-a4b3-ce8c040cb94a" ] } ], "mendeley" : { "formattedCitation" : "(1)", "plainTextFormattedCitation" : "(1)", "previouslyFormattedCitation" : "(Poplutz &lt;i&gt;et al.&lt;/i&gt;, 2017)" }, "properties" : {  }, "schema" : "https://github.com/citation-style-language/schema/raw/master/csl-citation.json" }</w:instrText>
      </w:r>
      <w:r w:rsidR="00BD2303">
        <w:fldChar w:fldCharType="separate"/>
      </w:r>
      <w:r w:rsidR="00BD2303" w:rsidRPr="00BD2303">
        <w:rPr>
          <w:noProof/>
        </w:rPr>
        <w:t>(1)</w:t>
      </w:r>
      <w:r w:rsidR="00BD2303">
        <w:fldChar w:fldCharType="end"/>
      </w:r>
      <w:r w:rsidRPr="00BD2303">
        <w:t xml:space="preserve">. WT and </w:t>
      </w:r>
      <w:r w:rsidRPr="00BD2303">
        <w:rPr>
          <w:i/>
          <w:iCs/>
        </w:rPr>
        <w:t>Fcgr2</w:t>
      </w:r>
      <w:r w:rsidRPr="00BD2303">
        <w:rPr>
          <w:vertAlign w:val="superscript"/>
        </w:rPr>
        <w:t>-/-</w:t>
      </w:r>
      <w:r w:rsidRPr="00BD2303">
        <w:t xml:space="preserve"> BMMCs did not display marked differences in </w:t>
      </w:r>
      <w:r w:rsidRPr="00BD2303">
        <w:rPr>
          <w:i/>
          <w:iCs/>
        </w:rPr>
        <w:t xml:space="preserve">Il13 </w:t>
      </w:r>
      <w:r w:rsidRPr="00BD2303">
        <w:t>gene expression.</w:t>
      </w:r>
    </w:p>
    <w:p w:rsidR="00AF431C" w:rsidRPr="00030DE3" w:rsidRDefault="00AF431C" w:rsidP="00AF431C">
      <w:pPr>
        <w:rPr>
          <w:rFonts w:ascii="Arial" w:hAnsi="Arial" w:cs="Arial"/>
          <w:sz w:val="28"/>
          <w:szCs w:val="28"/>
          <w:lang w:val="en-GB"/>
        </w:rPr>
      </w:pPr>
    </w:p>
    <w:p w:rsidR="00AF431C" w:rsidRDefault="00AF431C" w:rsidP="00AF431C">
      <w:pPr>
        <w:tabs>
          <w:tab w:val="left" w:pos="1740"/>
        </w:tabs>
        <w:rPr>
          <w:rFonts w:ascii="Arial" w:hAnsi="Arial" w:cs="Arial"/>
          <w:sz w:val="28"/>
          <w:szCs w:val="28"/>
          <w:lang w:val="en-GB"/>
        </w:rPr>
      </w:pPr>
    </w:p>
    <w:p w:rsidR="00AF431C" w:rsidRDefault="00724DEE" w:rsidP="00AF431C">
      <w:pPr>
        <w:tabs>
          <w:tab w:val="left" w:pos="1740"/>
        </w:tabs>
        <w:jc w:val="center"/>
        <w:rPr>
          <w:rFonts w:ascii="Arial" w:hAnsi="Arial" w:cs="Arial"/>
          <w:sz w:val="28"/>
          <w:szCs w:val="28"/>
          <w:lang w:val="en-GB"/>
        </w:rPr>
      </w:pPr>
      <w:r>
        <w:rPr>
          <w:noProof/>
        </w:rPr>
        <w:drawing>
          <wp:inline distT="0" distB="0" distL="0" distR="0">
            <wp:extent cx="3962400" cy="2811145"/>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2400" cy="2811145"/>
                    </a:xfrm>
                    <a:prstGeom prst="rect">
                      <a:avLst/>
                    </a:prstGeom>
                    <a:noFill/>
                    <a:ln>
                      <a:noFill/>
                    </a:ln>
                  </pic:spPr>
                </pic:pic>
              </a:graphicData>
            </a:graphic>
          </wp:inline>
        </w:drawing>
      </w:r>
    </w:p>
    <w:p w:rsidR="00AF431C" w:rsidRPr="005160DC" w:rsidRDefault="00AF431C" w:rsidP="005160DC">
      <w:pPr>
        <w:jc w:val="both"/>
      </w:pPr>
      <w:r w:rsidRPr="00BD2303">
        <w:rPr>
          <w:b/>
          <w:bCs/>
        </w:rPr>
        <w:t xml:space="preserve">Supplementary </w:t>
      </w:r>
      <w:r w:rsidR="00425FA7">
        <w:rPr>
          <w:b/>
          <w:bCs/>
        </w:rPr>
        <w:t>F</w:t>
      </w:r>
      <w:r w:rsidRPr="00BD2303">
        <w:rPr>
          <w:b/>
          <w:bCs/>
        </w:rPr>
        <w:t>igure S</w:t>
      </w:r>
      <w:r w:rsidR="001007E8">
        <w:rPr>
          <w:b/>
          <w:bCs/>
        </w:rPr>
        <w:t>9</w:t>
      </w:r>
      <w:r w:rsidRPr="00BD2303">
        <w:rPr>
          <w:b/>
          <w:bCs/>
        </w:rPr>
        <w:t xml:space="preserve">: </w:t>
      </w:r>
      <w:r w:rsidRPr="00BD2303">
        <w:t xml:space="preserve">TNF expression was determined in WT and </w:t>
      </w:r>
      <w:r w:rsidRPr="00BD2303">
        <w:rPr>
          <w:i/>
          <w:iCs/>
        </w:rPr>
        <w:t>Fcgr2</w:t>
      </w:r>
      <w:r w:rsidRPr="00BD2303">
        <w:rPr>
          <w:vertAlign w:val="superscript"/>
        </w:rPr>
        <w:t>-/-</w:t>
      </w:r>
      <w:r w:rsidRPr="00BD2303">
        <w:t xml:space="preserve"> BMMCs. MCs were stimulated as depicted for 3 h and TNF ELISAs (R&amp;D Systems) were conducted according to the manufacturer’s instructions. TNF levels in </w:t>
      </w:r>
      <w:r w:rsidRPr="00BD2303">
        <w:rPr>
          <w:i/>
          <w:iCs/>
        </w:rPr>
        <w:t>Fcgr2</w:t>
      </w:r>
      <w:r w:rsidRPr="00BD2303">
        <w:rPr>
          <w:vertAlign w:val="superscript"/>
        </w:rPr>
        <w:t>-/-</w:t>
      </w:r>
      <w:r w:rsidRPr="00BD2303">
        <w:t xml:space="preserve"> BMMCs were equal to those measured in the respective WT.</w:t>
      </w:r>
    </w:p>
    <w:p w:rsidR="00AF431C" w:rsidRDefault="00383093" w:rsidP="00BD2303">
      <w:pPr>
        <w:jc w:val="center"/>
        <w:rPr>
          <w:rFonts w:ascii="Arial" w:hAnsi="Arial" w:cs="Arial"/>
          <w:sz w:val="28"/>
          <w:szCs w:val="28"/>
          <w:lang w:val="en-GB"/>
        </w:rPr>
      </w:pPr>
      <w:r>
        <w:rPr>
          <w:noProof/>
        </w:rPr>
        <w:lastRenderedPageBreak/>
        <w:drawing>
          <wp:inline distT="0" distB="0" distL="0" distR="0">
            <wp:extent cx="6208395" cy="205824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8395" cy="2058244"/>
                    </a:xfrm>
                    <a:prstGeom prst="rect">
                      <a:avLst/>
                    </a:prstGeom>
                    <a:noFill/>
                    <a:ln>
                      <a:noFill/>
                    </a:ln>
                  </pic:spPr>
                </pic:pic>
              </a:graphicData>
            </a:graphic>
          </wp:inline>
        </w:drawing>
      </w:r>
    </w:p>
    <w:p w:rsidR="00AF431C" w:rsidRPr="00C442CC" w:rsidRDefault="00AF431C" w:rsidP="00C442CC">
      <w:pPr>
        <w:jc w:val="both"/>
      </w:pPr>
      <w:r w:rsidRPr="00BD2303">
        <w:rPr>
          <w:b/>
          <w:bCs/>
        </w:rPr>
        <w:t xml:space="preserve">Supplementary </w:t>
      </w:r>
      <w:r w:rsidR="00425FA7">
        <w:rPr>
          <w:b/>
          <w:bCs/>
        </w:rPr>
        <w:t>F</w:t>
      </w:r>
      <w:r w:rsidRPr="00BD2303">
        <w:rPr>
          <w:b/>
          <w:bCs/>
        </w:rPr>
        <w:t>igure S</w:t>
      </w:r>
      <w:r w:rsidR="001007E8">
        <w:rPr>
          <w:b/>
          <w:bCs/>
        </w:rPr>
        <w:t>10</w:t>
      </w:r>
      <w:r w:rsidRPr="00BD2303">
        <w:rPr>
          <w:b/>
          <w:bCs/>
        </w:rPr>
        <w:t xml:space="preserve">: </w:t>
      </w:r>
      <w:r w:rsidRPr="00BD2303">
        <w:t>SPE-7 sensiti</w:t>
      </w:r>
      <w:r w:rsidR="00BD2303">
        <w:t>z</w:t>
      </w:r>
      <w:r w:rsidRPr="00BD2303">
        <w:t xml:space="preserve">ed (0.15 µg/ml) WT and </w:t>
      </w:r>
      <w:r w:rsidRPr="00BD2303">
        <w:rPr>
          <w:i/>
          <w:iCs/>
        </w:rPr>
        <w:t>Fcgr2</w:t>
      </w:r>
      <w:r w:rsidRPr="00BD2303">
        <w:rPr>
          <w:vertAlign w:val="superscript"/>
        </w:rPr>
        <w:t>-/-</w:t>
      </w:r>
      <w:r w:rsidRPr="00BD2303">
        <w:t xml:space="preserve"> BMMCs were stimulated as indicated in the figure. Stem cell factor (SF) stimulation was performed for 1 min, followed by subsequent stimulation with DNP-HSA for 2 min. Total cell lysates of MCs were then subjected to SDS-PAGE and Western blotting. WT BMMCs displayed increasing phosphorylation of </w:t>
      </w:r>
      <w:proofErr w:type="spellStart"/>
      <w:r w:rsidRPr="00BD2303">
        <w:t>FcγRIIB</w:t>
      </w:r>
      <w:proofErr w:type="spellEnd"/>
      <w:r w:rsidRPr="00BD2303">
        <w:t xml:space="preserve"> between 500 and 2000 ng/ml DNP-HSA. Additional SF stimulation before supra-optimal Ag challenge (2000 ng/ml DNP-HSA) did not affect </w:t>
      </w:r>
      <w:proofErr w:type="spellStart"/>
      <w:r w:rsidRPr="00BD2303">
        <w:t>FcγRIIB</w:t>
      </w:r>
      <w:proofErr w:type="spellEnd"/>
      <w:r w:rsidRPr="00BD2303">
        <w:t xml:space="preserve"> phosphorylation. Single challenge with 100 ng/ml of SF did not trigger </w:t>
      </w:r>
      <w:proofErr w:type="spellStart"/>
      <w:r w:rsidRPr="00BD2303">
        <w:t>FcγRIIB</w:t>
      </w:r>
      <w:proofErr w:type="spellEnd"/>
      <w:r w:rsidRPr="00BD2303">
        <w:t xml:space="preserve"> phosphorylation. Levels of </w:t>
      </w:r>
      <w:proofErr w:type="spellStart"/>
      <w:r w:rsidRPr="00BD2303">
        <w:t>Akt</w:t>
      </w:r>
      <w:proofErr w:type="spellEnd"/>
      <w:r w:rsidRPr="00BD2303">
        <w:t xml:space="preserve"> phosphorylation were similar in WT and </w:t>
      </w:r>
      <w:r w:rsidRPr="00BD2303">
        <w:rPr>
          <w:i/>
          <w:iCs/>
        </w:rPr>
        <w:t>Fcgr2</w:t>
      </w:r>
      <w:r w:rsidRPr="00BD2303">
        <w:rPr>
          <w:i/>
          <w:iCs/>
          <w:vertAlign w:val="superscript"/>
        </w:rPr>
        <w:t>-</w:t>
      </w:r>
      <w:r w:rsidRPr="00BD2303">
        <w:rPr>
          <w:vertAlign w:val="superscript"/>
        </w:rPr>
        <w:t>/-</w:t>
      </w:r>
      <w:r w:rsidRPr="00BD2303">
        <w:t xml:space="preserve"> BMMCs. </w:t>
      </w:r>
    </w:p>
    <w:p w:rsidR="00AF431C" w:rsidRDefault="00AF431C" w:rsidP="00AF431C">
      <w:pPr>
        <w:ind w:left="426"/>
        <w:jc w:val="center"/>
        <w:rPr>
          <w:rFonts w:ascii="Arial" w:hAnsi="Arial" w:cs="Arial"/>
          <w:sz w:val="28"/>
          <w:szCs w:val="28"/>
          <w:lang w:val="en-GB"/>
        </w:rPr>
      </w:pPr>
      <w:r w:rsidRPr="0053414B">
        <w:rPr>
          <w:rFonts w:ascii="Arial" w:hAnsi="Arial" w:cs="Arial"/>
          <w:noProof/>
          <w:sz w:val="28"/>
          <w:szCs w:val="28"/>
        </w:rPr>
        <w:drawing>
          <wp:inline distT="0" distB="0" distL="0" distR="0">
            <wp:extent cx="4000500" cy="2667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rsidR="001C2234" w:rsidRDefault="00AF431C" w:rsidP="00BD2303">
      <w:pPr>
        <w:jc w:val="both"/>
        <w:rPr>
          <w:rFonts w:cs="Times New Roman"/>
        </w:rPr>
      </w:pPr>
      <w:r w:rsidRPr="00BD2303">
        <w:rPr>
          <w:rFonts w:cs="Times New Roman"/>
          <w:b/>
          <w:bCs/>
        </w:rPr>
        <w:t xml:space="preserve">Supplementary </w:t>
      </w:r>
      <w:r w:rsidR="00425FA7">
        <w:rPr>
          <w:rFonts w:cs="Times New Roman"/>
          <w:b/>
          <w:bCs/>
        </w:rPr>
        <w:t>F</w:t>
      </w:r>
      <w:r w:rsidRPr="00BD2303">
        <w:rPr>
          <w:rFonts w:cs="Times New Roman"/>
          <w:b/>
          <w:bCs/>
        </w:rPr>
        <w:t>igure S</w:t>
      </w:r>
      <w:r w:rsidR="001007E8">
        <w:rPr>
          <w:rFonts w:cs="Times New Roman"/>
          <w:b/>
          <w:bCs/>
        </w:rPr>
        <w:t>11</w:t>
      </w:r>
      <w:r w:rsidRPr="00BD2303">
        <w:rPr>
          <w:rFonts w:cs="Times New Roman"/>
          <w:b/>
          <w:bCs/>
        </w:rPr>
        <w:t xml:space="preserve">: </w:t>
      </w:r>
      <w:r w:rsidRPr="00BD2303">
        <w:rPr>
          <w:rFonts w:cs="Times New Roman"/>
        </w:rPr>
        <w:t xml:space="preserve">Co-precipitation of LIR-3 and </w:t>
      </w:r>
      <w:proofErr w:type="spellStart"/>
      <w:r w:rsidRPr="00BD2303">
        <w:rPr>
          <w:rFonts w:cs="Times New Roman"/>
        </w:rPr>
        <w:t>FcεRI</w:t>
      </w:r>
      <w:proofErr w:type="spellEnd"/>
      <w:r w:rsidRPr="00BD2303">
        <w:rPr>
          <w:rFonts w:cs="Times New Roman"/>
        </w:rPr>
        <w:t xml:space="preserve">β with SHIP1 from whole cell lysates. WT and </w:t>
      </w:r>
      <w:r w:rsidRPr="00BD2303">
        <w:rPr>
          <w:rFonts w:cs="Times New Roman"/>
          <w:i/>
          <w:iCs/>
        </w:rPr>
        <w:t>Fcgr2</w:t>
      </w:r>
      <w:r w:rsidRPr="00BD2303">
        <w:rPr>
          <w:rFonts w:cs="Times New Roman"/>
          <w:vertAlign w:val="superscript"/>
        </w:rPr>
        <w:t>-/-</w:t>
      </w:r>
      <w:r w:rsidRPr="00BD2303">
        <w:rPr>
          <w:rFonts w:cs="Times New Roman"/>
        </w:rPr>
        <w:t xml:space="preserve"> BMMCs were sensiti</w:t>
      </w:r>
      <w:r w:rsidR="00BD2303" w:rsidRPr="00BD2303">
        <w:rPr>
          <w:rFonts w:cs="Times New Roman"/>
        </w:rPr>
        <w:t>z</w:t>
      </w:r>
      <w:r w:rsidRPr="00BD2303">
        <w:rPr>
          <w:rFonts w:cs="Times New Roman"/>
        </w:rPr>
        <w:t xml:space="preserve">ed with SPE-7 (0.15 µg/ml) overnight. Cells were stimulated with a supra-optimal concentration of DNP-HSA (2000 ng/ml) or left unstimulated as a control. Cells were lysed and subjected to α-SHIP1 immunoprecipitation. Protein amounts within precipitates were compared by LC-MS and relative levels of LIR-3 and </w:t>
      </w:r>
      <w:proofErr w:type="spellStart"/>
      <w:r w:rsidRPr="00BD2303">
        <w:rPr>
          <w:rFonts w:cs="Times New Roman"/>
        </w:rPr>
        <w:t>FcεRI</w:t>
      </w:r>
      <w:proofErr w:type="spellEnd"/>
      <w:r w:rsidRPr="00BD2303">
        <w:rPr>
          <w:rFonts w:cs="Times New Roman"/>
        </w:rPr>
        <w:t xml:space="preserve">β co-precipitation were calculated. Values for LIR-3 and </w:t>
      </w:r>
      <w:proofErr w:type="spellStart"/>
      <w:r w:rsidRPr="00BD2303">
        <w:rPr>
          <w:rFonts w:cs="Times New Roman"/>
        </w:rPr>
        <w:t>FcεRI</w:t>
      </w:r>
      <w:proofErr w:type="spellEnd"/>
      <w:r w:rsidRPr="00BD2303">
        <w:rPr>
          <w:rFonts w:cs="Times New Roman"/>
        </w:rPr>
        <w:t>β were normali</w:t>
      </w:r>
      <w:r w:rsidR="00BD2303" w:rsidRPr="00BD2303">
        <w:rPr>
          <w:rFonts w:cs="Times New Roman"/>
        </w:rPr>
        <w:t>z</w:t>
      </w:r>
      <w:r w:rsidRPr="00BD2303">
        <w:rPr>
          <w:rFonts w:cs="Times New Roman"/>
        </w:rPr>
        <w:t xml:space="preserve">ed to those obtained from WT BMMCs after stimulation with 2000 ng/ml DNP-HSA. While LIR-3 levels are equal in WT and </w:t>
      </w:r>
      <w:r w:rsidRPr="00BD2303">
        <w:rPr>
          <w:rFonts w:cs="Times New Roman"/>
          <w:i/>
          <w:iCs/>
        </w:rPr>
        <w:t>Fcgr2</w:t>
      </w:r>
      <w:r w:rsidRPr="00BD2303">
        <w:rPr>
          <w:rFonts w:cs="Times New Roman"/>
          <w:vertAlign w:val="superscript"/>
        </w:rPr>
        <w:t>-/-</w:t>
      </w:r>
      <w:r w:rsidRPr="00BD2303">
        <w:rPr>
          <w:rFonts w:cs="Times New Roman"/>
        </w:rPr>
        <w:t xml:space="preserve"> BMMCs, </w:t>
      </w:r>
      <w:proofErr w:type="spellStart"/>
      <w:r w:rsidRPr="00BD2303">
        <w:rPr>
          <w:rFonts w:cs="Times New Roman"/>
        </w:rPr>
        <w:t>FcεRI</w:t>
      </w:r>
      <w:proofErr w:type="spellEnd"/>
      <w:r w:rsidRPr="00BD2303">
        <w:rPr>
          <w:rFonts w:cs="Times New Roman"/>
        </w:rPr>
        <w:t xml:space="preserve">β co-precipitation with SHIP1 seems to be increased in </w:t>
      </w:r>
      <w:r w:rsidRPr="00BD2303">
        <w:rPr>
          <w:rFonts w:cs="Times New Roman"/>
          <w:i/>
          <w:iCs/>
        </w:rPr>
        <w:t>Fcgr2</w:t>
      </w:r>
      <w:r w:rsidRPr="00BD2303">
        <w:rPr>
          <w:rFonts w:cs="Times New Roman"/>
          <w:vertAlign w:val="superscript"/>
        </w:rPr>
        <w:t>-/-</w:t>
      </w:r>
      <w:r w:rsidRPr="00BD2303">
        <w:rPr>
          <w:rFonts w:cs="Times New Roman"/>
        </w:rPr>
        <w:t xml:space="preserve"> BMMCs after supra-optimal stimulation. Values are shown as mean ± SD (n = 2).</w:t>
      </w:r>
    </w:p>
    <w:p w:rsidR="00FA1047" w:rsidRDefault="00383093" w:rsidP="00BD2303">
      <w:pPr>
        <w:jc w:val="both"/>
        <w:rPr>
          <w:rFonts w:cs="Times New Roman"/>
        </w:rPr>
      </w:pPr>
      <w:r>
        <w:rPr>
          <w:noProof/>
        </w:rPr>
        <w:lastRenderedPageBreak/>
        <w:drawing>
          <wp:inline distT="0" distB="0" distL="0" distR="0">
            <wp:extent cx="6208395" cy="2293132"/>
            <wp:effectExtent l="0" t="0" r="190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8395" cy="2293132"/>
                    </a:xfrm>
                    <a:prstGeom prst="rect">
                      <a:avLst/>
                    </a:prstGeom>
                    <a:noFill/>
                    <a:ln>
                      <a:noFill/>
                    </a:ln>
                  </pic:spPr>
                </pic:pic>
              </a:graphicData>
            </a:graphic>
          </wp:inline>
        </w:drawing>
      </w:r>
    </w:p>
    <w:p w:rsidR="001C2234" w:rsidRDefault="00FA1047" w:rsidP="00BD2303">
      <w:pPr>
        <w:jc w:val="both"/>
        <w:rPr>
          <w:rFonts w:cs="Times New Roman"/>
          <w:b/>
          <w:bCs/>
        </w:rPr>
      </w:pPr>
      <w:r w:rsidRPr="00BD2303">
        <w:rPr>
          <w:rFonts w:cs="Times New Roman"/>
          <w:b/>
          <w:bCs/>
        </w:rPr>
        <w:t xml:space="preserve">Supplementary </w:t>
      </w:r>
      <w:r w:rsidR="00425FA7">
        <w:rPr>
          <w:rFonts w:cs="Times New Roman"/>
          <w:b/>
          <w:bCs/>
        </w:rPr>
        <w:t>F</w:t>
      </w:r>
      <w:r w:rsidRPr="00BD2303">
        <w:rPr>
          <w:rFonts w:cs="Times New Roman"/>
          <w:b/>
          <w:bCs/>
        </w:rPr>
        <w:t>igure S</w:t>
      </w:r>
      <w:r w:rsidR="00147964">
        <w:rPr>
          <w:rFonts w:cs="Times New Roman"/>
          <w:b/>
          <w:bCs/>
        </w:rPr>
        <w:t>1</w:t>
      </w:r>
      <w:r w:rsidR="001007E8">
        <w:rPr>
          <w:rFonts w:cs="Times New Roman"/>
          <w:b/>
          <w:bCs/>
        </w:rPr>
        <w:t>2</w:t>
      </w:r>
      <w:r>
        <w:rPr>
          <w:rFonts w:cs="Times New Roman"/>
          <w:b/>
          <w:bCs/>
        </w:rPr>
        <w:t xml:space="preserve">: </w:t>
      </w:r>
      <w:r w:rsidRPr="00B17F60">
        <w:rPr>
          <w:rFonts w:cs="Times New Roman"/>
          <w:bCs/>
        </w:rPr>
        <w:t>Original blots belonging to bands shown in figure 2A.</w:t>
      </w:r>
      <w:r>
        <w:rPr>
          <w:rFonts w:cs="Times New Roman"/>
          <w:b/>
          <w:bCs/>
        </w:rPr>
        <w:t xml:space="preserve"> </w:t>
      </w:r>
    </w:p>
    <w:p w:rsidR="00383093" w:rsidRPr="005160DC" w:rsidRDefault="00383093" w:rsidP="00BD2303">
      <w:pPr>
        <w:jc w:val="both"/>
        <w:rPr>
          <w:rFonts w:cs="Times New Roman"/>
          <w:b/>
          <w:bCs/>
          <w:sz w:val="16"/>
          <w:szCs w:val="16"/>
        </w:rPr>
      </w:pPr>
    </w:p>
    <w:p w:rsidR="0047023F" w:rsidRDefault="00012C3D" w:rsidP="00BD2303">
      <w:pPr>
        <w:jc w:val="both"/>
        <w:rPr>
          <w:rFonts w:cs="Times New Roman"/>
        </w:rPr>
      </w:pPr>
      <w:r>
        <w:rPr>
          <w:noProof/>
        </w:rPr>
        <w:drawing>
          <wp:inline distT="0" distB="0" distL="0" distR="0">
            <wp:extent cx="6208395" cy="2079659"/>
            <wp:effectExtent l="0" t="0" r="190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8395" cy="2079659"/>
                    </a:xfrm>
                    <a:prstGeom prst="rect">
                      <a:avLst/>
                    </a:prstGeom>
                    <a:noFill/>
                    <a:ln>
                      <a:noFill/>
                    </a:ln>
                  </pic:spPr>
                </pic:pic>
              </a:graphicData>
            </a:graphic>
          </wp:inline>
        </w:drawing>
      </w:r>
    </w:p>
    <w:p w:rsidR="0047023F" w:rsidRPr="00B17F60" w:rsidRDefault="0047023F" w:rsidP="0047023F">
      <w:pPr>
        <w:jc w:val="both"/>
        <w:rPr>
          <w:rFonts w:cs="Times New Roman"/>
          <w:bCs/>
        </w:rPr>
      </w:pPr>
      <w:r w:rsidRPr="00BD2303">
        <w:rPr>
          <w:rFonts w:cs="Times New Roman"/>
          <w:b/>
          <w:bCs/>
        </w:rPr>
        <w:t xml:space="preserve">Supplementary </w:t>
      </w:r>
      <w:r w:rsidR="00425FA7">
        <w:rPr>
          <w:rFonts w:cs="Times New Roman"/>
          <w:b/>
          <w:bCs/>
        </w:rPr>
        <w:t>F</w:t>
      </w:r>
      <w:r w:rsidRPr="00BD2303">
        <w:rPr>
          <w:rFonts w:cs="Times New Roman"/>
          <w:b/>
          <w:bCs/>
        </w:rPr>
        <w:t>igure S</w:t>
      </w:r>
      <w:r w:rsidR="00147964">
        <w:rPr>
          <w:rFonts w:cs="Times New Roman"/>
          <w:b/>
          <w:bCs/>
        </w:rPr>
        <w:t>1</w:t>
      </w:r>
      <w:r w:rsidR="001007E8">
        <w:rPr>
          <w:rFonts w:cs="Times New Roman"/>
          <w:b/>
          <w:bCs/>
        </w:rPr>
        <w:t>3</w:t>
      </w:r>
      <w:r>
        <w:rPr>
          <w:rFonts w:cs="Times New Roman"/>
          <w:b/>
          <w:bCs/>
        </w:rPr>
        <w:t xml:space="preserve">: </w:t>
      </w:r>
      <w:r w:rsidRPr="00B17F60">
        <w:rPr>
          <w:rFonts w:cs="Times New Roman"/>
          <w:bCs/>
        </w:rPr>
        <w:t xml:space="preserve">Original blots belonging to bands shown in figure 2B. </w:t>
      </w:r>
    </w:p>
    <w:p w:rsidR="00383093" w:rsidRPr="005160DC" w:rsidRDefault="00383093" w:rsidP="00BD2303">
      <w:pPr>
        <w:jc w:val="both"/>
        <w:rPr>
          <w:rFonts w:cs="Times New Roman"/>
          <w:sz w:val="16"/>
          <w:szCs w:val="16"/>
        </w:rPr>
      </w:pPr>
    </w:p>
    <w:p w:rsidR="006F7E66" w:rsidRDefault="00012C3D" w:rsidP="00BD2303">
      <w:pPr>
        <w:jc w:val="both"/>
        <w:rPr>
          <w:rFonts w:cs="Times New Roman"/>
        </w:rPr>
      </w:pPr>
      <w:r>
        <w:rPr>
          <w:noProof/>
        </w:rPr>
        <w:drawing>
          <wp:inline distT="0" distB="0" distL="0" distR="0">
            <wp:extent cx="6208395" cy="2046616"/>
            <wp:effectExtent l="0" t="0" r="190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8395" cy="2046616"/>
                    </a:xfrm>
                    <a:prstGeom prst="rect">
                      <a:avLst/>
                    </a:prstGeom>
                    <a:noFill/>
                    <a:ln>
                      <a:noFill/>
                    </a:ln>
                  </pic:spPr>
                </pic:pic>
              </a:graphicData>
            </a:graphic>
          </wp:inline>
        </w:drawing>
      </w:r>
    </w:p>
    <w:p w:rsidR="00096D41" w:rsidRDefault="00304187" w:rsidP="00BD2303">
      <w:pPr>
        <w:jc w:val="both"/>
        <w:rPr>
          <w:rFonts w:cs="Times New Roman"/>
          <w:bCs/>
        </w:rPr>
      </w:pPr>
      <w:r w:rsidRPr="00BD2303">
        <w:rPr>
          <w:rFonts w:cs="Times New Roman"/>
          <w:b/>
          <w:bCs/>
        </w:rPr>
        <w:t xml:space="preserve">Supplementary </w:t>
      </w:r>
      <w:r w:rsidR="00425FA7">
        <w:rPr>
          <w:rFonts w:cs="Times New Roman"/>
          <w:b/>
          <w:bCs/>
        </w:rPr>
        <w:t>F</w:t>
      </w:r>
      <w:r w:rsidRPr="00BD2303">
        <w:rPr>
          <w:rFonts w:cs="Times New Roman"/>
          <w:b/>
          <w:bCs/>
        </w:rPr>
        <w:t>igure S</w:t>
      </w:r>
      <w:r>
        <w:rPr>
          <w:rFonts w:cs="Times New Roman"/>
          <w:b/>
          <w:bCs/>
        </w:rPr>
        <w:t>1</w:t>
      </w:r>
      <w:r w:rsidR="001007E8">
        <w:rPr>
          <w:rFonts w:cs="Times New Roman"/>
          <w:b/>
          <w:bCs/>
        </w:rPr>
        <w:t>4</w:t>
      </w:r>
      <w:r>
        <w:rPr>
          <w:rFonts w:cs="Times New Roman"/>
          <w:b/>
          <w:bCs/>
        </w:rPr>
        <w:t xml:space="preserve">: </w:t>
      </w:r>
      <w:r w:rsidR="000017EA" w:rsidRPr="00B17F60">
        <w:rPr>
          <w:rFonts w:cs="Times New Roman"/>
          <w:bCs/>
        </w:rPr>
        <w:t>Original blots belonging to bands shown in figure 2E</w:t>
      </w:r>
      <w:r w:rsidRPr="00B17F60">
        <w:rPr>
          <w:rFonts w:cs="Times New Roman"/>
          <w:bCs/>
        </w:rPr>
        <w:t xml:space="preserve">. </w:t>
      </w:r>
    </w:p>
    <w:p w:rsidR="001B2BA7" w:rsidRDefault="001B2BA7" w:rsidP="001B2BA7">
      <w:pPr>
        <w:jc w:val="center"/>
        <w:rPr>
          <w:rFonts w:cs="Times New Roman"/>
          <w:bCs/>
        </w:rPr>
      </w:pPr>
      <w:r>
        <w:rPr>
          <w:noProof/>
        </w:rPr>
        <w:lastRenderedPageBreak/>
        <w:drawing>
          <wp:inline distT="0" distB="0" distL="0" distR="0">
            <wp:extent cx="6208395" cy="2677085"/>
            <wp:effectExtent l="0" t="0" r="190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8395" cy="2677085"/>
                    </a:xfrm>
                    <a:prstGeom prst="rect">
                      <a:avLst/>
                    </a:prstGeom>
                    <a:noFill/>
                    <a:ln>
                      <a:noFill/>
                    </a:ln>
                  </pic:spPr>
                </pic:pic>
              </a:graphicData>
            </a:graphic>
          </wp:inline>
        </w:drawing>
      </w:r>
    </w:p>
    <w:p w:rsidR="001B2BA7" w:rsidRDefault="001B2BA7" w:rsidP="001B2BA7">
      <w:pPr>
        <w:rPr>
          <w:rFonts w:cs="Times New Roman"/>
          <w:bCs/>
        </w:rPr>
      </w:pPr>
      <w:r w:rsidRPr="00BD2303">
        <w:rPr>
          <w:rFonts w:cs="Times New Roman"/>
          <w:b/>
          <w:bCs/>
        </w:rPr>
        <w:t xml:space="preserve">Supplementary </w:t>
      </w:r>
      <w:r>
        <w:rPr>
          <w:rFonts w:cs="Times New Roman"/>
          <w:b/>
          <w:bCs/>
        </w:rPr>
        <w:t>F</w:t>
      </w:r>
      <w:r w:rsidRPr="00BD2303">
        <w:rPr>
          <w:rFonts w:cs="Times New Roman"/>
          <w:b/>
          <w:bCs/>
        </w:rPr>
        <w:t>igure S</w:t>
      </w:r>
      <w:r>
        <w:rPr>
          <w:rFonts w:cs="Times New Roman"/>
          <w:b/>
          <w:bCs/>
        </w:rPr>
        <w:t>1</w:t>
      </w:r>
      <w:r w:rsidR="001007E8">
        <w:rPr>
          <w:rFonts w:cs="Times New Roman"/>
          <w:b/>
          <w:bCs/>
        </w:rPr>
        <w:t>5</w:t>
      </w:r>
      <w:r>
        <w:rPr>
          <w:rFonts w:cs="Times New Roman"/>
          <w:b/>
          <w:bCs/>
        </w:rPr>
        <w:t xml:space="preserve">: </w:t>
      </w:r>
      <w:r w:rsidRPr="00B17F60">
        <w:rPr>
          <w:rFonts w:cs="Times New Roman"/>
          <w:bCs/>
        </w:rPr>
        <w:t>Original blots belonging to bands shown in figure 2</w:t>
      </w:r>
      <w:r>
        <w:rPr>
          <w:rFonts w:cs="Times New Roman"/>
          <w:bCs/>
        </w:rPr>
        <w:t>F</w:t>
      </w:r>
      <w:r w:rsidRPr="00B17F60">
        <w:rPr>
          <w:rFonts w:cs="Times New Roman"/>
          <w:bCs/>
        </w:rPr>
        <w:t xml:space="preserve">. </w:t>
      </w:r>
    </w:p>
    <w:p w:rsidR="001B2BA7" w:rsidRPr="00096D41" w:rsidRDefault="001B2BA7" w:rsidP="001B2BA7">
      <w:pPr>
        <w:jc w:val="center"/>
        <w:rPr>
          <w:rFonts w:cs="Times New Roman"/>
          <w:bCs/>
        </w:rPr>
      </w:pPr>
    </w:p>
    <w:p w:rsidR="00C37BF3" w:rsidRDefault="00096D41" w:rsidP="00BD2303">
      <w:pPr>
        <w:jc w:val="both"/>
        <w:rPr>
          <w:rFonts w:cs="Times New Roman"/>
        </w:rPr>
      </w:pPr>
      <w:r>
        <w:rPr>
          <w:noProof/>
        </w:rPr>
        <w:drawing>
          <wp:inline distT="0" distB="0" distL="0" distR="0">
            <wp:extent cx="6208395" cy="2067298"/>
            <wp:effectExtent l="0" t="0" r="190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8395" cy="2067298"/>
                    </a:xfrm>
                    <a:prstGeom prst="rect">
                      <a:avLst/>
                    </a:prstGeom>
                    <a:noFill/>
                    <a:ln>
                      <a:noFill/>
                    </a:ln>
                  </pic:spPr>
                </pic:pic>
              </a:graphicData>
            </a:graphic>
          </wp:inline>
        </w:drawing>
      </w:r>
    </w:p>
    <w:p w:rsidR="006F7E66" w:rsidRDefault="001D1333" w:rsidP="00BD2303">
      <w:pPr>
        <w:jc w:val="both"/>
        <w:rPr>
          <w:rFonts w:cs="Times New Roman"/>
          <w:b/>
          <w:bCs/>
        </w:rPr>
      </w:pPr>
      <w:r w:rsidRPr="00BD2303">
        <w:rPr>
          <w:rFonts w:cs="Times New Roman"/>
          <w:b/>
          <w:bCs/>
        </w:rPr>
        <w:t xml:space="preserve">Supplementary </w:t>
      </w:r>
      <w:r w:rsidR="00425FA7">
        <w:rPr>
          <w:rFonts w:cs="Times New Roman"/>
          <w:b/>
          <w:bCs/>
        </w:rPr>
        <w:t>F</w:t>
      </w:r>
      <w:r w:rsidRPr="00BD2303">
        <w:rPr>
          <w:rFonts w:cs="Times New Roman"/>
          <w:b/>
          <w:bCs/>
        </w:rPr>
        <w:t>igure S</w:t>
      </w:r>
      <w:r>
        <w:rPr>
          <w:rFonts w:cs="Times New Roman"/>
          <w:b/>
          <w:bCs/>
        </w:rPr>
        <w:t>1</w:t>
      </w:r>
      <w:r w:rsidR="001007E8">
        <w:rPr>
          <w:rFonts w:cs="Times New Roman"/>
          <w:b/>
          <w:bCs/>
        </w:rPr>
        <w:t>6</w:t>
      </w:r>
      <w:r>
        <w:rPr>
          <w:rFonts w:cs="Times New Roman"/>
          <w:b/>
          <w:bCs/>
        </w:rPr>
        <w:t xml:space="preserve">: </w:t>
      </w:r>
      <w:r w:rsidRPr="00C341F7">
        <w:rPr>
          <w:rFonts w:cs="Times New Roman"/>
          <w:bCs/>
        </w:rPr>
        <w:t>Original blots belonging to bands shown in figure 3A.</w:t>
      </w:r>
      <w:r>
        <w:rPr>
          <w:rFonts w:cs="Times New Roman"/>
          <w:b/>
          <w:bCs/>
        </w:rPr>
        <w:t xml:space="preserve"> </w:t>
      </w:r>
    </w:p>
    <w:p w:rsidR="00096D41" w:rsidRDefault="00096D41" w:rsidP="00BD2303">
      <w:pPr>
        <w:jc w:val="both"/>
        <w:rPr>
          <w:rFonts w:cs="Times New Roman"/>
          <w:b/>
          <w:bCs/>
        </w:rPr>
      </w:pPr>
    </w:p>
    <w:p w:rsidR="00096D41" w:rsidRPr="0022578F" w:rsidRDefault="00096D41" w:rsidP="00BD2303">
      <w:pPr>
        <w:jc w:val="both"/>
        <w:rPr>
          <w:rFonts w:cs="Times New Roman"/>
          <w:b/>
          <w:bCs/>
        </w:rPr>
      </w:pPr>
    </w:p>
    <w:p w:rsidR="001C2234" w:rsidRDefault="001C2234" w:rsidP="00BD2303">
      <w:pPr>
        <w:jc w:val="both"/>
        <w:rPr>
          <w:rFonts w:cs="Times New Roman"/>
        </w:rPr>
      </w:pPr>
    </w:p>
    <w:p w:rsidR="006F7E66" w:rsidRDefault="0022578F" w:rsidP="00BD2303">
      <w:pPr>
        <w:jc w:val="both"/>
        <w:rPr>
          <w:rFonts w:cs="Times New Roman"/>
        </w:rPr>
      </w:pPr>
      <w:r>
        <w:rPr>
          <w:noProof/>
        </w:rPr>
        <w:lastRenderedPageBreak/>
        <w:drawing>
          <wp:inline distT="0" distB="0" distL="0" distR="0">
            <wp:extent cx="6208395" cy="2528467"/>
            <wp:effectExtent l="0" t="0" r="1905"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8395" cy="2528467"/>
                    </a:xfrm>
                    <a:prstGeom prst="rect">
                      <a:avLst/>
                    </a:prstGeom>
                    <a:noFill/>
                    <a:ln>
                      <a:noFill/>
                    </a:ln>
                  </pic:spPr>
                </pic:pic>
              </a:graphicData>
            </a:graphic>
          </wp:inline>
        </w:drawing>
      </w:r>
    </w:p>
    <w:p w:rsidR="001C2234" w:rsidRDefault="0022578F" w:rsidP="00BD2303">
      <w:pPr>
        <w:jc w:val="both"/>
        <w:rPr>
          <w:rFonts w:cs="Times New Roman"/>
          <w:bCs/>
        </w:rPr>
      </w:pPr>
      <w:r w:rsidRPr="00BD2303">
        <w:rPr>
          <w:rFonts w:cs="Times New Roman"/>
          <w:b/>
          <w:bCs/>
        </w:rPr>
        <w:t xml:space="preserve">Supplementary </w:t>
      </w:r>
      <w:r w:rsidR="00425FA7">
        <w:rPr>
          <w:rFonts w:cs="Times New Roman"/>
          <w:b/>
          <w:bCs/>
        </w:rPr>
        <w:t>F</w:t>
      </w:r>
      <w:r w:rsidRPr="00BD2303">
        <w:rPr>
          <w:rFonts w:cs="Times New Roman"/>
          <w:b/>
          <w:bCs/>
        </w:rPr>
        <w:t>igure S</w:t>
      </w:r>
      <w:r>
        <w:rPr>
          <w:rFonts w:cs="Times New Roman"/>
          <w:b/>
          <w:bCs/>
        </w:rPr>
        <w:t>1</w:t>
      </w:r>
      <w:r w:rsidR="001007E8">
        <w:rPr>
          <w:rFonts w:cs="Times New Roman"/>
          <w:b/>
          <w:bCs/>
        </w:rPr>
        <w:t>7</w:t>
      </w:r>
      <w:r>
        <w:rPr>
          <w:rFonts w:cs="Times New Roman"/>
          <w:b/>
          <w:bCs/>
        </w:rPr>
        <w:t xml:space="preserve">: </w:t>
      </w:r>
      <w:r w:rsidRPr="00C341F7">
        <w:rPr>
          <w:rFonts w:cs="Times New Roman"/>
          <w:bCs/>
        </w:rPr>
        <w:t>Original blots belonging to bands shown in figure 3B.</w:t>
      </w:r>
    </w:p>
    <w:p w:rsidR="00096D41" w:rsidRDefault="00096D41" w:rsidP="00BD2303">
      <w:pPr>
        <w:jc w:val="both"/>
        <w:rPr>
          <w:rFonts w:cs="Times New Roman"/>
          <w:bCs/>
        </w:rPr>
      </w:pPr>
    </w:p>
    <w:p w:rsidR="00096D41" w:rsidRPr="00096D41" w:rsidRDefault="00096D41" w:rsidP="00BD2303">
      <w:pPr>
        <w:jc w:val="both"/>
        <w:rPr>
          <w:rFonts w:cs="Times New Roman"/>
          <w:bCs/>
        </w:rPr>
      </w:pPr>
    </w:p>
    <w:p w:rsidR="0022578F" w:rsidRDefault="00096D41" w:rsidP="00BD2303">
      <w:pPr>
        <w:jc w:val="both"/>
        <w:rPr>
          <w:rFonts w:cs="Times New Roman"/>
        </w:rPr>
      </w:pPr>
      <w:r>
        <w:rPr>
          <w:noProof/>
        </w:rPr>
        <w:drawing>
          <wp:inline distT="0" distB="0" distL="0" distR="0">
            <wp:extent cx="6208395" cy="2036551"/>
            <wp:effectExtent l="0" t="0" r="1905"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8395" cy="2036551"/>
                    </a:xfrm>
                    <a:prstGeom prst="rect">
                      <a:avLst/>
                    </a:prstGeom>
                    <a:noFill/>
                    <a:ln>
                      <a:noFill/>
                    </a:ln>
                  </pic:spPr>
                </pic:pic>
              </a:graphicData>
            </a:graphic>
          </wp:inline>
        </w:drawing>
      </w:r>
    </w:p>
    <w:p w:rsidR="00CD3824" w:rsidRDefault="00CD3824" w:rsidP="00BD2303">
      <w:pPr>
        <w:jc w:val="both"/>
        <w:rPr>
          <w:rFonts w:cs="Times New Roman"/>
          <w:bCs/>
        </w:rPr>
      </w:pPr>
      <w:r w:rsidRPr="00BD2303">
        <w:rPr>
          <w:rFonts w:cs="Times New Roman"/>
          <w:b/>
          <w:bCs/>
        </w:rPr>
        <w:t xml:space="preserve">Supplementary </w:t>
      </w:r>
      <w:r w:rsidR="00425FA7">
        <w:rPr>
          <w:rFonts w:cs="Times New Roman"/>
          <w:b/>
          <w:bCs/>
        </w:rPr>
        <w:t>F</w:t>
      </w:r>
      <w:r w:rsidRPr="00BD2303">
        <w:rPr>
          <w:rFonts w:cs="Times New Roman"/>
          <w:b/>
          <w:bCs/>
        </w:rPr>
        <w:t>igure S</w:t>
      </w:r>
      <w:r>
        <w:rPr>
          <w:rFonts w:cs="Times New Roman"/>
          <w:b/>
          <w:bCs/>
        </w:rPr>
        <w:t>1</w:t>
      </w:r>
      <w:r w:rsidR="001007E8">
        <w:rPr>
          <w:rFonts w:cs="Times New Roman"/>
          <w:b/>
          <w:bCs/>
        </w:rPr>
        <w:t>8</w:t>
      </w:r>
      <w:r>
        <w:rPr>
          <w:rFonts w:cs="Times New Roman"/>
          <w:b/>
          <w:bCs/>
        </w:rPr>
        <w:t xml:space="preserve">: </w:t>
      </w:r>
      <w:r w:rsidRPr="00C341F7">
        <w:rPr>
          <w:rFonts w:cs="Times New Roman"/>
          <w:bCs/>
        </w:rPr>
        <w:t>Original blots belonging to bands shown in figure 3C.</w:t>
      </w:r>
    </w:p>
    <w:p w:rsidR="00096D41" w:rsidRDefault="00096D41" w:rsidP="00BD2303">
      <w:pPr>
        <w:jc w:val="both"/>
        <w:rPr>
          <w:rFonts w:cs="Times New Roman"/>
        </w:rPr>
      </w:pPr>
    </w:p>
    <w:p w:rsidR="00096D41" w:rsidRPr="00C341F7" w:rsidRDefault="00096D41" w:rsidP="00BD2303">
      <w:pPr>
        <w:jc w:val="both"/>
        <w:rPr>
          <w:rFonts w:cs="Times New Roman"/>
        </w:rPr>
      </w:pPr>
    </w:p>
    <w:p w:rsidR="00CD3824" w:rsidRDefault="00CD3824" w:rsidP="00500787">
      <w:pPr>
        <w:jc w:val="center"/>
        <w:rPr>
          <w:rFonts w:cs="Times New Roman"/>
        </w:rPr>
      </w:pPr>
      <w:r>
        <w:rPr>
          <w:noProof/>
        </w:rPr>
        <w:lastRenderedPageBreak/>
        <w:drawing>
          <wp:inline distT="0" distB="0" distL="0" distR="0">
            <wp:extent cx="3901440" cy="4488180"/>
            <wp:effectExtent l="0" t="0" r="3810" b="762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1440" cy="4488180"/>
                    </a:xfrm>
                    <a:prstGeom prst="rect">
                      <a:avLst/>
                    </a:prstGeom>
                    <a:noFill/>
                    <a:ln>
                      <a:noFill/>
                    </a:ln>
                  </pic:spPr>
                </pic:pic>
              </a:graphicData>
            </a:graphic>
          </wp:inline>
        </w:drawing>
      </w:r>
    </w:p>
    <w:p w:rsidR="0093555F" w:rsidRDefault="0093555F" w:rsidP="00500787">
      <w:pPr>
        <w:jc w:val="center"/>
        <w:rPr>
          <w:rFonts w:cs="Times New Roman"/>
          <w:bCs/>
        </w:rPr>
      </w:pPr>
      <w:r w:rsidRPr="00BD2303">
        <w:rPr>
          <w:rFonts w:cs="Times New Roman"/>
          <w:b/>
          <w:bCs/>
        </w:rPr>
        <w:t xml:space="preserve">Supplementary </w:t>
      </w:r>
      <w:r w:rsidR="00425FA7">
        <w:rPr>
          <w:rFonts w:cs="Times New Roman"/>
          <w:b/>
          <w:bCs/>
        </w:rPr>
        <w:t>F</w:t>
      </w:r>
      <w:r w:rsidRPr="00BD2303">
        <w:rPr>
          <w:rFonts w:cs="Times New Roman"/>
          <w:b/>
          <w:bCs/>
        </w:rPr>
        <w:t>igure S</w:t>
      </w:r>
      <w:r>
        <w:rPr>
          <w:rFonts w:cs="Times New Roman"/>
          <w:b/>
          <w:bCs/>
        </w:rPr>
        <w:t>1</w:t>
      </w:r>
      <w:r w:rsidR="001007E8">
        <w:rPr>
          <w:rFonts w:cs="Times New Roman"/>
          <w:b/>
          <w:bCs/>
        </w:rPr>
        <w:t>9</w:t>
      </w:r>
      <w:r>
        <w:rPr>
          <w:rFonts w:cs="Times New Roman"/>
          <w:b/>
          <w:bCs/>
        </w:rPr>
        <w:t xml:space="preserve">: </w:t>
      </w:r>
      <w:r w:rsidRPr="00C341F7">
        <w:rPr>
          <w:rFonts w:cs="Times New Roman"/>
          <w:bCs/>
        </w:rPr>
        <w:t>Original blots belonging to bands shown in figure 3D.</w:t>
      </w:r>
    </w:p>
    <w:p w:rsidR="00500787" w:rsidRDefault="00500787" w:rsidP="00BD2303">
      <w:pPr>
        <w:jc w:val="both"/>
        <w:rPr>
          <w:rFonts w:cs="Times New Roman"/>
          <w:bCs/>
        </w:rPr>
      </w:pPr>
    </w:p>
    <w:p w:rsidR="00500787" w:rsidRPr="00C341F7" w:rsidRDefault="00500787" w:rsidP="00BD2303">
      <w:pPr>
        <w:jc w:val="both"/>
        <w:rPr>
          <w:rFonts w:cs="Times New Roman"/>
          <w:bCs/>
        </w:rPr>
      </w:pPr>
    </w:p>
    <w:p w:rsidR="0093555F" w:rsidRDefault="00500787" w:rsidP="00BD2303">
      <w:pPr>
        <w:jc w:val="both"/>
        <w:rPr>
          <w:rFonts w:cs="Times New Roman"/>
        </w:rPr>
      </w:pPr>
      <w:r>
        <w:rPr>
          <w:noProof/>
        </w:rPr>
        <w:drawing>
          <wp:inline distT="0" distB="0" distL="0" distR="0">
            <wp:extent cx="6208395" cy="2051151"/>
            <wp:effectExtent l="0" t="0" r="1905"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8395" cy="2051151"/>
                    </a:xfrm>
                    <a:prstGeom prst="rect">
                      <a:avLst/>
                    </a:prstGeom>
                    <a:noFill/>
                    <a:ln>
                      <a:noFill/>
                    </a:ln>
                  </pic:spPr>
                </pic:pic>
              </a:graphicData>
            </a:graphic>
          </wp:inline>
        </w:drawing>
      </w:r>
    </w:p>
    <w:p w:rsidR="00A579E2" w:rsidRDefault="00A579E2" w:rsidP="00A579E2">
      <w:pPr>
        <w:jc w:val="both"/>
        <w:rPr>
          <w:rFonts w:cs="Times New Roman"/>
          <w:bCs/>
        </w:rPr>
      </w:pPr>
      <w:r w:rsidRPr="00BD2303">
        <w:rPr>
          <w:rFonts w:cs="Times New Roman"/>
          <w:b/>
          <w:bCs/>
        </w:rPr>
        <w:t xml:space="preserve">Supplementary </w:t>
      </w:r>
      <w:r w:rsidR="00425FA7">
        <w:rPr>
          <w:rFonts w:cs="Times New Roman"/>
          <w:b/>
          <w:bCs/>
        </w:rPr>
        <w:t>F</w:t>
      </w:r>
      <w:r w:rsidRPr="00BD2303">
        <w:rPr>
          <w:rFonts w:cs="Times New Roman"/>
          <w:b/>
          <w:bCs/>
        </w:rPr>
        <w:t>igure S</w:t>
      </w:r>
      <w:r w:rsidR="001007E8">
        <w:rPr>
          <w:rFonts w:cs="Times New Roman"/>
          <w:b/>
          <w:bCs/>
        </w:rPr>
        <w:t>20</w:t>
      </w:r>
      <w:r>
        <w:rPr>
          <w:rFonts w:cs="Times New Roman"/>
          <w:b/>
          <w:bCs/>
        </w:rPr>
        <w:t xml:space="preserve">: </w:t>
      </w:r>
      <w:r w:rsidRPr="00C341F7">
        <w:rPr>
          <w:rFonts w:cs="Times New Roman"/>
          <w:bCs/>
        </w:rPr>
        <w:t>Original blots belonging to bands shown in figure 5B.</w:t>
      </w:r>
    </w:p>
    <w:p w:rsidR="00500787" w:rsidRPr="00C341F7" w:rsidRDefault="00500787" w:rsidP="00A579E2">
      <w:pPr>
        <w:jc w:val="both"/>
        <w:rPr>
          <w:rFonts w:cs="Times New Roman"/>
          <w:bCs/>
        </w:rPr>
      </w:pPr>
    </w:p>
    <w:p w:rsidR="00CD3824" w:rsidRDefault="00500787" w:rsidP="00500787">
      <w:pPr>
        <w:jc w:val="center"/>
        <w:rPr>
          <w:rFonts w:cs="Times New Roman"/>
        </w:rPr>
      </w:pPr>
      <w:r>
        <w:rPr>
          <w:noProof/>
        </w:rPr>
        <w:drawing>
          <wp:inline distT="0" distB="0" distL="0" distR="0">
            <wp:extent cx="3787140" cy="4130040"/>
            <wp:effectExtent l="0" t="0" r="381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7140" cy="4130040"/>
                    </a:xfrm>
                    <a:prstGeom prst="rect">
                      <a:avLst/>
                    </a:prstGeom>
                    <a:noFill/>
                    <a:ln>
                      <a:noFill/>
                    </a:ln>
                  </pic:spPr>
                </pic:pic>
              </a:graphicData>
            </a:graphic>
          </wp:inline>
        </w:drawing>
      </w:r>
    </w:p>
    <w:p w:rsidR="00FD0773" w:rsidRPr="00C341F7" w:rsidRDefault="00FD0773" w:rsidP="00500787">
      <w:pPr>
        <w:jc w:val="center"/>
        <w:rPr>
          <w:rFonts w:cs="Times New Roman"/>
          <w:bCs/>
        </w:rPr>
      </w:pPr>
      <w:r w:rsidRPr="00BD2303">
        <w:rPr>
          <w:rFonts w:cs="Times New Roman"/>
          <w:b/>
          <w:bCs/>
        </w:rPr>
        <w:t xml:space="preserve">Supplementary </w:t>
      </w:r>
      <w:r w:rsidR="00425FA7">
        <w:rPr>
          <w:rFonts w:cs="Times New Roman"/>
          <w:b/>
          <w:bCs/>
        </w:rPr>
        <w:t>F</w:t>
      </w:r>
      <w:r w:rsidRPr="00BD2303">
        <w:rPr>
          <w:rFonts w:cs="Times New Roman"/>
          <w:b/>
          <w:bCs/>
        </w:rPr>
        <w:t>igure S</w:t>
      </w:r>
      <w:r w:rsidR="001007E8">
        <w:rPr>
          <w:rFonts w:cs="Times New Roman"/>
          <w:b/>
          <w:bCs/>
        </w:rPr>
        <w:t>21</w:t>
      </w:r>
      <w:r>
        <w:rPr>
          <w:rFonts w:cs="Times New Roman"/>
          <w:b/>
          <w:bCs/>
        </w:rPr>
        <w:t xml:space="preserve">: </w:t>
      </w:r>
      <w:r w:rsidRPr="00C341F7">
        <w:rPr>
          <w:rFonts w:cs="Times New Roman"/>
          <w:bCs/>
        </w:rPr>
        <w:t>Original blots belonging to bands shown in figure 5C.</w:t>
      </w:r>
    </w:p>
    <w:p w:rsidR="00FD0773" w:rsidRDefault="00500787" w:rsidP="00BD2303">
      <w:pPr>
        <w:jc w:val="both"/>
        <w:rPr>
          <w:rFonts w:cs="Times New Roman"/>
        </w:rPr>
      </w:pPr>
      <w:r>
        <w:rPr>
          <w:noProof/>
        </w:rPr>
        <w:drawing>
          <wp:inline distT="0" distB="0" distL="0" distR="0">
            <wp:extent cx="6208395" cy="2569843"/>
            <wp:effectExtent l="0" t="0" r="1905" b="254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8395" cy="2569843"/>
                    </a:xfrm>
                    <a:prstGeom prst="rect">
                      <a:avLst/>
                    </a:prstGeom>
                    <a:noFill/>
                    <a:ln>
                      <a:noFill/>
                    </a:ln>
                  </pic:spPr>
                </pic:pic>
              </a:graphicData>
            </a:graphic>
          </wp:inline>
        </w:drawing>
      </w:r>
    </w:p>
    <w:p w:rsidR="00FD0773" w:rsidRPr="00C341F7" w:rsidRDefault="00CD22BA" w:rsidP="00BD2303">
      <w:pPr>
        <w:jc w:val="both"/>
        <w:rPr>
          <w:rFonts w:cs="Times New Roman"/>
        </w:rPr>
      </w:pPr>
      <w:r w:rsidRPr="00BD2303">
        <w:rPr>
          <w:rFonts w:cs="Times New Roman"/>
          <w:b/>
          <w:bCs/>
        </w:rPr>
        <w:t xml:space="preserve">Supplementary </w:t>
      </w:r>
      <w:r w:rsidR="00425FA7">
        <w:rPr>
          <w:rFonts w:cs="Times New Roman"/>
          <w:b/>
          <w:bCs/>
        </w:rPr>
        <w:t>F</w:t>
      </w:r>
      <w:r w:rsidRPr="00BD2303">
        <w:rPr>
          <w:rFonts w:cs="Times New Roman"/>
          <w:b/>
          <w:bCs/>
        </w:rPr>
        <w:t>igure S</w:t>
      </w:r>
      <w:r w:rsidR="001B2BA7">
        <w:rPr>
          <w:rFonts w:cs="Times New Roman"/>
          <w:b/>
          <w:bCs/>
        </w:rPr>
        <w:t>2</w:t>
      </w:r>
      <w:r w:rsidR="001007E8">
        <w:rPr>
          <w:rFonts w:cs="Times New Roman"/>
          <w:b/>
          <w:bCs/>
        </w:rPr>
        <w:t>2</w:t>
      </w:r>
      <w:r>
        <w:rPr>
          <w:rFonts w:cs="Times New Roman"/>
          <w:b/>
          <w:bCs/>
        </w:rPr>
        <w:t xml:space="preserve">: </w:t>
      </w:r>
      <w:r w:rsidRPr="00C341F7">
        <w:rPr>
          <w:rFonts w:cs="Times New Roman"/>
          <w:bCs/>
        </w:rPr>
        <w:t>Original blots belonging to bands shown in figure 5</w:t>
      </w:r>
      <w:r w:rsidR="001C2234" w:rsidRPr="00C341F7">
        <w:rPr>
          <w:rFonts w:cs="Times New Roman"/>
          <w:bCs/>
        </w:rPr>
        <w:t>D</w:t>
      </w:r>
      <w:r w:rsidRPr="00C341F7">
        <w:rPr>
          <w:rFonts w:cs="Times New Roman"/>
          <w:bCs/>
        </w:rPr>
        <w:t>.</w:t>
      </w:r>
    </w:p>
    <w:p w:rsidR="00FD0773" w:rsidRDefault="00FD0773" w:rsidP="00BD2303">
      <w:pPr>
        <w:jc w:val="both"/>
        <w:rPr>
          <w:rFonts w:cs="Times New Roman"/>
        </w:rPr>
      </w:pPr>
    </w:p>
    <w:p w:rsidR="00FD0773" w:rsidRDefault="00FD0773" w:rsidP="00BD2303">
      <w:pPr>
        <w:jc w:val="both"/>
        <w:rPr>
          <w:rFonts w:cs="Times New Roman"/>
        </w:rPr>
      </w:pPr>
    </w:p>
    <w:p w:rsidR="00FD0773" w:rsidRPr="00BD2303" w:rsidRDefault="00FD0773" w:rsidP="00BD2303">
      <w:pPr>
        <w:jc w:val="both"/>
        <w:rPr>
          <w:rFonts w:cs="Times New Roman"/>
        </w:rPr>
      </w:pPr>
    </w:p>
    <w:p w:rsidR="00AF431C" w:rsidRPr="00EB228F" w:rsidRDefault="00AF431C" w:rsidP="00EB228F">
      <w:pPr>
        <w:pStyle w:val="berschrift1"/>
        <w:rPr>
          <w:lang w:val="en-GB"/>
        </w:rPr>
      </w:pPr>
      <w:r w:rsidRPr="00EB228F">
        <w:rPr>
          <w:lang w:val="en-GB"/>
        </w:rPr>
        <w:t>References:</w:t>
      </w:r>
    </w:p>
    <w:p w:rsidR="00AF431C" w:rsidRPr="00BD2303" w:rsidRDefault="00AF431C" w:rsidP="00AF431C">
      <w:pPr>
        <w:rPr>
          <w:rFonts w:cs="Times New Roman"/>
          <w:szCs w:val="24"/>
          <w:lang w:val="en-GB"/>
        </w:rPr>
      </w:pPr>
    </w:p>
    <w:p w:rsidR="00BD2303" w:rsidRPr="00BD2303" w:rsidRDefault="00AF431C" w:rsidP="00BD2303">
      <w:pPr>
        <w:widowControl w:val="0"/>
        <w:autoSpaceDE w:val="0"/>
        <w:autoSpaceDN w:val="0"/>
        <w:adjustRightInd w:val="0"/>
        <w:ind w:left="640" w:hanging="640"/>
        <w:rPr>
          <w:rFonts w:cs="Times New Roman"/>
          <w:noProof/>
          <w:szCs w:val="24"/>
        </w:rPr>
      </w:pPr>
      <w:r w:rsidRPr="00BD2303">
        <w:rPr>
          <w:rFonts w:cs="Times New Roman"/>
          <w:szCs w:val="24"/>
          <w:lang w:val="en-GB"/>
        </w:rPr>
        <w:fldChar w:fldCharType="begin" w:fldLock="1"/>
      </w:r>
      <w:r w:rsidRPr="00BD2303">
        <w:rPr>
          <w:rFonts w:cs="Times New Roman"/>
          <w:szCs w:val="24"/>
          <w:lang w:val="en-GB"/>
        </w:rPr>
        <w:instrText xml:space="preserve">ADDIN Mendeley Bibliography CSL_BIBLIOGRAPHY </w:instrText>
      </w:r>
      <w:r w:rsidRPr="00BD2303">
        <w:rPr>
          <w:rFonts w:cs="Times New Roman"/>
          <w:szCs w:val="24"/>
          <w:lang w:val="en-GB"/>
        </w:rPr>
        <w:fldChar w:fldCharType="separate"/>
      </w:r>
      <w:r w:rsidR="00BD2303" w:rsidRPr="00BD2303">
        <w:rPr>
          <w:rFonts w:cs="Times New Roman"/>
          <w:noProof/>
          <w:szCs w:val="24"/>
        </w:rPr>
        <w:t xml:space="preserve">1. </w:t>
      </w:r>
      <w:r w:rsidR="00BD2303" w:rsidRPr="00BD2303">
        <w:rPr>
          <w:rFonts w:cs="Times New Roman"/>
          <w:noProof/>
          <w:szCs w:val="24"/>
        </w:rPr>
        <w:tab/>
        <w:t>Poplutz M, Levikova M, Lüscher-Firzlaff J, Lesina M, Algül H, Lüscher B, et al. Endotoxin tolerance in mast cells, its consequences for IgE-mediated signalling, and the effects of BCL3 deficiency. Sci Rep. 2017 Dec 3;7(1):4534. http://www.ncbi.nlm.nih.gov/pubmed/28674400</w:t>
      </w:r>
    </w:p>
    <w:p w:rsidR="00DE23E8" w:rsidRPr="001549D3" w:rsidRDefault="00AF431C" w:rsidP="00AF431C">
      <w:pPr>
        <w:spacing w:before="240"/>
      </w:pPr>
      <w:r w:rsidRPr="00BD2303">
        <w:rPr>
          <w:rFonts w:cs="Times New Roman"/>
          <w:szCs w:val="24"/>
          <w:lang w:val="en-GB"/>
        </w:rPr>
        <w:fldChar w:fldCharType="end"/>
      </w:r>
    </w:p>
    <w:sectPr w:rsidR="00DE23E8" w:rsidRPr="001549D3" w:rsidSect="0093429D">
      <w:headerReference w:type="even" r:id="rId31"/>
      <w:footerReference w:type="even" r:id="rId32"/>
      <w:footerReference w:type="default" r:id="rId33"/>
      <w:headerReference w:type="first" r:id="rId34"/>
      <w:footerReference w:type="first" r:id="rId3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0C38" w:rsidRDefault="00760C38" w:rsidP="00117666">
      <w:pPr>
        <w:spacing w:after="0"/>
      </w:pPr>
      <w:r>
        <w:separator/>
      </w:r>
    </w:p>
  </w:endnote>
  <w:endnote w:type="continuationSeparator" w:id="0">
    <w:p w:rsidR="00760C38" w:rsidRDefault="00760C3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5E1E7D00" wp14:editId="52AE46F6">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1E7D00"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866BCF3" wp14:editId="186BBD8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66BCF3"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857400"/>
      <w:docPartObj>
        <w:docPartGallery w:val="Page Numbers (Bottom of Page)"/>
        <w:docPartUnique/>
      </w:docPartObj>
    </w:sdtPr>
    <w:sdtEndPr/>
    <w:sdtContent>
      <w:p w:rsidR="00EB228F" w:rsidRDefault="00EB228F">
        <w:pPr>
          <w:pStyle w:val="Fuzeile"/>
          <w:jc w:val="right"/>
        </w:pPr>
        <w:r>
          <w:fldChar w:fldCharType="begin"/>
        </w:r>
        <w:r>
          <w:instrText>PAGE   \* MERGEFORMAT</w:instrText>
        </w:r>
        <w:r>
          <w:fldChar w:fldCharType="separate"/>
        </w:r>
        <w:r>
          <w:rPr>
            <w:lang w:val="de-DE"/>
          </w:rPr>
          <w:t>2</w:t>
        </w:r>
        <w:r>
          <w:fldChar w:fldCharType="end"/>
        </w:r>
      </w:p>
    </w:sdtContent>
  </w:sdt>
  <w:p w:rsidR="00EB228F" w:rsidRDefault="00EB228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0C38" w:rsidRDefault="00760C38" w:rsidP="00117666">
      <w:pPr>
        <w:spacing w:after="0"/>
      </w:pPr>
      <w:r>
        <w:separator/>
      </w:r>
    </w:p>
  </w:footnote>
  <w:footnote w:type="continuationSeparator" w:id="0">
    <w:p w:rsidR="00760C38" w:rsidRDefault="00760C3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F6A" w:rsidRDefault="0093429D" w:rsidP="0093429D">
    <w:r w:rsidRPr="005A1D84">
      <w:rPr>
        <w:b/>
        <w:noProof/>
        <w:color w:val="A6A6A6" w:themeColor="background1" w:themeShade="A6"/>
        <w:lang w:val="en-GB" w:eastAsia="en-GB"/>
      </w:rPr>
      <w:drawing>
        <wp:inline distT="0" distB="0" distL="0" distR="0" wp14:anchorId="5B039D35" wp14:editId="34B2ECE5">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31C"/>
    <w:rsid w:val="000017EA"/>
    <w:rsid w:val="0001179D"/>
    <w:rsid w:val="00012C3D"/>
    <w:rsid w:val="0001436A"/>
    <w:rsid w:val="00034304"/>
    <w:rsid w:val="00035434"/>
    <w:rsid w:val="00052A14"/>
    <w:rsid w:val="00077D53"/>
    <w:rsid w:val="00096D41"/>
    <w:rsid w:val="001007E8"/>
    <w:rsid w:val="00102702"/>
    <w:rsid w:val="00105FD9"/>
    <w:rsid w:val="00117666"/>
    <w:rsid w:val="00147964"/>
    <w:rsid w:val="001549D3"/>
    <w:rsid w:val="00160065"/>
    <w:rsid w:val="00177435"/>
    <w:rsid w:val="00177D84"/>
    <w:rsid w:val="001B2BA7"/>
    <w:rsid w:val="001C2234"/>
    <w:rsid w:val="001D1333"/>
    <w:rsid w:val="001D1C72"/>
    <w:rsid w:val="0022578F"/>
    <w:rsid w:val="00267D18"/>
    <w:rsid w:val="002868E2"/>
    <w:rsid w:val="002869C3"/>
    <w:rsid w:val="002936E4"/>
    <w:rsid w:val="002B4A57"/>
    <w:rsid w:val="002C74CA"/>
    <w:rsid w:val="00304187"/>
    <w:rsid w:val="00324046"/>
    <w:rsid w:val="003544FB"/>
    <w:rsid w:val="00383093"/>
    <w:rsid w:val="003A1556"/>
    <w:rsid w:val="003D2F2D"/>
    <w:rsid w:val="00401590"/>
    <w:rsid w:val="00425FA7"/>
    <w:rsid w:val="00447801"/>
    <w:rsid w:val="00452E9C"/>
    <w:rsid w:val="0047023F"/>
    <w:rsid w:val="004735C8"/>
    <w:rsid w:val="004961FF"/>
    <w:rsid w:val="004C7BEF"/>
    <w:rsid w:val="004F5100"/>
    <w:rsid w:val="00500787"/>
    <w:rsid w:val="005160DC"/>
    <w:rsid w:val="00517A89"/>
    <w:rsid w:val="005250F2"/>
    <w:rsid w:val="00593EEA"/>
    <w:rsid w:val="005A5EEE"/>
    <w:rsid w:val="005F768D"/>
    <w:rsid w:val="006375C7"/>
    <w:rsid w:val="00654E8F"/>
    <w:rsid w:val="00660D05"/>
    <w:rsid w:val="006701FE"/>
    <w:rsid w:val="006820B1"/>
    <w:rsid w:val="006A6D4D"/>
    <w:rsid w:val="006B7D14"/>
    <w:rsid w:val="006F7E66"/>
    <w:rsid w:val="00701727"/>
    <w:rsid w:val="0070566C"/>
    <w:rsid w:val="00714C50"/>
    <w:rsid w:val="00724DEE"/>
    <w:rsid w:val="00725A7D"/>
    <w:rsid w:val="007501BE"/>
    <w:rsid w:val="00760C38"/>
    <w:rsid w:val="00773AE7"/>
    <w:rsid w:val="00790BB3"/>
    <w:rsid w:val="007A78E3"/>
    <w:rsid w:val="007C206C"/>
    <w:rsid w:val="007C3FA6"/>
    <w:rsid w:val="00817DD6"/>
    <w:rsid w:val="008663C0"/>
    <w:rsid w:val="00885156"/>
    <w:rsid w:val="008A39F0"/>
    <w:rsid w:val="008C2F9F"/>
    <w:rsid w:val="008E06CA"/>
    <w:rsid w:val="008F19EC"/>
    <w:rsid w:val="009151AA"/>
    <w:rsid w:val="0093429D"/>
    <w:rsid w:val="0093555F"/>
    <w:rsid w:val="00943573"/>
    <w:rsid w:val="00970F7D"/>
    <w:rsid w:val="00994A3D"/>
    <w:rsid w:val="009B3BD7"/>
    <w:rsid w:val="009C2B12"/>
    <w:rsid w:val="009D2F39"/>
    <w:rsid w:val="00A174D9"/>
    <w:rsid w:val="00A47934"/>
    <w:rsid w:val="00A579E2"/>
    <w:rsid w:val="00A600F7"/>
    <w:rsid w:val="00AA46FB"/>
    <w:rsid w:val="00AB6715"/>
    <w:rsid w:val="00AF431C"/>
    <w:rsid w:val="00B1671E"/>
    <w:rsid w:val="00B17F60"/>
    <w:rsid w:val="00B21F3E"/>
    <w:rsid w:val="00B25EB8"/>
    <w:rsid w:val="00B30415"/>
    <w:rsid w:val="00B37F4D"/>
    <w:rsid w:val="00BD2303"/>
    <w:rsid w:val="00BD557D"/>
    <w:rsid w:val="00C2179A"/>
    <w:rsid w:val="00C341F7"/>
    <w:rsid w:val="00C37BF3"/>
    <w:rsid w:val="00C442CC"/>
    <w:rsid w:val="00C52A7B"/>
    <w:rsid w:val="00C56BAF"/>
    <w:rsid w:val="00C6509B"/>
    <w:rsid w:val="00C679AA"/>
    <w:rsid w:val="00C75972"/>
    <w:rsid w:val="00CC717C"/>
    <w:rsid w:val="00CD066B"/>
    <w:rsid w:val="00CD22BA"/>
    <w:rsid w:val="00CD3824"/>
    <w:rsid w:val="00CE4FEE"/>
    <w:rsid w:val="00CF4C1B"/>
    <w:rsid w:val="00D1424A"/>
    <w:rsid w:val="00D26E99"/>
    <w:rsid w:val="00D77979"/>
    <w:rsid w:val="00DB59C3"/>
    <w:rsid w:val="00DC259A"/>
    <w:rsid w:val="00DE23E8"/>
    <w:rsid w:val="00DE7466"/>
    <w:rsid w:val="00E00532"/>
    <w:rsid w:val="00E52377"/>
    <w:rsid w:val="00E64E17"/>
    <w:rsid w:val="00E71718"/>
    <w:rsid w:val="00E866C9"/>
    <w:rsid w:val="00EA3D3C"/>
    <w:rsid w:val="00EB228F"/>
    <w:rsid w:val="00ED608D"/>
    <w:rsid w:val="00F314FC"/>
    <w:rsid w:val="00F3396C"/>
    <w:rsid w:val="00F3577B"/>
    <w:rsid w:val="00F46900"/>
    <w:rsid w:val="00F61D89"/>
    <w:rsid w:val="00F943D3"/>
    <w:rsid w:val="00FA1047"/>
    <w:rsid w:val="00FD0773"/>
    <w:rsid w:val="00FD2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552B9D"/>
  <w15:docId w15:val="{62E64E02-8C41-4822-8D39-41C74CBDD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customStyle="1" w:styleId="PaperBodytext">
    <w:name w:val="Paper Bodytext"/>
    <w:basedOn w:val="Standard"/>
    <w:qFormat/>
    <w:rsid w:val="00AF431C"/>
    <w:pPr>
      <w:spacing w:before="0" w:after="0" w:line="480" w:lineRule="auto"/>
      <w:jc w:val="both"/>
    </w:pPr>
    <w:rPr>
      <w:rFonts w:ascii="Times" w:eastAsia="MS Mincho" w:hAnsi="Times" w:cs="Times New Roman"/>
      <w:bCs/>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huber@ukaachen.de" TargetMode="External"/><Relationship Id="rId13" Type="http://schemas.openxmlformats.org/officeDocument/2006/relationships/image" Target="media/image5.jpeg"/><Relationship Id="rId18" Type="http://schemas.openxmlformats.org/officeDocument/2006/relationships/image" Target="media/image10.tiff"/><Relationship Id="rId26" Type="http://schemas.openxmlformats.org/officeDocument/2006/relationships/image" Target="media/image18.tiff"/><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if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iff"/><Relationship Id="rId29" Type="http://schemas.openxmlformats.org/officeDocument/2006/relationships/image" Target="media/image2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iff"/><Relationship Id="rId28" Type="http://schemas.openxmlformats.org/officeDocument/2006/relationships/image" Target="media/image20.tiff"/><Relationship Id="rId36"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hi\AppData\Local\Temp\Temp1_Frontiers_Word_Templates.zip\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4710366-87AE-40FF-9FCF-91D62BBDF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12</Pages>
  <Words>1320</Words>
  <Characters>8321</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mathi</dc:creator>
  <cp:lastModifiedBy>Mathias Gast</cp:lastModifiedBy>
  <cp:revision>15</cp:revision>
  <cp:lastPrinted>2013-10-03T12:51:00Z</cp:lastPrinted>
  <dcterms:created xsi:type="dcterms:W3CDTF">2018-06-28T12:05:00Z</dcterms:created>
  <dcterms:modified xsi:type="dcterms:W3CDTF">2018-07-04T14:56:00Z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17th edition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http://www.zotero.org/styles/vancouver</vt:lpwstr>
  </property>
  <property fmtid="{D5CDD505-2E9C-101B-9397-08002B2CF9AE}" pid="23" name="Mendeley Document_1">
    <vt:lpwstr>True</vt:lpwstr>
  </property>
  <property fmtid="{D5CDD505-2E9C-101B-9397-08002B2CF9AE}" pid="24" name="Mendeley Unique User Id_1">
    <vt:lpwstr>882411f3-0c9d-3039-930a-5c7b081cd44d</vt:lpwstr>
  </property>
</Properties>
</file>