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221E" w14:textId="4699C5F3" w:rsidR="00CD54F6" w:rsidRPr="00C6474A" w:rsidRDefault="00CD54F6" w:rsidP="00DC3B51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C6474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Supplementary Material</w:t>
      </w:r>
    </w:p>
    <w:p w14:paraId="2155CAD7" w14:textId="034CD735" w:rsidR="00DC3B51" w:rsidRPr="00754FFE" w:rsidRDefault="00DC3B51" w:rsidP="00DC3B51">
      <w:pPr>
        <w:spacing w:after="0" w:line="48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54FF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Genomic insights into </w:t>
      </w:r>
      <w:r w:rsidR="00BF32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the </w:t>
      </w:r>
      <w:r w:rsidRPr="00754FF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acid adaptation of novel methanotrophs</w:t>
      </w:r>
      <w:r w:rsidR="00BD06D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90564B" w:rsidRPr="00754FF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enriched </w:t>
      </w:r>
      <w:r w:rsidR="00BF32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from acid</w:t>
      </w:r>
      <w:r w:rsidR="0090564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ic f</w:t>
      </w:r>
      <w:r w:rsidRPr="00754FF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orest soils</w:t>
      </w:r>
    </w:p>
    <w:p w14:paraId="0CB35B24" w14:textId="77777777" w:rsidR="00CD54F6" w:rsidRPr="00F37AAD" w:rsidRDefault="00CD54F6" w:rsidP="00CD54F6">
      <w:pPr>
        <w:spacing w:after="0"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Ngoc-Loi Nguyen</w:t>
      </w: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vertAlign w:val="superscript"/>
        </w:rPr>
        <w:t>1#</w:t>
      </w: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proofErr w:type="spellStart"/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Woon</w:t>
      </w:r>
      <w:proofErr w:type="spellEnd"/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-Jong Yu</w:t>
      </w: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vertAlign w:val="superscript"/>
        </w:rPr>
        <w:t>1#</w:t>
      </w: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proofErr w:type="spellStart"/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Joo</w:t>
      </w:r>
      <w:proofErr w:type="spellEnd"/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-Han Gwak</w:t>
      </w: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vertAlign w:val="superscript"/>
        </w:rPr>
        <w:t>1</w:t>
      </w: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So-</w:t>
      </w:r>
      <w:proofErr w:type="spellStart"/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Jeong</w:t>
      </w:r>
      <w:proofErr w:type="spellEnd"/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Kim</w:t>
      </w:r>
      <w:r w:rsidRPr="00F37AAD">
        <w:rPr>
          <w:rStyle w:val="affiliationcountry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CFCFC"/>
          <w:vertAlign w:val="superscript"/>
        </w:rPr>
        <w:t>2</w:t>
      </w: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Soo-Je Park</w:t>
      </w: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vertAlign w:val="superscript"/>
        </w:rPr>
        <w:t>3</w:t>
      </w: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Craig W. Herbold</w:t>
      </w: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vertAlign w:val="superscript"/>
        </w:rPr>
        <w:t>4</w:t>
      </w: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Jong-</w:t>
      </w:r>
      <w:proofErr w:type="spellStart"/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Geol</w:t>
      </w:r>
      <w:proofErr w:type="spellEnd"/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Kim</w:t>
      </w: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vertAlign w:val="superscript"/>
        </w:rPr>
        <w:t>1</w:t>
      </w: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Man-Young Jung</w:t>
      </w: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vertAlign w:val="superscript"/>
        </w:rPr>
        <w:t>4</w:t>
      </w: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and Sung-</w:t>
      </w:r>
      <w:proofErr w:type="spellStart"/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Keun</w:t>
      </w:r>
      <w:proofErr w:type="spellEnd"/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Rhee</w:t>
      </w: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vertAlign w:val="superscript"/>
        </w:rPr>
        <w:t>1</w:t>
      </w: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*</w:t>
      </w:r>
    </w:p>
    <w:p w14:paraId="46F10EE2" w14:textId="77777777" w:rsidR="00CD54F6" w:rsidRPr="00F37AAD" w:rsidRDefault="00CD54F6" w:rsidP="00CD54F6">
      <w:pPr>
        <w:spacing w:after="0" w:line="48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37AA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#Joint first authors</w:t>
      </w:r>
    </w:p>
    <w:p w14:paraId="05270995" w14:textId="135CFB1E" w:rsidR="00CD54F6" w:rsidRPr="00F37AAD" w:rsidRDefault="00CD54F6" w:rsidP="00CD54F6">
      <w:pPr>
        <w:spacing w:after="0"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*</w:t>
      </w:r>
      <w:r w:rsidRPr="00C647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Corresponding author: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37A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E-mail: </w:t>
      </w:r>
      <w:hyperlink r:id="rId7" w:history="1">
        <w:r w:rsidRPr="00F37AAD">
          <w:rPr>
            <w:rStyle w:val="Hyperlink"/>
            <w:rFonts w:ascii="Times New Roman" w:hAnsi="Times New Roman" w:cs="Times New Roman"/>
            <w:sz w:val="24"/>
            <w:szCs w:val="24"/>
          </w:rPr>
          <w:t>rhees@chungbuk.ac.kr</w:t>
        </w:r>
      </w:hyperlink>
    </w:p>
    <w:p w14:paraId="52FDE320" w14:textId="77777777" w:rsidR="00B83557" w:rsidRPr="00754FFE" w:rsidRDefault="00B83557" w:rsidP="003D2455">
      <w:pPr>
        <w:spacing w:after="0" w:line="48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</w:p>
    <w:p w14:paraId="7260C04E" w14:textId="3B724D3B" w:rsidR="003D2455" w:rsidRPr="00754FFE" w:rsidRDefault="003D2455" w:rsidP="003D2455">
      <w:pPr>
        <w:spacing w:after="0" w:line="48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 w:rsidRPr="00754FF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Supplementary </w:t>
      </w:r>
      <w:r w:rsidR="00CD54F6" w:rsidRPr="00CD54F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Tables</w:t>
      </w:r>
      <w:r w:rsidR="00CD54F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CD54F6" w:rsidRPr="00CD54F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and Figures </w:t>
      </w:r>
    </w:p>
    <w:p w14:paraId="7C7E3333" w14:textId="60474593" w:rsidR="0018716F" w:rsidRPr="00754FFE" w:rsidRDefault="00CD54F6" w:rsidP="003D2455">
      <w:pPr>
        <w:spacing w:after="0"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54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Supplementary </w:t>
      </w:r>
      <w:r w:rsidR="003D2455" w:rsidRPr="00754FF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Table S1.</w:t>
      </w:r>
      <w:r w:rsidR="003D2455" w:rsidRPr="00754FFE">
        <w:t xml:space="preserve">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Characteristics of the soils.</w:t>
      </w:r>
    </w:p>
    <w:tbl>
      <w:tblPr>
        <w:tblStyle w:val="ListTable6Colorful"/>
        <w:tblW w:w="8246" w:type="dxa"/>
        <w:jc w:val="center"/>
        <w:tblInd w:w="0" w:type="dxa"/>
        <w:tblLook w:val="0600" w:firstRow="0" w:lastRow="0" w:firstColumn="0" w:lastColumn="0" w:noHBand="1" w:noVBand="1"/>
      </w:tblPr>
      <w:tblGrid>
        <w:gridCol w:w="2552"/>
        <w:gridCol w:w="2786"/>
        <w:gridCol w:w="2908"/>
      </w:tblGrid>
      <w:tr w:rsidR="003D2455" w:rsidRPr="00754FFE" w14:paraId="3668F063" w14:textId="77777777" w:rsidTr="005654AE">
        <w:trPr>
          <w:trHeight w:val="300"/>
          <w:jc w:val="center"/>
        </w:trPr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hideMark/>
          </w:tcPr>
          <w:p w14:paraId="1677CC56" w14:textId="77777777" w:rsidR="003D2455" w:rsidRPr="00F41BDD" w:rsidRDefault="003D24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41B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1"/>
              </w:rPr>
              <w:t>Soil</w:t>
            </w:r>
          </w:p>
        </w:tc>
        <w:tc>
          <w:tcPr>
            <w:tcW w:w="2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hideMark/>
          </w:tcPr>
          <w:p w14:paraId="0CE6AB27" w14:textId="6323BFA4" w:rsidR="003D2455" w:rsidRPr="0097590D" w:rsidRDefault="009759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20317">
              <w:rPr>
                <w:rFonts w:ascii="Times New Roman" w:hAnsi="Times New Roman" w:cs="Times New Roman"/>
                <w:color w:val="0D0D0D" w:themeColor="text1" w:themeTint="F2"/>
                <w:sz w:val="20"/>
                <w:szCs w:val="24"/>
              </w:rPr>
              <w:t>Chungbuk</w:t>
            </w:r>
            <w:r w:rsidR="00DB5DF1">
              <w:rPr>
                <w:rFonts w:ascii="Times New Roman" w:hAnsi="Times New Roman" w:cs="Times New Roman"/>
                <w:color w:val="0D0D0D" w:themeColor="text1" w:themeTint="F2"/>
                <w:sz w:val="20"/>
                <w:szCs w:val="24"/>
              </w:rPr>
              <w:t xml:space="preserve"> National University</w:t>
            </w:r>
          </w:p>
        </w:tc>
        <w:tc>
          <w:tcPr>
            <w:tcW w:w="29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hideMark/>
          </w:tcPr>
          <w:p w14:paraId="0840BB95" w14:textId="6D7BF2BB" w:rsidR="003D2455" w:rsidRPr="0097590D" w:rsidRDefault="009759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D20317">
              <w:rPr>
                <w:rFonts w:ascii="Times New Roman" w:hAnsi="Times New Roman" w:cs="Times New Roman"/>
                <w:color w:val="0D0D0D" w:themeColor="text1" w:themeTint="F2"/>
                <w:sz w:val="20"/>
                <w:szCs w:val="24"/>
              </w:rPr>
              <w:t>Gutdae</w:t>
            </w:r>
            <w:proofErr w:type="spellEnd"/>
            <w:r w:rsidRPr="00D20317">
              <w:rPr>
                <w:rFonts w:ascii="Times New Roman" w:hAnsi="Times New Roman" w:cs="Times New Roman"/>
                <w:color w:val="0D0D0D" w:themeColor="text1" w:themeTint="F2"/>
                <w:sz w:val="20"/>
                <w:szCs w:val="24"/>
              </w:rPr>
              <w:t xml:space="preserve"> Mountain</w:t>
            </w:r>
          </w:p>
        </w:tc>
      </w:tr>
      <w:tr w:rsidR="003D2455" w:rsidRPr="00754FFE" w14:paraId="49FDEC5B" w14:textId="77777777" w:rsidTr="005654AE">
        <w:trPr>
          <w:trHeight w:val="300"/>
          <w:jc w:val="center"/>
        </w:trPr>
        <w:tc>
          <w:tcPr>
            <w:tcW w:w="255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hideMark/>
          </w:tcPr>
          <w:p w14:paraId="72DAD4B6" w14:textId="77777777" w:rsidR="003D2455" w:rsidRPr="00754FFE" w:rsidRDefault="003D2455" w:rsidP="00DB5D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GPS</w:t>
            </w:r>
          </w:p>
        </w:tc>
        <w:tc>
          <w:tcPr>
            <w:tcW w:w="278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hideMark/>
          </w:tcPr>
          <w:p w14:paraId="501F46A6" w14:textId="77777777" w:rsidR="003D2455" w:rsidRPr="00754FFE" w:rsidRDefault="003D24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36°37'33.6"N 127°27'13.3"E</w:t>
            </w:r>
          </w:p>
        </w:tc>
        <w:tc>
          <w:tcPr>
            <w:tcW w:w="2908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hideMark/>
          </w:tcPr>
          <w:p w14:paraId="5AE623F2" w14:textId="77777777" w:rsidR="003D2455" w:rsidRPr="00754FFE" w:rsidRDefault="003D24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36°38'43.8"N 127°32'15.4"E</w:t>
            </w:r>
          </w:p>
        </w:tc>
      </w:tr>
      <w:tr w:rsidR="003D2455" w:rsidRPr="00754FFE" w14:paraId="61B1A87F" w14:textId="77777777" w:rsidTr="005654AE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1390D" w14:textId="77777777" w:rsidR="003D2455" w:rsidRPr="00754FFE" w:rsidRDefault="003D2455" w:rsidP="00DB5D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Soil type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D660F9" w14:textId="77777777" w:rsidR="003D2455" w:rsidRPr="00754FFE" w:rsidRDefault="003D24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Forest soil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52DB3F" w14:textId="77777777" w:rsidR="003D2455" w:rsidRPr="00754FFE" w:rsidRDefault="003D24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Forest soil</w:t>
            </w:r>
          </w:p>
        </w:tc>
      </w:tr>
      <w:tr w:rsidR="003D2455" w:rsidRPr="00754FFE" w14:paraId="2C794602" w14:textId="77777777" w:rsidTr="005654AE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99FB35" w14:textId="77777777" w:rsidR="003D2455" w:rsidRPr="00754FFE" w:rsidRDefault="003D2455" w:rsidP="00DB5D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Vegetation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470FBF" w14:textId="77777777" w:rsidR="003D2455" w:rsidRPr="00754FFE" w:rsidRDefault="003D24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Pinus </w:t>
            </w:r>
            <w:proofErr w:type="spellStart"/>
            <w:r w:rsidRPr="00754FFE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koraiensis</w:t>
            </w:r>
            <w:proofErr w:type="spellEnd"/>
          </w:p>
          <w:p w14:paraId="6633F703" w14:textId="2B09AC72" w:rsidR="003D2455" w:rsidRPr="00754FFE" w:rsidRDefault="009056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0564B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Quercus </w:t>
            </w:r>
            <w:proofErr w:type="spellStart"/>
            <w:r w:rsidRPr="0090564B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mongolica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982C1E" w14:textId="77777777" w:rsidR="003D2455" w:rsidRPr="00754FFE" w:rsidRDefault="003D24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Pinus </w:t>
            </w:r>
            <w:proofErr w:type="spellStart"/>
            <w:r w:rsidRPr="00754FFE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koraiensis</w:t>
            </w:r>
            <w:proofErr w:type="spellEnd"/>
          </w:p>
          <w:p w14:paraId="52E168AB" w14:textId="77777777" w:rsidR="003D2455" w:rsidRPr="00754FFE" w:rsidRDefault="003D24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754FFE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Abies</w:t>
            </w:r>
            <w:proofErr w:type="spellEnd"/>
            <w:r w:rsidRPr="00754FFE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754FFE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holophylla</w:t>
            </w:r>
            <w:proofErr w:type="spellEnd"/>
          </w:p>
        </w:tc>
      </w:tr>
      <w:tr w:rsidR="003D2455" w:rsidRPr="00754FFE" w14:paraId="688A9075" w14:textId="77777777" w:rsidTr="005654AE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B5EB44" w14:textId="75FA8826" w:rsidR="003D2455" w:rsidRDefault="003D2455" w:rsidP="00DB5D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pH</w:t>
            </w:r>
            <w:r w:rsidR="005C6D1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[1:5]</w:t>
            </w:r>
          </w:p>
          <w:p w14:paraId="1CFBB978" w14:textId="0DCAAE1A" w:rsidR="005C6D18" w:rsidRDefault="005C6D18" w:rsidP="005C6D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Cation exchange capacity (mol·Kg</w:t>
            </w:r>
            <w:r w:rsidRPr="005C6D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-1</w:t>
            </w: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14:paraId="437F850E" w14:textId="274616DD" w:rsidR="005C6D18" w:rsidRPr="00754FFE" w:rsidRDefault="005C6D18" w:rsidP="005C6D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Electrical conductivity [1:5] (dS·m</w:t>
            </w:r>
            <w:r w:rsidRPr="005C6D1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EEB673" w14:textId="77777777" w:rsidR="003D2455" w:rsidRDefault="005C6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3.89</w:t>
            </w:r>
          </w:p>
          <w:p w14:paraId="11BB196E" w14:textId="77777777" w:rsidR="005C6D18" w:rsidRDefault="005C6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1.17</w:t>
            </w:r>
          </w:p>
          <w:p w14:paraId="4519E231" w14:textId="77777777" w:rsidR="005C6D18" w:rsidRDefault="005C6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E204B1F" w14:textId="51CB5A04" w:rsidR="005C6D18" w:rsidRPr="00754FFE" w:rsidRDefault="005C6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0.27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EA8C9" w14:textId="77777777" w:rsidR="003D2455" w:rsidRDefault="003D2455" w:rsidP="005C6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4.</w:t>
            </w:r>
            <w:r w:rsidR="005C6D18">
              <w:rPr>
                <w:rFonts w:ascii="Times New Roman" w:eastAsia="Times New Roman" w:hAnsi="Times New Roman" w:cs="Times New Roman"/>
                <w:color w:val="000000"/>
                <w:sz w:val="20"/>
              </w:rPr>
              <w:t>02</w:t>
            </w:r>
          </w:p>
          <w:p w14:paraId="0149291E" w14:textId="77777777" w:rsidR="005C6D18" w:rsidRDefault="005C6D18" w:rsidP="005C6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3.81</w:t>
            </w:r>
          </w:p>
          <w:p w14:paraId="0D074A4B" w14:textId="77777777" w:rsidR="005C6D18" w:rsidRDefault="005C6D18" w:rsidP="005C6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7EEA05C" w14:textId="6EBB1952" w:rsidR="005C6D18" w:rsidRPr="00754FFE" w:rsidRDefault="005C6D18" w:rsidP="005C6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0.37</w:t>
            </w:r>
          </w:p>
        </w:tc>
      </w:tr>
      <w:tr w:rsidR="003D2455" w:rsidRPr="00754FFE" w14:paraId="12134939" w14:textId="77777777" w:rsidTr="005654AE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D4CAB2" w14:textId="274A1635" w:rsidR="003D2455" w:rsidRPr="00754FFE" w:rsidRDefault="00EB3E46" w:rsidP="00EB3E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 carbon</w:t>
            </w:r>
            <w:r w:rsidR="003D2455"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(%)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70E19C" w14:textId="77777777" w:rsidR="003D2455" w:rsidRPr="00754FFE" w:rsidRDefault="003D24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3.80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8BFA6F" w14:textId="77777777" w:rsidR="003D2455" w:rsidRPr="00754FFE" w:rsidRDefault="003D24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1.55</w:t>
            </w:r>
          </w:p>
        </w:tc>
      </w:tr>
      <w:tr w:rsidR="003D2455" w:rsidRPr="00754FFE" w14:paraId="3B527EC9" w14:textId="77777777" w:rsidTr="005654AE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ECBB78" w14:textId="6DF523A8" w:rsidR="003D2455" w:rsidRPr="00754FFE" w:rsidRDefault="00EB3E46" w:rsidP="00EB3E4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 nitrogen</w:t>
            </w:r>
            <w:r w:rsidR="003D2455"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(%)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E0A110" w14:textId="77777777" w:rsidR="003D2455" w:rsidRPr="00754FFE" w:rsidRDefault="003D24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0.0098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8FE50A" w14:textId="77777777" w:rsidR="003D2455" w:rsidRPr="00754FFE" w:rsidRDefault="003D24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0.0164</w:t>
            </w:r>
          </w:p>
        </w:tc>
      </w:tr>
      <w:tr w:rsidR="003D2455" w:rsidRPr="00754FFE" w14:paraId="1E0ACCEC" w14:textId="77777777" w:rsidTr="005654AE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6A9CD" w14:textId="21455E67" w:rsidR="003D2455" w:rsidRPr="00754FFE" w:rsidRDefault="003D2455" w:rsidP="00DB5D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NH</w:t>
            </w: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>4</w:t>
            </w: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+</w:t>
            </w: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(mg</w:t>
            </w:r>
            <w:r w:rsidR="005C6D18">
              <w:rPr>
                <w:rFonts w:ascii="Times New Roman" w:eastAsia="Times New Roman" w:hAnsi="Times New Roman" w:cs="Times New Roman"/>
                <w:color w:val="000000"/>
                <w:sz w:val="20"/>
              </w:rPr>
              <w:t>·</w:t>
            </w: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kg</w:t>
            </w:r>
            <w:r w:rsidRPr="00DB5DF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-1</w:t>
            </w: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3D13EF" w14:textId="77777777" w:rsidR="003D2455" w:rsidRPr="00754FFE" w:rsidRDefault="003D24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19.16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329855" w14:textId="77777777" w:rsidR="003D2455" w:rsidRPr="00754FFE" w:rsidRDefault="003D24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10.93</w:t>
            </w:r>
          </w:p>
        </w:tc>
      </w:tr>
      <w:tr w:rsidR="00F41BDD" w:rsidRPr="00754FFE" w14:paraId="07ED79D0" w14:textId="77777777" w:rsidTr="005654AE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B35B45" w14:textId="0C78C691" w:rsidR="00F41BDD" w:rsidRPr="00754FFE" w:rsidRDefault="00F41BDD" w:rsidP="00DB5D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NO</w:t>
            </w: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>3</w:t>
            </w: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-</w:t>
            </w: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(mg</w:t>
            </w:r>
            <w:r w:rsidR="005C6D18">
              <w:rPr>
                <w:rFonts w:ascii="Times New Roman" w:eastAsia="Times New Roman" w:hAnsi="Times New Roman" w:cs="Times New Roman"/>
                <w:color w:val="000000"/>
                <w:sz w:val="20"/>
              </w:rPr>
              <w:t>·</w:t>
            </w: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kg</w:t>
            </w:r>
            <w:r w:rsidRPr="00DB5DF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-1</w:t>
            </w: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C1575C" w14:textId="1FA3B641" w:rsidR="00F41BDD" w:rsidRPr="00754FFE" w:rsidRDefault="00F41BDD" w:rsidP="00F41B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10.99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413079" w14:textId="6693990D" w:rsidR="00F41BDD" w:rsidRPr="00754FFE" w:rsidRDefault="00F41BDD" w:rsidP="00F41B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5.56</w:t>
            </w:r>
          </w:p>
        </w:tc>
      </w:tr>
      <w:tr w:rsidR="00F41BDD" w:rsidRPr="00754FFE" w14:paraId="543EEA0F" w14:textId="77777777" w:rsidTr="005654AE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643D9F" w14:textId="426E4FE4" w:rsidR="00F41BDD" w:rsidRPr="00754FFE" w:rsidRDefault="00F41BDD" w:rsidP="005654A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</w:t>
            </w:r>
            <w:r w:rsidRPr="00F41BDD">
              <w:rPr>
                <w:rFonts w:ascii="Times New Roman" w:eastAsia="Times New Roman" w:hAnsi="Times New Roman" w:cs="Times New Roman"/>
                <w:color w:val="000000"/>
                <w:sz w:val="20"/>
              </w:rPr>
              <w:t>otal phosph</w:t>
            </w:r>
            <w:r w:rsidR="005654AE">
              <w:rPr>
                <w:rFonts w:ascii="Times New Roman" w:eastAsia="Times New Roman" w:hAnsi="Times New Roman" w:cs="Times New Roman"/>
                <w:color w:val="000000"/>
                <w:sz w:val="20"/>
              </w:rPr>
              <w:t>orous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r w:rsidR="005654AE"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mg</w:t>
            </w:r>
            <w:r w:rsidR="005C6D18">
              <w:rPr>
                <w:rFonts w:ascii="Times New Roman" w:eastAsia="Times New Roman" w:hAnsi="Times New Roman" w:cs="Times New Roman"/>
                <w:color w:val="000000"/>
                <w:sz w:val="20"/>
              </w:rPr>
              <w:t>·</w:t>
            </w:r>
            <w:r w:rsidR="005654AE" w:rsidRPr="00754FFE">
              <w:rPr>
                <w:rFonts w:ascii="Times New Roman" w:eastAsia="Times New Roman" w:hAnsi="Times New Roman" w:cs="Times New Roman"/>
                <w:color w:val="000000"/>
                <w:sz w:val="20"/>
              </w:rPr>
              <w:t>kg</w:t>
            </w:r>
            <w:r w:rsidR="005654AE" w:rsidRPr="00DB5DF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9CC5F7" w14:textId="2F557F13" w:rsidR="00F41BDD" w:rsidRPr="005654AE" w:rsidRDefault="005654AE" w:rsidP="00F41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</w:rPr>
              <w:t>270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638055" w14:textId="7DF8DA15" w:rsidR="00F41BDD" w:rsidRPr="005654AE" w:rsidRDefault="005654AE" w:rsidP="00F41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</w:rPr>
              <w:t>385</w:t>
            </w:r>
          </w:p>
        </w:tc>
      </w:tr>
      <w:tr w:rsidR="00F41BDD" w:rsidRPr="00754FFE" w14:paraId="1AFCA4A8" w14:textId="77777777" w:rsidTr="005654AE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470B97" w14:textId="3BD72C8C" w:rsidR="00F41BDD" w:rsidRPr="00754FFE" w:rsidRDefault="00F41BDD" w:rsidP="00DB5D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Salinity</w:t>
            </w:r>
            <w:r w:rsidR="005654A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(%)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94945E" w14:textId="4ED36432" w:rsidR="00F41BDD" w:rsidRPr="005654AE" w:rsidRDefault="005654AE" w:rsidP="00F41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</w:rPr>
              <w:t>0.013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0CC560" w14:textId="1EB7A2B7" w:rsidR="00F41BDD" w:rsidRPr="005654AE" w:rsidRDefault="005654AE" w:rsidP="00F41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</w:rPr>
              <w:t>0.017</w:t>
            </w:r>
          </w:p>
        </w:tc>
      </w:tr>
      <w:tr w:rsidR="00F41BDD" w:rsidRPr="00754FFE" w14:paraId="34FD5296" w14:textId="77777777" w:rsidTr="005654AE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4E8953" w14:textId="3B8B89F8" w:rsidR="00F41BDD" w:rsidRDefault="00F41BDD" w:rsidP="00DB5D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Water content (%)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F6F0A5" w14:textId="05EA0413" w:rsidR="00F41BDD" w:rsidRPr="005654AE" w:rsidRDefault="005654AE" w:rsidP="00F41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</w:rPr>
              <w:t>17.7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7ACC52" w14:textId="7DAB0C37" w:rsidR="00F41BDD" w:rsidRPr="005654AE" w:rsidRDefault="005654AE" w:rsidP="00F41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</w:rPr>
              <w:t>18.5</w:t>
            </w:r>
          </w:p>
        </w:tc>
      </w:tr>
      <w:tr w:rsidR="00F41BDD" w:rsidRPr="00754FFE" w14:paraId="5E07BCF6" w14:textId="77777777" w:rsidTr="005654AE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24B1AA" w14:textId="14485E99" w:rsidR="00F41BDD" w:rsidRPr="00F92E54" w:rsidRDefault="0052578E" w:rsidP="0052578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</w:t>
            </w:r>
            <w:r w:rsidR="00F41BDD" w:rsidRPr="00F92E54">
              <w:rPr>
                <w:rFonts w:ascii="Times New Roman" w:eastAsia="Times New Roman" w:hAnsi="Times New Roman" w:cs="Times New Roman"/>
                <w:color w:val="000000"/>
                <w:sz w:val="20"/>
              </w:rPr>
              <w:t>exture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C090DC" w14:textId="70AF0DE8" w:rsidR="00F41BDD" w:rsidRPr="0052578E" w:rsidRDefault="0052578E" w:rsidP="00F41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andy clay loam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823A69" w14:textId="3761BEAB" w:rsidR="00F41BDD" w:rsidRPr="0052578E" w:rsidRDefault="0052578E" w:rsidP="00F41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</w:rPr>
              <w:t>Sandy loam</w:t>
            </w:r>
          </w:p>
        </w:tc>
      </w:tr>
      <w:tr w:rsidR="00F41BDD" w:rsidRPr="00754FFE" w14:paraId="06AE3D71" w14:textId="77777777" w:rsidTr="005654AE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34E709" w14:textId="73F12804" w:rsidR="00F41BDD" w:rsidRPr="00754FFE" w:rsidRDefault="00F41BDD" w:rsidP="00DB5DF1">
            <w:pPr>
              <w:spacing w:line="276" w:lineRule="auto"/>
              <w:ind w:firstLineChars="150" w:firstLine="3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Sand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901F15" w14:textId="2600867B" w:rsidR="00F41BDD" w:rsidRPr="005654AE" w:rsidRDefault="005654AE" w:rsidP="00F41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</w:rPr>
              <w:t>58.1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05482A" w14:textId="71FB9156" w:rsidR="00F41BDD" w:rsidRPr="005654AE" w:rsidRDefault="005654AE" w:rsidP="00F41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</w:rPr>
              <w:t>68.0</w:t>
            </w:r>
          </w:p>
        </w:tc>
      </w:tr>
      <w:tr w:rsidR="00F41BDD" w:rsidRPr="00754FFE" w14:paraId="51C01844" w14:textId="77777777" w:rsidTr="005654AE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5C12A3" w14:textId="67BC1637" w:rsidR="00F41BDD" w:rsidRDefault="00F41BDD" w:rsidP="00DB5DF1">
            <w:pPr>
              <w:spacing w:line="276" w:lineRule="auto"/>
              <w:ind w:firstLineChars="150" w:firstLine="3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</w:t>
            </w:r>
            <w:r w:rsidRPr="00F92E54">
              <w:rPr>
                <w:rFonts w:ascii="Times New Roman" w:eastAsia="Times New Roman" w:hAnsi="Times New Roman" w:cs="Times New Roman"/>
                <w:color w:val="000000"/>
                <w:sz w:val="20"/>
              </w:rPr>
              <w:t>ilt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43E1EA" w14:textId="7D33D0C1" w:rsidR="00F41BDD" w:rsidRPr="005654AE" w:rsidRDefault="005654AE" w:rsidP="00F41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</w:rPr>
              <w:t>17.8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3E9AA9" w14:textId="5B0395C3" w:rsidR="00F41BDD" w:rsidRPr="005654AE" w:rsidRDefault="005654AE" w:rsidP="00F41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</w:rPr>
              <w:t>13.9</w:t>
            </w:r>
          </w:p>
        </w:tc>
      </w:tr>
      <w:tr w:rsidR="00F41BDD" w:rsidRPr="00754FFE" w14:paraId="6EBBBBE4" w14:textId="77777777" w:rsidTr="005654AE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71C08E" w14:textId="7DAA47F0" w:rsidR="00F41BDD" w:rsidRDefault="00F41BDD" w:rsidP="00DB5DF1">
            <w:pPr>
              <w:spacing w:line="276" w:lineRule="auto"/>
              <w:ind w:firstLineChars="150" w:firstLine="3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</w:t>
            </w:r>
            <w:r w:rsidRPr="00F92E54">
              <w:rPr>
                <w:rFonts w:ascii="Times New Roman" w:eastAsia="Times New Roman" w:hAnsi="Times New Roman" w:cs="Times New Roman"/>
                <w:color w:val="000000"/>
                <w:sz w:val="20"/>
              </w:rPr>
              <w:t>lay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F5119B" w14:textId="47DC8588" w:rsidR="00F41BDD" w:rsidRPr="005654AE" w:rsidRDefault="005654AE" w:rsidP="00F41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</w:rPr>
              <w:t>24.1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B13142" w14:textId="33954E0E" w:rsidR="00F41BDD" w:rsidRPr="005654AE" w:rsidRDefault="005654AE" w:rsidP="00F41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</w:rPr>
              <w:t>18.1</w:t>
            </w:r>
          </w:p>
        </w:tc>
      </w:tr>
      <w:tr w:rsidR="00F41BDD" w:rsidRPr="00754FFE" w14:paraId="44510E16" w14:textId="77777777" w:rsidTr="005654AE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D7DA12" w14:textId="2D296D5A" w:rsidR="00F41BDD" w:rsidRPr="00DB5DF1" w:rsidRDefault="00FB4625" w:rsidP="00DB5D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DB5DF1" w:rsidRPr="00DB5DF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Gene </w:t>
            </w:r>
            <w:r w:rsidRPr="00DB5DF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cop</w:t>
            </w:r>
            <w:r w:rsidR="00BD110B" w:rsidRPr="00DB5DF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y</w:t>
            </w:r>
            <w:r w:rsidRPr="00DB5DF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/g</w:t>
            </w:r>
            <w:r w:rsidR="00DB5DF1" w:rsidRPr="00DB5DF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Pr="00DB5DF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soil</w:t>
            </w:r>
            <w:r w:rsidR="00DB5DF1" w:rsidRPr="00DB5DF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D58D01" w14:textId="77777777" w:rsidR="00F41BDD" w:rsidRPr="00754FFE" w:rsidRDefault="00F41BDD" w:rsidP="00F41B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8F1623" w14:textId="77777777" w:rsidR="00F41BDD" w:rsidRPr="00754FFE" w:rsidRDefault="00F41BDD" w:rsidP="00F41B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41BDD" w:rsidRPr="00754FFE" w14:paraId="3058A81F" w14:textId="77777777" w:rsidTr="005654AE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152C19" w14:textId="22A0F5E6" w:rsidR="00F41BDD" w:rsidRDefault="00F41BDD" w:rsidP="00DB5DF1">
            <w:pPr>
              <w:spacing w:line="276" w:lineRule="auto"/>
              <w:ind w:firstLineChars="150" w:firstLine="3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16S rR</w:t>
            </w:r>
            <w:r w:rsidR="00DB5DF1">
              <w:rPr>
                <w:rFonts w:ascii="Times New Roman" w:eastAsia="Times New Roman" w:hAnsi="Times New Roman" w:cs="Times New Roman"/>
                <w:color w:val="000000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49AEFF" w14:textId="24ED3623" w:rsidR="00F41BDD" w:rsidRPr="00754FFE" w:rsidRDefault="008607A9" w:rsidP="008607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  <w:r w:rsidR="00FB4625" w:rsidRPr="00FB4625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="00DB5DF1">
              <w:rPr>
                <w:rFonts w:ascii="Times New Roman" w:eastAsia="Times New Roman" w:hAnsi="Times New Roman" w:cs="Times New Roman"/>
                <w:color w:val="000000"/>
                <w:sz w:val="20"/>
              </w:rPr>
              <w:t>×10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CB4667" w14:textId="00CC0D29" w:rsidR="00F41BDD" w:rsidRPr="00754FFE" w:rsidRDefault="008607A9" w:rsidP="008607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4.4×10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8</w:t>
            </w:r>
          </w:p>
        </w:tc>
      </w:tr>
      <w:tr w:rsidR="00F41BDD" w:rsidRPr="00754FFE" w14:paraId="78F22FDE" w14:textId="77777777" w:rsidTr="005654AE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A66216E" w14:textId="33D6F01D" w:rsidR="00F41BDD" w:rsidRPr="00F41BDD" w:rsidRDefault="00F41BDD" w:rsidP="00DB5DF1">
            <w:pPr>
              <w:spacing w:line="276" w:lineRule="auto"/>
              <w:ind w:firstLineChars="150" w:firstLine="300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proofErr w:type="spellStart"/>
            <w:r w:rsidRPr="00F41BD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pmoA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B1D41A5" w14:textId="1E7473B0" w:rsidR="00F41BDD" w:rsidRPr="00754FFE" w:rsidRDefault="008607A9" w:rsidP="008607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5.6×10</w:t>
            </w:r>
            <w:r w:rsidR="00E96C47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C6C11C3" w14:textId="43B1FE45" w:rsidR="00F41BDD" w:rsidRPr="00754FFE" w:rsidRDefault="008607A9" w:rsidP="008607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5.7×10</w:t>
            </w:r>
            <w:r w:rsidR="00E96C47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6</w:t>
            </w:r>
          </w:p>
        </w:tc>
      </w:tr>
    </w:tbl>
    <w:p w14:paraId="757A2E40" w14:textId="77777777" w:rsidR="00E924FE" w:rsidRDefault="00E924FE" w:rsidP="00E924FE">
      <w:pPr>
        <w:widowControl w:val="0"/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17"/>
          <w:szCs w:val="17"/>
        </w:rPr>
      </w:pPr>
    </w:p>
    <w:p w14:paraId="4F50B01D" w14:textId="69D54D8F" w:rsidR="00392721" w:rsidRPr="00754FFE" w:rsidRDefault="00CD54F6" w:rsidP="00C6474A">
      <w:pPr>
        <w:spacing w:line="259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6474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Supplementary </w:t>
      </w:r>
      <w:r w:rsidR="00392721" w:rsidRPr="00754FF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Table S2</w:t>
      </w:r>
      <w:r w:rsidR="00523046" w:rsidRPr="00754FF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="00392721" w:rsidRPr="00754FFE">
        <w:rPr>
          <w:rFonts w:ascii="Times New Roman" w:hAnsi="Times New Roman" w:cs="Times New Roman"/>
          <w:sz w:val="24"/>
          <w:szCs w:val="24"/>
        </w:rPr>
        <w:t xml:space="preserve">Diversity of </w:t>
      </w:r>
      <w:r w:rsidR="00BF321D">
        <w:rPr>
          <w:rFonts w:ascii="Times New Roman" w:hAnsi="Times New Roman" w:cs="Times New Roman"/>
          <w:sz w:val="24"/>
          <w:szCs w:val="24"/>
        </w:rPr>
        <w:t xml:space="preserve">the </w:t>
      </w:r>
      <w:r w:rsidR="00392721" w:rsidRPr="00754FFE">
        <w:rPr>
          <w:rFonts w:ascii="Times New Roman" w:hAnsi="Times New Roman" w:cs="Times New Roman"/>
          <w:sz w:val="24"/>
          <w:szCs w:val="24"/>
        </w:rPr>
        <w:t xml:space="preserve">16S rRNA gene sequences obtained </w:t>
      </w:r>
      <w:r w:rsidR="00BF321D">
        <w:rPr>
          <w:rFonts w:ascii="Times New Roman" w:hAnsi="Times New Roman" w:cs="Times New Roman"/>
          <w:sz w:val="24"/>
          <w:szCs w:val="24"/>
        </w:rPr>
        <w:t xml:space="preserve">by </w:t>
      </w:r>
      <w:r w:rsidR="00392721" w:rsidRPr="00754FFE">
        <w:rPr>
          <w:rFonts w:ascii="Times New Roman" w:hAnsi="Times New Roman" w:cs="Times New Roman"/>
          <w:sz w:val="24"/>
          <w:szCs w:val="24"/>
        </w:rPr>
        <w:t>sequencing PCR amplicons.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270"/>
        <w:gridCol w:w="1960"/>
      </w:tblGrid>
      <w:tr w:rsidR="00523046" w:rsidRPr="00754FFE" w14:paraId="05F92295" w14:textId="177BBB1C" w:rsidTr="00B83557">
        <w:trPr>
          <w:jc w:val="center"/>
        </w:trPr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93C2" w14:textId="77777777" w:rsidR="00523046" w:rsidRPr="000C2B6A" w:rsidRDefault="00523046" w:rsidP="00D555D0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C7B75" w14:textId="4DF61D6D" w:rsidR="00523046" w:rsidRPr="000C2B6A" w:rsidRDefault="00523046" w:rsidP="00D555D0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R4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A48401" w14:textId="390BA8A1" w:rsidR="00523046" w:rsidRPr="000C2B6A" w:rsidRDefault="00523046" w:rsidP="00523046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R3</w:t>
            </w:r>
          </w:p>
        </w:tc>
      </w:tr>
      <w:tr w:rsidR="00523046" w:rsidRPr="00754FFE" w14:paraId="42275E69" w14:textId="43B1D0FD" w:rsidTr="00B83557">
        <w:trPr>
          <w:jc w:val="center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50E5" w14:textId="77777777" w:rsidR="00523046" w:rsidRPr="000C2B6A" w:rsidRDefault="00523046" w:rsidP="00D555D0">
            <w:pPr>
              <w:spacing w:after="0" w:line="48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Raw reads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F60F4" w14:textId="77777777" w:rsidR="00523046" w:rsidRPr="000C2B6A" w:rsidRDefault="00523046" w:rsidP="00D555D0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28,606</w:t>
            </w:r>
          </w:p>
        </w:tc>
        <w:tc>
          <w:tcPr>
            <w:tcW w:w="1960" w:type="dxa"/>
            <w:vAlign w:val="center"/>
          </w:tcPr>
          <w:p w14:paraId="0CD724B7" w14:textId="0F50F405" w:rsidR="00523046" w:rsidRPr="000C2B6A" w:rsidRDefault="00523046" w:rsidP="00523046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35,540</w:t>
            </w:r>
          </w:p>
        </w:tc>
      </w:tr>
      <w:tr w:rsidR="00523046" w:rsidRPr="00754FFE" w14:paraId="6CABB278" w14:textId="243FB84D" w:rsidTr="00B83557">
        <w:trPr>
          <w:jc w:val="center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C007" w14:textId="77777777" w:rsidR="00523046" w:rsidRPr="000C2B6A" w:rsidRDefault="00523046" w:rsidP="00D555D0">
            <w:pPr>
              <w:spacing w:after="0" w:line="48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OTU*</w:t>
            </w:r>
            <w:r w:rsidRPr="000C2B6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487D4" w14:textId="77777777" w:rsidR="00523046" w:rsidRPr="000C2B6A" w:rsidRDefault="00523046" w:rsidP="00D555D0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139</w:t>
            </w:r>
          </w:p>
        </w:tc>
        <w:tc>
          <w:tcPr>
            <w:tcW w:w="1960" w:type="dxa"/>
            <w:vAlign w:val="center"/>
          </w:tcPr>
          <w:p w14:paraId="34932787" w14:textId="2FAE1AE4" w:rsidR="00523046" w:rsidRPr="000C2B6A" w:rsidRDefault="00523046" w:rsidP="00523046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162</w:t>
            </w:r>
          </w:p>
        </w:tc>
      </w:tr>
      <w:tr w:rsidR="00523046" w:rsidRPr="00754FFE" w14:paraId="033840D2" w14:textId="55D3C332" w:rsidTr="00B83557">
        <w:trPr>
          <w:jc w:val="center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A995C" w14:textId="77777777" w:rsidR="00523046" w:rsidRPr="000C2B6A" w:rsidRDefault="00523046" w:rsidP="00D555D0">
            <w:pPr>
              <w:spacing w:after="0" w:line="48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Chao1 estimated richness</w:t>
            </w:r>
            <w:r w:rsidRPr="000C2B6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68C11" w14:textId="77777777" w:rsidR="00523046" w:rsidRPr="000C2B6A" w:rsidRDefault="00523046" w:rsidP="00D555D0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148.4</w:t>
            </w:r>
          </w:p>
        </w:tc>
        <w:tc>
          <w:tcPr>
            <w:tcW w:w="1960" w:type="dxa"/>
            <w:vAlign w:val="center"/>
          </w:tcPr>
          <w:p w14:paraId="64C46428" w14:textId="454A63B6" w:rsidR="00523046" w:rsidRPr="000C2B6A" w:rsidRDefault="00523046" w:rsidP="00523046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164.7</w:t>
            </w:r>
          </w:p>
        </w:tc>
      </w:tr>
      <w:tr w:rsidR="00523046" w:rsidRPr="00754FFE" w14:paraId="1FB6D25C" w14:textId="316DC07D" w:rsidTr="00B83557">
        <w:trPr>
          <w:jc w:val="center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B6732" w14:textId="77777777" w:rsidR="00523046" w:rsidRPr="000C2B6A" w:rsidRDefault="00523046" w:rsidP="00D555D0">
            <w:pPr>
              <w:spacing w:after="0" w:line="48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Shannon’s index for diversity</w:t>
            </w:r>
            <w:r w:rsidRPr="000C2B6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0B970" w14:textId="77777777" w:rsidR="00523046" w:rsidRPr="000C2B6A" w:rsidRDefault="00523046" w:rsidP="00D555D0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4.438</w:t>
            </w:r>
          </w:p>
        </w:tc>
        <w:tc>
          <w:tcPr>
            <w:tcW w:w="1960" w:type="dxa"/>
            <w:vAlign w:val="center"/>
          </w:tcPr>
          <w:p w14:paraId="79EC71EC" w14:textId="51E01083" w:rsidR="00523046" w:rsidRPr="000C2B6A" w:rsidRDefault="00523046" w:rsidP="00523046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4.391</w:t>
            </w:r>
          </w:p>
        </w:tc>
      </w:tr>
      <w:tr w:rsidR="00523046" w:rsidRPr="00754FFE" w14:paraId="28578887" w14:textId="39910155" w:rsidTr="00B83557">
        <w:trPr>
          <w:jc w:val="center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0D0A3" w14:textId="77777777" w:rsidR="00523046" w:rsidRPr="000C2B6A" w:rsidRDefault="00523046" w:rsidP="00D555D0">
            <w:pPr>
              <w:spacing w:after="0" w:line="48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Simpson’s index for diversity (Inverse)</w:t>
            </w:r>
            <w:r w:rsidRPr="000C2B6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44B3F" w14:textId="77777777" w:rsidR="00523046" w:rsidRPr="000C2B6A" w:rsidRDefault="00523046" w:rsidP="00D555D0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0.9119</w:t>
            </w:r>
          </w:p>
        </w:tc>
        <w:tc>
          <w:tcPr>
            <w:tcW w:w="1960" w:type="dxa"/>
            <w:vAlign w:val="center"/>
          </w:tcPr>
          <w:p w14:paraId="442099A9" w14:textId="1BE651CD" w:rsidR="00523046" w:rsidRPr="000C2B6A" w:rsidRDefault="00523046" w:rsidP="00523046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0.9166</w:t>
            </w:r>
          </w:p>
        </w:tc>
      </w:tr>
      <w:tr w:rsidR="00523046" w:rsidRPr="00754FFE" w14:paraId="62681FA5" w14:textId="3C0A3126" w:rsidTr="00B83557">
        <w:trPr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D7850" w14:textId="370D55EB" w:rsidR="00523046" w:rsidRPr="000C2B6A" w:rsidRDefault="00523046" w:rsidP="00D555D0">
            <w:pPr>
              <w:spacing w:after="0" w:line="48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Good’s coverage </w:t>
            </w:r>
            <w:r w:rsidR="003A27F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proofErr w:type="gramStart"/>
            <w:r w:rsidRPr="000C2B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%)</w:t>
            </w:r>
            <w:r w:rsidRPr="000C2B6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vertAlign w:val="superscript"/>
              </w:rPr>
              <w:t>$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538FE" w14:textId="77777777" w:rsidR="00523046" w:rsidRPr="000C2B6A" w:rsidRDefault="00523046" w:rsidP="00D555D0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99.9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A5D20" w14:textId="6DDCE1A3" w:rsidR="00523046" w:rsidRPr="000C2B6A" w:rsidRDefault="00523046" w:rsidP="00523046">
            <w:pPr>
              <w:spacing w:after="0" w:line="48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2B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99.9</w:t>
            </w:r>
          </w:p>
        </w:tc>
      </w:tr>
    </w:tbl>
    <w:p w14:paraId="4FE44B3E" w14:textId="77777777" w:rsidR="00B83557" w:rsidRPr="00754FFE" w:rsidRDefault="00B83557" w:rsidP="00D555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92DFB2" w14:textId="6FB5D58A" w:rsidR="00523046" w:rsidRPr="00754FFE" w:rsidRDefault="00523046" w:rsidP="00D555D0">
      <w:pPr>
        <w:spacing w:after="0" w:line="480" w:lineRule="auto"/>
        <w:rPr>
          <w:rFonts w:ascii="Times New Roman" w:eastAsia="Malgun Gothic" w:hAnsi="Times New Roman" w:cs="Times New Roman"/>
          <w:sz w:val="24"/>
          <w:szCs w:val="24"/>
        </w:rPr>
      </w:pPr>
      <w:r w:rsidRPr="00754FFE">
        <w:rPr>
          <w:rFonts w:ascii="Times New Roman" w:hAnsi="Times New Roman" w:cs="Times New Roman"/>
          <w:sz w:val="24"/>
          <w:szCs w:val="24"/>
        </w:rPr>
        <w:t xml:space="preserve">*An </w:t>
      </w:r>
      <w:r w:rsidR="0090564B" w:rsidRPr="0090564B">
        <w:rPr>
          <w:rFonts w:ascii="Times New Roman" w:hAnsi="Times New Roman" w:cs="Times New Roman"/>
          <w:sz w:val="24"/>
          <w:szCs w:val="24"/>
        </w:rPr>
        <w:t xml:space="preserve">operational taxonomic unit </w:t>
      </w:r>
      <w:r w:rsidR="0090564B">
        <w:rPr>
          <w:rFonts w:ascii="Times New Roman" w:hAnsi="Times New Roman" w:cs="Times New Roman"/>
          <w:sz w:val="24"/>
          <w:szCs w:val="24"/>
        </w:rPr>
        <w:t>(</w:t>
      </w:r>
      <w:r w:rsidRPr="00754FFE">
        <w:rPr>
          <w:rFonts w:ascii="Times New Roman" w:hAnsi="Times New Roman" w:cs="Times New Roman"/>
          <w:sz w:val="24"/>
          <w:szCs w:val="24"/>
        </w:rPr>
        <w:t>OTU</w:t>
      </w:r>
      <w:r w:rsidR="0090564B">
        <w:rPr>
          <w:rFonts w:ascii="Times New Roman" w:hAnsi="Times New Roman" w:cs="Times New Roman"/>
          <w:sz w:val="24"/>
          <w:szCs w:val="24"/>
        </w:rPr>
        <w:t>)</w:t>
      </w:r>
      <w:r w:rsidRPr="00754FFE">
        <w:rPr>
          <w:rFonts w:ascii="Times New Roman" w:hAnsi="Times New Roman" w:cs="Times New Roman"/>
          <w:sz w:val="24"/>
          <w:szCs w:val="24"/>
        </w:rPr>
        <w:t xml:space="preserve"> was defined as containing sequences with</w:t>
      </w:r>
      <w:r w:rsidR="00BF321D">
        <w:rPr>
          <w:rFonts w:ascii="Times New Roman" w:hAnsi="Times New Roman" w:cs="Times New Roman"/>
          <w:sz w:val="24"/>
          <w:szCs w:val="24"/>
        </w:rPr>
        <w:t xml:space="preserve"> a</w:t>
      </w:r>
      <w:r w:rsidRPr="00754FFE">
        <w:rPr>
          <w:rFonts w:ascii="Times New Roman" w:hAnsi="Times New Roman" w:cs="Times New Roman"/>
          <w:sz w:val="24"/>
          <w:szCs w:val="24"/>
        </w:rPr>
        <w:t xml:space="preserve"> 97% similarity cut-off. </w:t>
      </w:r>
    </w:p>
    <w:p w14:paraId="22A410E5" w14:textId="1A5832A5" w:rsidR="00523046" w:rsidRPr="00754FFE" w:rsidRDefault="00523046" w:rsidP="00B83557">
      <w:pPr>
        <w:spacing w:after="0" w:line="480" w:lineRule="auto"/>
        <w:rPr>
          <w:rFonts w:ascii="Malgun Gothic" w:hAnsi="Malgun Gothic" w:cs="Gulim"/>
          <w:sz w:val="20"/>
          <w:szCs w:val="20"/>
        </w:rPr>
      </w:pPr>
      <w:r w:rsidRPr="00754FFE">
        <w:rPr>
          <w:rFonts w:ascii="Times New Roman" w:hAnsi="Times New Roman" w:cs="Times New Roman"/>
          <w:sz w:val="24"/>
          <w:szCs w:val="24"/>
          <w:vertAlign w:val="superscript"/>
        </w:rPr>
        <w:t>$</w:t>
      </w:r>
      <w:r w:rsidRPr="00754FFE">
        <w:rPr>
          <w:rFonts w:ascii="Times New Roman" w:hAnsi="Times New Roman" w:cs="Times New Roman"/>
          <w:sz w:val="24"/>
          <w:szCs w:val="24"/>
        </w:rPr>
        <w:t xml:space="preserve">Alpha diversity metrics were calculated </w:t>
      </w:r>
      <w:r w:rsidR="00BF321D">
        <w:rPr>
          <w:rFonts w:ascii="Times New Roman" w:hAnsi="Times New Roman" w:cs="Times New Roman"/>
          <w:sz w:val="24"/>
          <w:szCs w:val="24"/>
        </w:rPr>
        <w:t>with</w:t>
      </w:r>
      <w:r w:rsidR="00BF321D" w:rsidRPr="00754FFE">
        <w:rPr>
          <w:rFonts w:ascii="Times New Roman" w:hAnsi="Times New Roman" w:cs="Times New Roman"/>
          <w:sz w:val="24"/>
          <w:szCs w:val="24"/>
        </w:rPr>
        <w:t xml:space="preserve"> </w:t>
      </w:r>
      <w:r w:rsidRPr="00754FFE">
        <w:rPr>
          <w:rFonts w:ascii="Times New Roman" w:hAnsi="Times New Roman" w:cs="Times New Roman"/>
          <w:sz w:val="24"/>
          <w:szCs w:val="24"/>
        </w:rPr>
        <w:t>even sequencing depth (28,606 reads per sample</w:t>
      </w:r>
      <w:r w:rsidR="004E5712">
        <w:rPr>
          <w:rFonts w:ascii="Times New Roman" w:hAnsi="Times New Roman" w:cs="Times New Roman"/>
          <w:sz w:val="24"/>
          <w:szCs w:val="24"/>
        </w:rPr>
        <w:t xml:space="preserve"> were </w:t>
      </w:r>
      <w:r w:rsidR="004E5712" w:rsidRPr="00754FFE">
        <w:rPr>
          <w:rFonts w:ascii="Times New Roman" w:hAnsi="Times New Roman" w:cs="Times New Roman"/>
          <w:sz w:val="24"/>
          <w:szCs w:val="24"/>
        </w:rPr>
        <w:t>subsampled</w:t>
      </w:r>
      <w:r w:rsidRPr="00754FFE">
        <w:rPr>
          <w:rFonts w:ascii="Times New Roman" w:hAnsi="Times New Roman" w:cs="Times New Roman"/>
          <w:sz w:val="24"/>
          <w:szCs w:val="24"/>
        </w:rPr>
        <w:t>).</w:t>
      </w:r>
    </w:p>
    <w:p w14:paraId="67C1290F" w14:textId="77777777" w:rsidR="00523046" w:rsidRPr="00754FFE" w:rsidRDefault="00523046" w:rsidP="00392721">
      <w:pPr>
        <w:spacing w:after="0" w:line="48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sectPr w:rsidR="00523046" w:rsidRPr="00754FFE" w:rsidSect="00D40243">
          <w:type w:val="continuous"/>
          <w:pgSz w:w="12240" w:h="15840"/>
          <w:pgMar w:top="1701" w:right="1440" w:bottom="1440" w:left="1440" w:header="720" w:footer="720" w:gutter="0"/>
          <w:cols w:space="720"/>
          <w:docGrid w:linePitch="299"/>
        </w:sectPr>
      </w:pPr>
    </w:p>
    <w:p w14:paraId="514766CA" w14:textId="77777777" w:rsidR="00392721" w:rsidRPr="00754FFE" w:rsidRDefault="00392721" w:rsidP="003D2455">
      <w:pPr>
        <w:spacing w:after="0" w:line="48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sectPr w:rsidR="00392721" w:rsidRPr="00754FFE" w:rsidSect="00554275">
          <w:type w:val="continuous"/>
          <w:pgSz w:w="12240" w:h="15840"/>
          <w:pgMar w:top="1701" w:right="1440" w:bottom="1440" w:left="1440" w:header="720" w:footer="720" w:gutter="0"/>
          <w:lnNumType w:countBy="1" w:restart="continuous"/>
          <w:cols w:space="720"/>
          <w:docGrid w:linePitch="299"/>
        </w:sectPr>
      </w:pPr>
    </w:p>
    <w:p w14:paraId="3CE7A639" w14:textId="6349504A" w:rsidR="003D2455" w:rsidRPr="00754FFE" w:rsidRDefault="00CD54F6" w:rsidP="003D24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Supplementary</w:t>
      </w:r>
      <w:r w:rsidRPr="00754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455" w:rsidRPr="00754FF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92721" w:rsidRPr="00754FFE">
        <w:rPr>
          <w:rFonts w:ascii="Times New Roman" w:hAnsi="Times New Roman" w:cs="Times New Roman"/>
          <w:b/>
          <w:sz w:val="24"/>
          <w:szCs w:val="24"/>
        </w:rPr>
        <w:t>S3</w:t>
      </w:r>
      <w:r w:rsidR="003D2455" w:rsidRPr="00754FFE">
        <w:rPr>
          <w:rFonts w:ascii="Times New Roman" w:hAnsi="Times New Roman" w:cs="Times New Roman"/>
          <w:b/>
          <w:sz w:val="24"/>
          <w:szCs w:val="24"/>
        </w:rPr>
        <w:t>.</w:t>
      </w:r>
      <w:r w:rsidR="003D2455" w:rsidRPr="00754FFE">
        <w:rPr>
          <w:rFonts w:ascii="Times New Roman" w:hAnsi="Times New Roman" w:cs="Times New Roman"/>
          <w:sz w:val="24"/>
          <w:szCs w:val="24"/>
        </w:rPr>
        <w:t xml:space="preserve"> General features of </w:t>
      </w:r>
      <w:r w:rsidR="00BF321D">
        <w:rPr>
          <w:rFonts w:ascii="Times New Roman" w:hAnsi="Times New Roman" w:cs="Times New Roman"/>
          <w:sz w:val="24"/>
          <w:szCs w:val="24"/>
        </w:rPr>
        <w:t xml:space="preserve">the </w:t>
      </w:r>
      <w:r w:rsidR="003D2455" w:rsidRPr="00754FFE">
        <w:rPr>
          <w:rFonts w:ascii="Times New Roman" w:hAnsi="Times New Roman" w:cs="Times New Roman"/>
          <w:sz w:val="24"/>
          <w:szCs w:val="24"/>
        </w:rPr>
        <w:t>methanotrophic and methanotrophic-like contigs</w:t>
      </w:r>
      <w:r w:rsidR="00BF321D">
        <w:rPr>
          <w:rFonts w:ascii="Times New Roman" w:hAnsi="Times New Roman" w:cs="Times New Roman"/>
          <w:sz w:val="24"/>
          <w:szCs w:val="24"/>
        </w:rPr>
        <w:t>,</w:t>
      </w:r>
      <w:r w:rsidR="003D2455" w:rsidRPr="00754FFE">
        <w:rPr>
          <w:rFonts w:ascii="Times New Roman" w:hAnsi="Times New Roman" w:cs="Times New Roman"/>
          <w:sz w:val="24"/>
          <w:szCs w:val="24"/>
        </w:rPr>
        <w:t xml:space="preserve"> assembled from </w:t>
      </w:r>
      <w:r w:rsidR="00323F67">
        <w:rPr>
          <w:rFonts w:ascii="Times New Roman" w:hAnsi="Times New Roman" w:cs="Times New Roman"/>
          <w:sz w:val="24"/>
          <w:szCs w:val="24"/>
        </w:rPr>
        <w:t>the</w:t>
      </w:r>
      <w:r w:rsidR="003A27F4">
        <w:rPr>
          <w:rFonts w:ascii="Times New Roman" w:hAnsi="Times New Roman" w:cs="Times New Roman"/>
          <w:sz w:val="24"/>
          <w:szCs w:val="24"/>
        </w:rPr>
        <w:t xml:space="preserve"> enrichment</w:t>
      </w:r>
      <w:r w:rsidR="00323F67">
        <w:rPr>
          <w:rFonts w:ascii="Times New Roman" w:hAnsi="Times New Roman" w:cs="Times New Roman"/>
          <w:sz w:val="24"/>
          <w:szCs w:val="24"/>
        </w:rPr>
        <w:t xml:space="preserve"> </w:t>
      </w:r>
      <w:r w:rsidR="003D2455" w:rsidRPr="00754FFE">
        <w:rPr>
          <w:rFonts w:ascii="Times New Roman" w:hAnsi="Times New Roman" w:cs="Times New Roman"/>
          <w:sz w:val="24"/>
          <w:szCs w:val="24"/>
        </w:rPr>
        <w:t>culture</w:t>
      </w:r>
      <w:r w:rsidR="003A27F4">
        <w:rPr>
          <w:rFonts w:ascii="Times New Roman" w:hAnsi="Times New Roman" w:cs="Times New Roman"/>
          <w:sz w:val="24"/>
          <w:szCs w:val="24"/>
        </w:rPr>
        <w:t>s</w:t>
      </w:r>
      <w:r w:rsidR="003D2455" w:rsidRPr="00754FFE">
        <w:rPr>
          <w:rFonts w:ascii="Times New Roman" w:hAnsi="Times New Roman" w:cs="Times New Roman"/>
          <w:sz w:val="24"/>
          <w:szCs w:val="24"/>
        </w:rPr>
        <w:t xml:space="preserve"> and related</w:t>
      </w:r>
      <w:r w:rsidR="00323F67">
        <w:rPr>
          <w:rFonts w:ascii="Times New Roman" w:hAnsi="Times New Roman" w:cs="Times New Roman"/>
          <w:sz w:val="24"/>
          <w:szCs w:val="24"/>
        </w:rPr>
        <w:t xml:space="preserve"> </w:t>
      </w:r>
      <w:r w:rsidR="003D2455" w:rsidRPr="00754FFE">
        <w:rPr>
          <w:rFonts w:ascii="Times New Roman" w:hAnsi="Times New Roman" w:cs="Times New Roman"/>
          <w:sz w:val="24"/>
          <w:szCs w:val="24"/>
        </w:rPr>
        <w:t xml:space="preserve">strains used in this study. </w:t>
      </w:r>
      <w:bookmarkStart w:id="0" w:name="_Hlk510101269"/>
      <w:r w:rsidR="005D633D" w:rsidRPr="005D633D">
        <w:rPr>
          <w:rFonts w:ascii="Times New Roman" w:hAnsi="Times New Roman" w:cs="Times New Roman"/>
          <w:sz w:val="24"/>
          <w:szCs w:val="24"/>
        </w:rPr>
        <w:t xml:space="preserve">* indicates </w:t>
      </w:r>
      <w:bookmarkEnd w:id="0"/>
      <w:r w:rsidR="00111654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="003D2455" w:rsidRPr="00754FFE">
        <w:rPr>
          <w:rFonts w:ascii="Times New Roman" w:hAnsi="Times New Roman" w:cs="Times New Roman"/>
          <w:sz w:val="24"/>
          <w:szCs w:val="24"/>
        </w:rPr>
        <w:t>cidophilic strains.</w:t>
      </w:r>
    </w:p>
    <w:p w14:paraId="1DE09ED8" w14:textId="77777777" w:rsidR="003D2455" w:rsidRPr="00754FFE" w:rsidRDefault="003D2455" w:rsidP="003D24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5" w:type="dxa"/>
        <w:tblLayout w:type="fixed"/>
        <w:tblLook w:val="04A0" w:firstRow="1" w:lastRow="0" w:firstColumn="1" w:lastColumn="0" w:noHBand="0" w:noVBand="1"/>
      </w:tblPr>
      <w:tblGrid>
        <w:gridCol w:w="1260"/>
        <w:gridCol w:w="1111"/>
        <w:gridCol w:w="1409"/>
        <w:gridCol w:w="1296"/>
        <w:gridCol w:w="1134"/>
        <w:gridCol w:w="1170"/>
        <w:gridCol w:w="270"/>
        <w:gridCol w:w="1255"/>
        <w:gridCol w:w="1064"/>
        <w:gridCol w:w="1080"/>
        <w:gridCol w:w="1191"/>
        <w:gridCol w:w="1215"/>
      </w:tblGrid>
      <w:tr w:rsidR="003D2455" w:rsidRPr="00754FFE" w14:paraId="0840CF4D" w14:textId="77777777" w:rsidTr="00D06D3F">
        <w:trPr>
          <w:trHeight w:val="540"/>
        </w:trPr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A788B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14:paraId="572F4F8D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Parameter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0BB302" w14:textId="2EEDEEE1" w:rsidR="003D2455" w:rsidRPr="00754FFE" w:rsidRDefault="001116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Gammaproteobacteria</w:t>
            </w:r>
            <w:r w:rsidR="003D2455"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="003D2455" w:rsidRPr="00754F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Methylobacter</w:t>
            </w:r>
            <w:proofErr w:type="spellEnd"/>
            <w:r w:rsidR="003D2455"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genus)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DF24F3" w14:textId="77777777" w:rsidR="003D2455" w:rsidRPr="00754FFE" w:rsidRDefault="003D245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8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995439" w14:textId="64EE58C3" w:rsidR="003D2455" w:rsidRPr="00754FFE" w:rsidRDefault="003D2455" w:rsidP="00BD06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Alphaproteobacteria</w:t>
            </w: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754F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Methylocystis</w:t>
            </w:r>
            <w:proofErr w:type="spellEnd"/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&amp; </w:t>
            </w:r>
            <w:proofErr w:type="spellStart"/>
            <w:r w:rsidRPr="00754F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Methyloferula</w:t>
            </w:r>
            <w:proofErr w:type="spellEnd"/>
            <w:r w:rsidR="00240B45"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gen</w:t>
            </w:r>
            <w:r w:rsidR="00E43B11"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era</w:t>
            </w: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3D2455" w:rsidRPr="00754FFE" w14:paraId="497B59BD" w14:textId="77777777" w:rsidTr="00111654">
        <w:trPr>
          <w:trHeight w:val="556"/>
        </w:trPr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5D601D" w14:textId="77777777" w:rsidR="003D2455" w:rsidRPr="00754FFE" w:rsidRDefault="003D2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8617B5" w14:textId="77777777" w:rsidR="00111654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proofErr w:type="spellStart"/>
            <w:r w:rsidRPr="00754F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Methylobacter</w:t>
            </w:r>
            <w:proofErr w:type="spellEnd"/>
          </w:p>
          <w:p w14:paraId="4E3D19A4" w14:textId="0C6FA127" w:rsidR="003D2455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sp. KS41*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6DAB38" w14:textId="77777777" w:rsidR="00111654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754F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tundripaludum</w:t>
            </w:r>
            <w:proofErr w:type="spellEnd"/>
          </w:p>
          <w:p w14:paraId="190D9201" w14:textId="6AA1C0C8" w:rsidR="003D2455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SV96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0269A8" w14:textId="77777777" w:rsidR="00111654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754F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whittenburyi</w:t>
            </w:r>
            <w:proofErr w:type="spellEnd"/>
          </w:p>
          <w:p w14:paraId="38A6F9A5" w14:textId="79768612" w:rsidR="003D2455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ACM-3310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8AAED3" w14:textId="5518DB74" w:rsidR="00111654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M. luteus</w:t>
            </w:r>
          </w:p>
          <w:p w14:paraId="78C3FB24" w14:textId="45D431E3" w:rsidR="003D2455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IMV-B-3098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8689DE" w14:textId="77777777" w:rsidR="003D2455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M. marinus</w:t>
            </w: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A45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63D1CD" w14:textId="77777777" w:rsidR="003D2455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7953DC" w14:textId="77777777" w:rsidR="00111654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4F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Methylocystis</w:t>
            </w:r>
            <w:proofErr w:type="spellEnd"/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sp.</w:t>
            </w:r>
          </w:p>
          <w:p w14:paraId="1D74A29B" w14:textId="54A0ED94" w:rsidR="003D2455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KS32*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764794" w14:textId="77777777" w:rsidR="00111654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754F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bryophila</w:t>
            </w:r>
            <w:proofErr w:type="spellEnd"/>
          </w:p>
          <w:p w14:paraId="1E8ED4F9" w14:textId="6DD74B72" w:rsidR="003D2455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S285 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7D87FA" w14:textId="77777777" w:rsidR="00111654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754F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rosea</w:t>
            </w:r>
            <w:proofErr w:type="spellEnd"/>
          </w:p>
          <w:p w14:paraId="688D24EE" w14:textId="60377482" w:rsidR="003D2455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SV97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798846" w14:textId="77777777" w:rsidR="00111654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754F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parvus</w:t>
            </w:r>
            <w:proofErr w:type="spellEnd"/>
          </w:p>
          <w:p w14:paraId="09CE9B73" w14:textId="56216701" w:rsidR="003D2455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OBBP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BD1AD5" w14:textId="77777777" w:rsidR="00111654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proofErr w:type="spellStart"/>
            <w:r w:rsidRPr="00754F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Methyloferula</w:t>
            </w:r>
            <w:proofErr w:type="spellEnd"/>
          </w:p>
          <w:p w14:paraId="562E4E36" w14:textId="563FFC41" w:rsidR="003D2455" w:rsidRPr="00754FFE" w:rsidRDefault="003D2455" w:rsidP="00111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D06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stellata</w:t>
            </w:r>
            <w:proofErr w:type="spellEnd"/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AR4*</w:t>
            </w:r>
          </w:p>
        </w:tc>
      </w:tr>
      <w:tr w:rsidR="003D2455" w:rsidRPr="00754FFE" w14:paraId="21906EAF" w14:textId="77777777" w:rsidTr="003D2455">
        <w:trPr>
          <w:trHeight w:val="555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2E859F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Original source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C8F60F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Acidic soil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947A5D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Artic wetland soil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26FE41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Sediment wetlands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F4CD7E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Sewage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7C385C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Marine water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8AF63D" w14:textId="77777777" w:rsidR="003D2455" w:rsidRPr="00754FFE" w:rsidRDefault="003D245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1573AD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Acidic soil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0394E2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Sphagnum peat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735E31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Arctic wetland soil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F17190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Soil and fresh water sediments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9E9395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Acidic forest soils</w:t>
            </w:r>
          </w:p>
        </w:tc>
      </w:tr>
      <w:tr w:rsidR="003D2455" w:rsidRPr="00754FFE" w14:paraId="66ABD94C" w14:textId="77777777" w:rsidTr="003D2455">
        <w:trPr>
          <w:trHeight w:val="375"/>
        </w:trPr>
        <w:tc>
          <w:tcPr>
            <w:tcW w:w="1260" w:type="dxa"/>
            <w:vAlign w:val="center"/>
            <w:hideMark/>
          </w:tcPr>
          <w:p w14:paraId="3CF2E1DA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Accession number</w:t>
            </w:r>
          </w:p>
        </w:tc>
        <w:tc>
          <w:tcPr>
            <w:tcW w:w="1111" w:type="dxa"/>
            <w:vAlign w:val="center"/>
            <w:hideMark/>
          </w:tcPr>
          <w:p w14:paraId="4CCF3D77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PHSP00000000</w:t>
            </w:r>
          </w:p>
        </w:tc>
        <w:tc>
          <w:tcPr>
            <w:tcW w:w="1409" w:type="dxa"/>
            <w:vAlign w:val="center"/>
            <w:hideMark/>
          </w:tcPr>
          <w:p w14:paraId="4575CCD5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AEGW00000000</w:t>
            </w:r>
          </w:p>
        </w:tc>
        <w:tc>
          <w:tcPr>
            <w:tcW w:w="1296" w:type="dxa"/>
            <w:vAlign w:val="center"/>
            <w:hideMark/>
          </w:tcPr>
          <w:p w14:paraId="533FCF9C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JQNS00000000</w:t>
            </w:r>
          </w:p>
        </w:tc>
        <w:tc>
          <w:tcPr>
            <w:tcW w:w="1134" w:type="dxa"/>
            <w:vAlign w:val="center"/>
            <w:hideMark/>
          </w:tcPr>
          <w:p w14:paraId="520C7168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ATYJ00000000</w:t>
            </w:r>
          </w:p>
        </w:tc>
        <w:tc>
          <w:tcPr>
            <w:tcW w:w="1170" w:type="dxa"/>
            <w:vAlign w:val="center"/>
            <w:hideMark/>
          </w:tcPr>
          <w:p w14:paraId="42678589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ARVS00000000</w:t>
            </w:r>
          </w:p>
        </w:tc>
        <w:tc>
          <w:tcPr>
            <w:tcW w:w="270" w:type="dxa"/>
            <w:vAlign w:val="center"/>
            <w:hideMark/>
          </w:tcPr>
          <w:p w14:paraId="187AC20C" w14:textId="77777777" w:rsidR="003D2455" w:rsidRPr="00754FFE" w:rsidRDefault="003D245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  <w:hideMark/>
          </w:tcPr>
          <w:p w14:paraId="387301B4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PHSQ00000000</w:t>
            </w:r>
          </w:p>
        </w:tc>
        <w:tc>
          <w:tcPr>
            <w:tcW w:w="1064" w:type="dxa"/>
            <w:vAlign w:val="center"/>
            <w:hideMark/>
          </w:tcPr>
          <w:p w14:paraId="2F152AD6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NZ_CP019948</w:t>
            </w:r>
          </w:p>
        </w:tc>
        <w:tc>
          <w:tcPr>
            <w:tcW w:w="1080" w:type="dxa"/>
            <w:vAlign w:val="center"/>
            <w:hideMark/>
          </w:tcPr>
          <w:p w14:paraId="5A19226A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ARCT0000000</w:t>
            </w:r>
          </w:p>
        </w:tc>
        <w:tc>
          <w:tcPr>
            <w:tcW w:w="1191" w:type="dxa"/>
            <w:vAlign w:val="center"/>
            <w:hideMark/>
          </w:tcPr>
          <w:p w14:paraId="114A3213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AJTV00000000</w:t>
            </w:r>
          </w:p>
        </w:tc>
        <w:tc>
          <w:tcPr>
            <w:tcW w:w="1212" w:type="dxa"/>
            <w:vAlign w:val="center"/>
            <w:hideMark/>
          </w:tcPr>
          <w:p w14:paraId="666FB627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ARWA00000000</w:t>
            </w:r>
          </w:p>
        </w:tc>
      </w:tr>
      <w:tr w:rsidR="003D2455" w:rsidRPr="00754FFE" w14:paraId="5099C6C1" w14:textId="77777777" w:rsidTr="003D2455">
        <w:trPr>
          <w:trHeight w:val="555"/>
        </w:trPr>
        <w:tc>
          <w:tcPr>
            <w:tcW w:w="1260" w:type="dxa"/>
            <w:vAlign w:val="center"/>
            <w:hideMark/>
          </w:tcPr>
          <w:p w14:paraId="69BC1E5C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Total bases (Mb)</w:t>
            </w:r>
          </w:p>
        </w:tc>
        <w:tc>
          <w:tcPr>
            <w:tcW w:w="1111" w:type="dxa"/>
            <w:vAlign w:val="center"/>
            <w:hideMark/>
          </w:tcPr>
          <w:p w14:paraId="70E5A2E2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4.74</w:t>
            </w:r>
          </w:p>
        </w:tc>
        <w:tc>
          <w:tcPr>
            <w:tcW w:w="1409" w:type="dxa"/>
            <w:vAlign w:val="center"/>
            <w:hideMark/>
          </w:tcPr>
          <w:p w14:paraId="34A6B4C9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4.85</w:t>
            </w:r>
          </w:p>
        </w:tc>
        <w:tc>
          <w:tcPr>
            <w:tcW w:w="1296" w:type="dxa"/>
            <w:vAlign w:val="center"/>
            <w:hideMark/>
          </w:tcPr>
          <w:p w14:paraId="7A724015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5.44</w:t>
            </w:r>
          </w:p>
        </w:tc>
        <w:tc>
          <w:tcPr>
            <w:tcW w:w="1134" w:type="dxa"/>
            <w:vAlign w:val="center"/>
            <w:hideMark/>
          </w:tcPr>
          <w:p w14:paraId="0C116742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5.03</w:t>
            </w:r>
          </w:p>
        </w:tc>
        <w:tc>
          <w:tcPr>
            <w:tcW w:w="1170" w:type="dxa"/>
            <w:vAlign w:val="center"/>
            <w:hideMark/>
          </w:tcPr>
          <w:p w14:paraId="12B30BBF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4.99</w:t>
            </w:r>
          </w:p>
        </w:tc>
        <w:tc>
          <w:tcPr>
            <w:tcW w:w="270" w:type="dxa"/>
            <w:vAlign w:val="center"/>
            <w:hideMark/>
          </w:tcPr>
          <w:p w14:paraId="79D65DC6" w14:textId="77777777" w:rsidR="003D2455" w:rsidRPr="00754FFE" w:rsidRDefault="003D245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  <w:hideMark/>
          </w:tcPr>
          <w:p w14:paraId="2FD86865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3.35</w:t>
            </w:r>
          </w:p>
        </w:tc>
        <w:tc>
          <w:tcPr>
            <w:tcW w:w="1064" w:type="dxa"/>
            <w:vAlign w:val="center"/>
            <w:hideMark/>
          </w:tcPr>
          <w:p w14:paraId="1C29C116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4.71</w:t>
            </w:r>
          </w:p>
        </w:tc>
        <w:tc>
          <w:tcPr>
            <w:tcW w:w="1080" w:type="dxa"/>
            <w:vAlign w:val="center"/>
            <w:hideMark/>
          </w:tcPr>
          <w:p w14:paraId="08E12D08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3.91</w:t>
            </w:r>
          </w:p>
        </w:tc>
        <w:tc>
          <w:tcPr>
            <w:tcW w:w="1191" w:type="dxa"/>
            <w:vAlign w:val="center"/>
            <w:hideMark/>
          </w:tcPr>
          <w:p w14:paraId="41893CAF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4.48</w:t>
            </w:r>
          </w:p>
        </w:tc>
        <w:tc>
          <w:tcPr>
            <w:tcW w:w="1212" w:type="dxa"/>
            <w:vAlign w:val="center"/>
            <w:hideMark/>
          </w:tcPr>
          <w:p w14:paraId="48E9E8EE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4.24</w:t>
            </w:r>
          </w:p>
        </w:tc>
      </w:tr>
      <w:tr w:rsidR="003D2455" w:rsidRPr="00754FFE" w14:paraId="0F2E475E" w14:textId="77777777" w:rsidTr="003D2455">
        <w:trPr>
          <w:trHeight w:val="375"/>
        </w:trPr>
        <w:tc>
          <w:tcPr>
            <w:tcW w:w="1260" w:type="dxa"/>
            <w:vAlign w:val="center"/>
            <w:hideMark/>
          </w:tcPr>
          <w:p w14:paraId="366AC137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No. of scaffolds</w:t>
            </w:r>
          </w:p>
        </w:tc>
        <w:tc>
          <w:tcPr>
            <w:tcW w:w="1111" w:type="dxa"/>
            <w:vAlign w:val="center"/>
            <w:hideMark/>
          </w:tcPr>
          <w:p w14:paraId="3883326C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09" w:type="dxa"/>
            <w:vAlign w:val="center"/>
            <w:hideMark/>
          </w:tcPr>
          <w:p w14:paraId="1C32321A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96" w:type="dxa"/>
            <w:vAlign w:val="center"/>
            <w:hideMark/>
          </w:tcPr>
          <w:p w14:paraId="4CB8D341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14:paraId="698D4D36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0" w:type="dxa"/>
            <w:vAlign w:val="center"/>
            <w:hideMark/>
          </w:tcPr>
          <w:p w14:paraId="6CD80055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70" w:type="dxa"/>
            <w:vAlign w:val="center"/>
            <w:hideMark/>
          </w:tcPr>
          <w:p w14:paraId="3591B66A" w14:textId="77777777" w:rsidR="003D2455" w:rsidRPr="00754FFE" w:rsidRDefault="003D245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  <w:hideMark/>
          </w:tcPr>
          <w:p w14:paraId="320FCBF6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64" w:type="dxa"/>
            <w:vAlign w:val="center"/>
            <w:hideMark/>
          </w:tcPr>
          <w:p w14:paraId="231072D6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  <w:hideMark/>
          </w:tcPr>
          <w:p w14:paraId="491246BF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1" w:type="dxa"/>
            <w:vAlign w:val="center"/>
            <w:hideMark/>
          </w:tcPr>
          <w:p w14:paraId="5D30E068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1212" w:type="dxa"/>
            <w:vAlign w:val="center"/>
            <w:hideMark/>
          </w:tcPr>
          <w:p w14:paraId="371DD983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3D2455" w:rsidRPr="00754FFE" w14:paraId="47989476" w14:textId="77777777" w:rsidTr="003D2455">
        <w:trPr>
          <w:trHeight w:val="315"/>
        </w:trPr>
        <w:tc>
          <w:tcPr>
            <w:tcW w:w="1260" w:type="dxa"/>
            <w:vAlign w:val="center"/>
            <w:hideMark/>
          </w:tcPr>
          <w:p w14:paraId="7D748D47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CDSs</w:t>
            </w:r>
          </w:p>
        </w:tc>
        <w:tc>
          <w:tcPr>
            <w:tcW w:w="1111" w:type="dxa"/>
            <w:vAlign w:val="center"/>
            <w:hideMark/>
          </w:tcPr>
          <w:p w14:paraId="7B5CDC78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4,226</w:t>
            </w:r>
          </w:p>
        </w:tc>
        <w:tc>
          <w:tcPr>
            <w:tcW w:w="1409" w:type="dxa"/>
            <w:vAlign w:val="center"/>
            <w:hideMark/>
          </w:tcPr>
          <w:p w14:paraId="3482D537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4,608</w:t>
            </w:r>
          </w:p>
        </w:tc>
        <w:tc>
          <w:tcPr>
            <w:tcW w:w="1296" w:type="dxa"/>
            <w:vAlign w:val="center"/>
            <w:hideMark/>
          </w:tcPr>
          <w:p w14:paraId="1A3A6EEE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4,949</w:t>
            </w:r>
          </w:p>
        </w:tc>
        <w:tc>
          <w:tcPr>
            <w:tcW w:w="1134" w:type="dxa"/>
            <w:vAlign w:val="center"/>
            <w:hideMark/>
          </w:tcPr>
          <w:p w14:paraId="4EBE7308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4,595</w:t>
            </w:r>
          </w:p>
        </w:tc>
        <w:tc>
          <w:tcPr>
            <w:tcW w:w="1170" w:type="dxa"/>
            <w:vAlign w:val="center"/>
            <w:hideMark/>
          </w:tcPr>
          <w:p w14:paraId="7B4FDA30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4,523</w:t>
            </w:r>
          </w:p>
        </w:tc>
        <w:tc>
          <w:tcPr>
            <w:tcW w:w="270" w:type="dxa"/>
            <w:vAlign w:val="center"/>
            <w:hideMark/>
          </w:tcPr>
          <w:p w14:paraId="41724CF0" w14:textId="77777777" w:rsidR="003D2455" w:rsidRPr="00754FFE" w:rsidRDefault="003D245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  <w:hideMark/>
          </w:tcPr>
          <w:p w14:paraId="58FE636F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3,104</w:t>
            </w:r>
          </w:p>
        </w:tc>
        <w:tc>
          <w:tcPr>
            <w:tcW w:w="1064" w:type="dxa"/>
            <w:vAlign w:val="center"/>
            <w:hideMark/>
          </w:tcPr>
          <w:p w14:paraId="323987C5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4,268</w:t>
            </w:r>
          </w:p>
        </w:tc>
        <w:tc>
          <w:tcPr>
            <w:tcW w:w="1080" w:type="dxa"/>
            <w:vAlign w:val="center"/>
            <w:hideMark/>
          </w:tcPr>
          <w:p w14:paraId="641A605D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3,709</w:t>
            </w:r>
          </w:p>
        </w:tc>
        <w:tc>
          <w:tcPr>
            <w:tcW w:w="1191" w:type="dxa"/>
            <w:vAlign w:val="center"/>
            <w:hideMark/>
          </w:tcPr>
          <w:p w14:paraId="62EFBAC8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4,329</w:t>
            </w:r>
          </w:p>
        </w:tc>
        <w:tc>
          <w:tcPr>
            <w:tcW w:w="1212" w:type="dxa"/>
            <w:vAlign w:val="center"/>
            <w:hideMark/>
          </w:tcPr>
          <w:p w14:paraId="21DD732F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3,877</w:t>
            </w:r>
          </w:p>
        </w:tc>
      </w:tr>
      <w:tr w:rsidR="003D2455" w:rsidRPr="00754FFE" w14:paraId="47A784CB" w14:textId="77777777" w:rsidTr="003D2455">
        <w:trPr>
          <w:trHeight w:val="315"/>
        </w:trPr>
        <w:tc>
          <w:tcPr>
            <w:tcW w:w="1260" w:type="dxa"/>
            <w:vAlign w:val="center"/>
            <w:hideMark/>
          </w:tcPr>
          <w:p w14:paraId="43844A29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GC%</w:t>
            </w:r>
          </w:p>
        </w:tc>
        <w:tc>
          <w:tcPr>
            <w:tcW w:w="1111" w:type="dxa"/>
            <w:vAlign w:val="center"/>
            <w:hideMark/>
          </w:tcPr>
          <w:p w14:paraId="451DD1D3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47.8</w:t>
            </w:r>
          </w:p>
        </w:tc>
        <w:tc>
          <w:tcPr>
            <w:tcW w:w="1409" w:type="dxa"/>
            <w:vAlign w:val="center"/>
            <w:hideMark/>
          </w:tcPr>
          <w:p w14:paraId="240757B5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49.49</w:t>
            </w:r>
          </w:p>
        </w:tc>
        <w:tc>
          <w:tcPr>
            <w:tcW w:w="1296" w:type="dxa"/>
            <w:vAlign w:val="center"/>
            <w:hideMark/>
          </w:tcPr>
          <w:p w14:paraId="48BC7C3E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51.98</w:t>
            </w:r>
          </w:p>
        </w:tc>
        <w:tc>
          <w:tcPr>
            <w:tcW w:w="1134" w:type="dxa"/>
            <w:vAlign w:val="center"/>
            <w:hideMark/>
          </w:tcPr>
          <w:p w14:paraId="01F726ED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51.11</w:t>
            </w:r>
          </w:p>
        </w:tc>
        <w:tc>
          <w:tcPr>
            <w:tcW w:w="1170" w:type="dxa"/>
            <w:vAlign w:val="center"/>
            <w:hideMark/>
          </w:tcPr>
          <w:p w14:paraId="019D01C2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52.66</w:t>
            </w:r>
          </w:p>
        </w:tc>
        <w:tc>
          <w:tcPr>
            <w:tcW w:w="270" w:type="dxa"/>
            <w:vAlign w:val="center"/>
            <w:hideMark/>
          </w:tcPr>
          <w:p w14:paraId="7F5910AB" w14:textId="77777777" w:rsidR="003D2455" w:rsidRPr="00754FFE" w:rsidRDefault="003D245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  <w:hideMark/>
          </w:tcPr>
          <w:p w14:paraId="16E172DE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61.27</w:t>
            </w:r>
          </w:p>
        </w:tc>
        <w:tc>
          <w:tcPr>
            <w:tcW w:w="1064" w:type="dxa"/>
            <w:vAlign w:val="center"/>
            <w:hideMark/>
          </w:tcPr>
          <w:p w14:paraId="620073F5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63.15</w:t>
            </w:r>
          </w:p>
        </w:tc>
        <w:tc>
          <w:tcPr>
            <w:tcW w:w="1080" w:type="dxa"/>
            <w:vAlign w:val="center"/>
            <w:hideMark/>
          </w:tcPr>
          <w:p w14:paraId="466D5884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62.5</w:t>
            </w:r>
          </w:p>
        </w:tc>
        <w:tc>
          <w:tcPr>
            <w:tcW w:w="1191" w:type="dxa"/>
            <w:vAlign w:val="center"/>
            <w:hideMark/>
          </w:tcPr>
          <w:p w14:paraId="6BE9A9F9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63.35</w:t>
            </w:r>
          </w:p>
        </w:tc>
        <w:tc>
          <w:tcPr>
            <w:tcW w:w="1212" w:type="dxa"/>
            <w:vAlign w:val="center"/>
            <w:hideMark/>
          </w:tcPr>
          <w:p w14:paraId="7E2AB67B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59.54</w:t>
            </w:r>
          </w:p>
        </w:tc>
      </w:tr>
      <w:tr w:rsidR="003D2455" w:rsidRPr="00754FFE" w14:paraId="5DADA3E2" w14:textId="77777777" w:rsidTr="004709C4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E402F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CRISPRs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0F5C8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(4, 91, 63)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1E806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(4, 4, 46, 3, 32)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F28D7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(9, 5, 4, 91, 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E80EC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(12)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495C8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(38,26)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2EE66" w14:textId="77777777" w:rsidR="003D2455" w:rsidRPr="00754FFE" w:rsidRDefault="003D245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0A99A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75E2D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4A709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8D112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(4,4, 12,7, 8, 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9805A" w14:textId="77777777" w:rsidR="003D2455" w:rsidRPr="00754FFE" w:rsidRDefault="003D2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54F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709C4" w:rsidRPr="00754FFE" w14:paraId="1B52800D" w14:textId="77777777" w:rsidTr="004709C4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6E6E" w14:textId="115F42DC" w:rsidR="004709C4" w:rsidRPr="00754FFE" w:rsidRDefault="00470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709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pmo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C</w:t>
            </w:r>
            <w:r w:rsidRPr="004709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operon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A3518" w14:textId="1BFC71C7" w:rsidR="004709C4" w:rsidRPr="00754FFE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3D056" w14:textId="3EA5911F" w:rsidR="004709C4" w:rsidRPr="00754FFE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C14F5" w14:textId="70BD2415" w:rsidR="004709C4" w:rsidRPr="00754FFE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CF12B" w14:textId="231E20F5" w:rsidR="004709C4" w:rsidRPr="00754FFE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CC342" w14:textId="55E31D10" w:rsidR="004709C4" w:rsidRPr="00754FFE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B7D23" w14:textId="77777777" w:rsidR="004709C4" w:rsidRPr="00754FFE" w:rsidRDefault="004709C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C9076" w14:textId="7D1B3A49" w:rsidR="004709C4" w:rsidRPr="00754FFE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EFC86" w14:textId="4E602353" w:rsidR="004709C4" w:rsidRPr="00754FFE" w:rsidRDefault="0001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A6BAE" w14:textId="10C3555E" w:rsidR="004709C4" w:rsidRPr="00754FFE" w:rsidRDefault="00C23F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1EB99" w14:textId="3987046F" w:rsidR="004709C4" w:rsidRPr="00754FFE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09F2" w14:textId="53A43572" w:rsidR="004709C4" w:rsidRPr="00754FFE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Absent</w:t>
            </w:r>
          </w:p>
        </w:tc>
      </w:tr>
      <w:tr w:rsidR="004709C4" w:rsidRPr="00754FFE" w14:paraId="2E48DAEB" w14:textId="77777777" w:rsidTr="004709C4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6B20D" w14:textId="080EF406" w:rsidR="004709C4" w:rsidRPr="00754FFE" w:rsidRDefault="00470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sMMO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-encoding operon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96CD2" w14:textId="3FBD57C6" w:rsidR="004709C4" w:rsidRPr="00754FFE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Absent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094CC" w14:textId="65B5BAA3" w:rsidR="004709C4" w:rsidRPr="00754FFE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Absent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92E26" w14:textId="696B8242" w:rsidR="004709C4" w:rsidRPr="00754FFE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Absent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520D" w14:textId="065C7CC4" w:rsidR="004709C4" w:rsidRPr="00754FFE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Absent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4AC4A" w14:textId="6BE5386A" w:rsidR="004709C4" w:rsidRPr="00754FFE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Absent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27E7A" w14:textId="77777777" w:rsidR="004709C4" w:rsidRPr="00754FFE" w:rsidRDefault="004709C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B083C" w14:textId="6EFD17FC" w:rsidR="004709C4" w:rsidRPr="00754FFE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Absent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78738" w14:textId="7113041D" w:rsidR="004709C4" w:rsidRPr="00754FFE" w:rsidRDefault="0001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B2344" w14:textId="35B49E36" w:rsidR="004709C4" w:rsidRPr="00754FFE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Absent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4E32F" w14:textId="72C797CD" w:rsidR="004709C4" w:rsidRPr="00754FFE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Absent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C6919" w14:textId="6D2652A9" w:rsidR="004709C4" w:rsidRPr="00754FFE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4709C4" w:rsidRPr="00754FFE" w14:paraId="1DB919FA" w14:textId="77777777" w:rsidTr="004709C4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E7951" w14:textId="534DBB7C" w:rsidR="004709C4" w:rsidRDefault="004709C4" w:rsidP="00BD06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709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  <w:t>pxmABC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BD0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peron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0F4BE" w14:textId="4380014E" w:rsidR="004709C4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9D67F" w14:textId="20BEF3FD" w:rsidR="004709C4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685D3" w14:textId="468F3701" w:rsidR="004709C4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8D8A0" w14:textId="252B2952" w:rsidR="004709C4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B5E52" w14:textId="36D7CB4F" w:rsidR="004709C4" w:rsidRDefault="0001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E54B7" w14:textId="77777777" w:rsidR="004709C4" w:rsidRPr="00754FFE" w:rsidRDefault="004709C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4E419" w14:textId="3B8D67F7" w:rsidR="004709C4" w:rsidRDefault="00C76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Absent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F510C" w14:textId="5006F830" w:rsidR="004709C4" w:rsidRDefault="0001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51B83" w14:textId="6E336F3D" w:rsidR="004709C4" w:rsidRDefault="00C23F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D6ED9" w14:textId="308F4CF2" w:rsidR="004709C4" w:rsidRDefault="00C76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Absent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230DB" w14:textId="40CCBFEF" w:rsidR="004709C4" w:rsidRDefault="00C76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Absent</w:t>
            </w:r>
          </w:p>
        </w:tc>
      </w:tr>
      <w:tr w:rsidR="004709C4" w:rsidRPr="00754FFE" w14:paraId="44F538A0" w14:textId="77777777" w:rsidTr="004709C4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56CE9" w14:textId="18FCC180" w:rsidR="004709C4" w:rsidRPr="004709C4" w:rsidRDefault="00470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Serine pathway genes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FE0B8" w14:textId="1932CC2D" w:rsidR="004709C4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Incomplete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C9D8E" w14:textId="73F202E5" w:rsidR="004709C4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Incomplete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52419" w14:textId="5AF955E6" w:rsidR="004709C4" w:rsidRDefault="0001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Incomplete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6843D" w14:textId="24BC0F52" w:rsidR="004709C4" w:rsidRDefault="0001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Incomplete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D1A2" w14:textId="0377B064" w:rsidR="004709C4" w:rsidRDefault="0001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Incomplete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5F38A" w14:textId="77777777" w:rsidR="004709C4" w:rsidRPr="00754FFE" w:rsidRDefault="004709C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CDE1B" w14:textId="6F96A176" w:rsidR="004709C4" w:rsidRDefault="00C76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Present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19E02" w14:textId="5593F34D" w:rsidR="004709C4" w:rsidRDefault="0001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Present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7714C" w14:textId="29E094A0" w:rsidR="004709C4" w:rsidRDefault="00C23F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Present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176C" w14:textId="34135479" w:rsidR="004709C4" w:rsidRDefault="00C76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Present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6784" w14:textId="28614C75" w:rsidR="004709C4" w:rsidRDefault="00C76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Present</w:t>
            </w:r>
          </w:p>
        </w:tc>
      </w:tr>
      <w:tr w:rsidR="004709C4" w:rsidRPr="00754FFE" w14:paraId="66033AD9" w14:textId="77777777" w:rsidTr="00D06D3F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F78525" w14:textId="6CC9B159" w:rsidR="004709C4" w:rsidRDefault="00470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RuMP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pathway genes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BBBB39" w14:textId="51965A0A" w:rsidR="004709C4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Present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0A714B" w14:textId="60B60D07" w:rsidR="004709C4" w:rsidRDefault="00470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Present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A92030" w14:textId="1E78DA70" w:rsidR="004709C4" w:rsidRDefault="0001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Present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44B863" w14:textId="798227DF" w:rsidR="004709C4" w:rsidRDefault="0001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Present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629DD5" w14:textId="70CC69C6" w:rsidR="004709C4" w:rsidRDefault="0001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Present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4DD590" w14:textId="77777777" w:rsidR="004709C4" w:rsidRPr="00754FFE" w:rsidRDefault="004709C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06BF58" w14:textId="34FE8A99" w:rsidR="004709C4" w:rsidRDefault="00C76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Absent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E75821" w14:textId="631C5AAE" w:rsidR="004709C4" w:rsidRDefault="0001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Absent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E2CB691" w14:textId="7317AC21" w:rsidR="004709C4" w:rsidRDefault="00C23F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Absent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64A495" w14:textId="1CC43DAC" w:rsidR="004709C4" w:rsidRDefault="00C76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Absent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0A9BAE" w14:textId="7BB49778" w:rsidR="00C76F57" w:rsidRDefault="00C76F57" w:rsidP="00C76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Absent</w:t>
            </w:r>
          </w:p>
        </w:tc>
      </w:tr>
    </w:tbl>
    <w:p w14:paraId="6974EEDD" w14:textId="77777777" w:rsidR="003D2455" w:rsidRPr="00754FFE" w:rsidRDefault="003D2455" w:rsidP="003D2455">
      <w:pPr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sectPr w:rsidR="003D2455" w:rsidRPr="00754FFE" w:rsidSect="00F73218">
          <w:type w:val="nextPage"/>
          <w:pgSz w:w="15840" w:h="12240" w:orient="landscape"/>
          <w:pgMar w:top="1440" w:right="1701" w:bottom="1440" w:left="1440" w:header="720" w:footer="720" w:gutter="0"/>
          <w:cols w:space="720"/>
          <w:docGrid w:linePitch="299"/>
        </w:sectPr>
      </w:pPr>
    </w:p>
    <w:p w14:paraId="5360494B" w14:textId="77777777" w:rsidR="00554275" w:rsidRPr="00754FFE" w:rsidRDefault="00554275" w:rsidP="003D2455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sectPr w:rsidR="00554275" w:rsidRPr="00754FFE" w:rsidSect="00F73218">
          <w:pgSz w:w="12240" w:h="15840"/>
          <w:pgMar w:top="1701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45FC855A" w14:textId="61E55ACE" w:rsidR="003D2455" w:rsidRPr="00754FFE" w:rsidRDefault="00CD54F6" w:rsidP="003D2455">
      <w:pPr>
        <w:spacing w:after="0" w:line="48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D54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Supplementary</w:t>
      </w:r>
      <w:r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3D2455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Table </w:t>
      </w:r>
      <w:r w:rsidR="00392721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S4</w:t>
      </w:r>
      <w:r w:rsidR="003D2455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Central </w:t>
      </w:r>
      <w:r w:rsidR="00301267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metabolic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pathways.</w:t>
      </w:r>
    </w:p>
    <w:p w14:paraId="0394AB36" w14:textId="7314F6F9" w:rsidR="003D2455" w:rsidRPr="00754FFE" w:rsidRDefault="00CD54F6" w:rsidP="003D2455">
      <w:pPr>
        <w:spacing w:after="0" w:line="48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D54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Supplementary</w:t>
      </w:r>
      <w:r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3D2455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Table </w:t>
      </w:r>
      <w:r w:rsidR="00392721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S5</w:t>
      </w:r>
      <w:r w:rsidR="003D2455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bookmarkStart w:id="1" w:name="OLE_LINK20"/>
      <w:bookmarkStart w:id="2" w:name="OLE_LINK21"/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</w:t>
      </w:r>
      <w:r w:rsidR="00E43B11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omparative analysis of </w:t>
      </w:r>
      <w:r w:rsidR="00323F6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the </w:t>
      </w:r>
      <w:r w:rsidR="00E43B11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COGs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of </w:t>
      </w:r>
      <w:bookmarkEnd w:id="1"/>
      <w:bookmarkEnd w:id="2"/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KS32 </w:t>
      </w:r>
      <w:r w:rsidR="00323F6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and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B83557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reference</w:t>
      </w:r>
      <w:r w:rsidR="00FE1DD3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species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14:paraId="7978DE1A" w14:textId="0653A12D" w:rsidR="003D2455" w:rsidRPr="00754FFE" w:rsidRDefault="00CD54F6" w:rsidP="003D2455">
      <w:pPr>
        <w:spacing w:after="0" w:line="48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D54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Supplementary</w:t>
      </w:r>
      <w:r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3D2455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Table </w:t>
      </w:r>
      <w:r w:rsidR="00392721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S6</w:t>
      </w:r>
      <w:r w:rsidR="003D2455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="00E43B11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Comparative analysis of </w:t>
      </w:r>
      <w:r w:rsidR="00323F6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the </w:t>
      </w:r>
      <w:r w:rsidR="00E43B11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COGs of 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KS34 and </w:t>
      </w:r>
      <w:r w:rsidR="00FE1DD3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reference species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14:paraId="2CED8116" w14:textId="3AD3C39B" w:rsidR="003D2455" w:rsidRPr="00754FFE" w:rsidRDefault="00CD54F6" w:rsidP="003D2455">
      <w:pPr>
        <w:spacing w:after="0" w:line="48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D54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Supplementary</w:t>
      </w:r>
      <w:r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3D2455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Table </w:t>
      </w:r>
      <w:r w:rsidR="00392721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S7</w:t>
      </w:r>
      <w:r w:rsidR="003D2455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="00E43B11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Genes involved in</w:t>
      </w:r>
      <w:r w:rsidR="00E43B11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E43B11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acid adaptation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14:paraId="2E882D5E" w14:textId="4F13E17F" w:rsidR="003D2455" w:rsidRPr="00754FFE" w:rsidRDefault="00CD54F6" w:rsidP="003D2455">
      <w:pPr>
        <w:spacing w:after="0" w:line="48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D54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Supplementary</w:t>
      </w:r>
      <w:r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3D2455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Table </w:t>
      </w:r>
      <w:r w:rsidR="00392721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S8</w:t>
      </w:r>
      <w:r w:rsidR="003D2455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CRISPRs loci and </w:t>
      </w:r>
      <w:r w:rsidR="00323F6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the 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CRISPR-</w:t>
      </w:r>
      <w:r w:rsidR="00BD06DF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as gene of KS42.</w:t>
      </w:r>
    </w:p>
    <w:p w14:paraId="19351C9A" w14:textId="5A1ABEB6" w:rsidR="003D2455" w:rsidRPr="00754FFE" w:rsidRDefault="003D2455" w:rsidP="003D2455">
      <w:pPr>
        <w:spacing w:after="0" w:line="48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bookmarkStart w:id="3" w:name="_GoBack"/>
      <w:bookmarkEnd w:id="3"/>
    </w:p>
    <w:p w14:paraId="36FDFE05" w14:textId="36A0708B" w:rsidR="00E03A84" w:rsidRPr="00754FFE" w:rsidRDefault="00CD54F6" w:rsidP="003D2455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</w:rPr>
      </w:pPr>
      <w:r w:rsidRPr="00CD54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Supplementary</w:t>
      </w:r>
      <w:r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 xml:space="preserve"> </w:t>
      </w:r>
      <w:r w:rsidR="003D2455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 xml:space="preserve">Figure S1. </w:t>
      </w:r>
      <w:r w:rsidR="00E03A84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Methane oxidation activities of </w:t>
      </w:r>
      <w:r w:rsidR="00323F67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the </w:t>
      </w:r>
      <w:r w:rsidR="00E03A84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sub</w:t>
      </w:r>
      <w:r w:rsidR="005D32FE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sample</w:t>
      </w:r>
      <w:r w:rsidR="00722115">
        <w:rPr>
          <w:rFonts w:ascii="Times New Roman" w:hAnsi="Times New Roman" w:cs="Times New Roman"/>
          <w:bCs/>
          <w:color w:val="0D0D0D" w:themeColor="text1" w:themeTint="F2"/>
          <w:sz w:val="24"/>
        </w:rPr>
        <w:t>s</w:t>
      </w:r>
      <w:r w:rsidR="00E03A84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</w:t>
      </w:r>
      <w:r w:rsidR="00111654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of </w:t>
      </w:r>
      <w:r w:rsidR="00323F67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the </w:t>
      </w:r>
      <w:r w:rsidR="00E43B11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cultures</w:t>
      </w:r>
      <w:r w:rsidR="00580D10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</w:t>
      </w:r>
      <w:r w:rsidR="00E43B11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enriched at </w:t>
      </w:r>
      <w:r w:rsidR="00580D10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pH </w:t>
      </w:r>
      <w:r w:rsidR="00E03A84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4</w:t>
      </w:r>
      <w:r w:rsidR="00580D10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and pH </w:t>
      </w:r>
      <w:r w:rsidR="00E03A84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3</w:t>
      </w:r>
      <w:r w:rsidR="00580D10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.</w:t>
      </w:r>
      <w:r w:rsidR="00855AC2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</w:t>
      </w:r>
      <w:bookmarkStart w:id="4" w:name="OLE_LINK3"/>
      <w:bookmarkStart w:id="5" w:name="OLE_LINK4"/>
      <w:r w:rsidR="005A1AE8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T</w:t>
      </w:r>
      <w:r w:rsidR="00855AC2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he </w:t>
      </w:r>
      <w:r w:rsidR="00E03A84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subsamples of </w:t>
      </w:r>
      <w:r w:rsidR="002D3D41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the </w:t>
      </w:r>
      <w:r w:rsidR="00F74BC3" w:rsidRPr="00F74BC3">
        <w:rPr>
          <w:rFonts w:ascii="Times New Roman" w:hAnsi="Times New Roman" w:cs="Times New Roman"/>
          <w:bCs/>
          <w:color w:val="0D0D0D" w:themeColor="text1" w:themeTint="F2"/>
          <w:sz w:val="24"/>
        </w:rPr>
        <w:t>sequencing batch reactors</w:t>
      </w:r>
      <w:r w:rsidR="005A1AE8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</w:t>
      </w:r>
      <w:r w:rsidR="003A27F4">
        <w:rPr>
          <w:rFonts w:ascii="Times New Roman" w:hAnsi="Times New Roman" w:cs="Times New Roman"/>
          <w:bCs/>
          <w:color w:val="0D0D0D" w:themeColor="text1" w:themeTint="F2"/>
          <w:sz w:val="24"/>
        </w:rPr>
        <w:t>(</w:t>
      </w:r>
      <w:r w:rsidR="00E03A84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SBR</w:t>
      </w:r>
      <w:r w:rsidR="003A27F4">
        <w:rPr>
          <w:rFonts w:ascii="Times New Roman" w:hAnsi="Times New Roman" w:cs="Times New Roman"/>
          <w:bCs/>
          <w:color w:val="0D0D0D" w:themeColor="text1" w:themeTint="F2"/>
          <w:sz w:val="24"/>
        </w:rPr>
        <w:t>)</w:t>
      </w:r>
      <w:r w:rsidR="00111654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</w:t>
      </w:r>
      <w:bookmarkEnd w:id="4"/>
      <w:bookmarkEnd w:id="5"/>
      <w:r w:rsidR="00855AC2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w</w:t>
      </w:r>
      <w:r w:rsidR="00E03A84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ere transferred </w:t>
      </w:r>
      <w:r w:rsidR="00323F67">
        <w:rPr>
          <w:rFonts w:ascii="Times New Roman" w:hAnsi="Times New Roman" w:cs="Times New Roman"/>
          <w:bCs/>
          <w:color w:val="0D0D0D" w:themeColor="text1" w:themeTint="F2"/>
          <w:sz w:val="24"/>
        </w:rPr>
        <w:t>to a</w:t>
      </w:r>
      <w:r w:rsidR="00323F67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</w:t>
      </w:r>
      <w:r w:rsidR="00E03A84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150-mL gas-tight serum vial </w:t>
      </w:r>
      <w:r w:rsidR="005A1AE8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with 25</w:t>
      </w:r>
      <w:r w:rsidR="0067718B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</w:t>
      </w:r>
      <w:r w:rsidR="005A1AE8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m</w:t>
      </w:r>
      <w:r w:rsidR="0067718B" w:rsidRPr="00754FFE">
        <w:rPr>
          <w:rFonts w:ascii="Times New Roman" w:hAnsi="Times New Roman" w:cs="Times New Roman" w:hint="eastAsia"/>
          <w:bCs/>
          <w:color w:val="0D0D0D" w:themeColor="text1" w:themeTint="F2"/>
          <w:sz w:val="24"/>
        </w:rPr>
        <w:t>l</w:t>
      </w:r>
      <w:r w:rsidR="00323F67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of</w:t>
      </w:r>
      <w:r w:rsidR="005A1AE8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medium containing 10% inoculum. </w:t>
      </w:r>
      <w:r w:rsidR="00323F67">
        <w:rPr>
          <w:rFonts w:ascii="Times New Roman" w:hAnsi="Times New Roman" w:cs="Times New Roman"/>
          <w:bCs/>
          <w:color w:val="0D0D0D" w:themeColor="text1" w:themeTint="F2"/>
          <w:sz w:val="24"/>
        </w:rPr>
        <w:t>The s</w:t>
      </w:r>
      <w:r w:rsidR="005A1AE8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erum vials were </w:t>
      </w:r>
      <w:r w:rsidR="00E03A84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sealed with a butyl rubber stopper</w:t>
      </w:r>
      <w:r w:rsidR="00323F67">
        <w:rPr>
          <w:rFonts w:ascii="Times New Roman" w:hAnsi="Times New Roman" w:cs="Times New Roman"/>
          <w:bCs/>
          <w:color w:val="0D0D0D" w:themeColor="text1" w:themeTint="F2"/>
          <w:sz w:val="24"/>
        </w:rPr>
        <w:t>,</w:t>
      </w:r>
      <w:r w:rsidR="005A1AE8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and </w:t>
      </w:r>
      <w:r w:rsidR="00E03A84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20% of pure </w:t>
      </w:r>
      <w:r w:rsidR="00855AC2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methane</w:t>
      </w:r>
      <w:r w:rsidR="00E03A84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was added </w:t>
      </w:r>
      <w:r w:rsidR="00323F67">
        <w:rPr>
          <w:rFonts w:ascii="Times New Roman" w:hAnsi="Times New Roman" w:cs="Times New Roman"/>
          <w:bCs/>
          <w:color w:val="0D0D0D" w:themeColor="text1" w:themeTint="F2"/>
          <w:sz w:val="24"/>
        </w:rPr>
        <w:t>to</w:t>
      </w:r>
      <w:r w:rsidR="00323F67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</w:t>
      </w:r>
      <w:r w:rsidR="00323F67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the </w:t>
      </w:r>
      <w:r w:rsidR="00E03A84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head space.</w:t>
      </w:r>
      <w:r w:rsidR="004C66B7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 xml:space="preserve"> </w:t>
      </w:r>
      <w:r w:rsidR="004C66B7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Methane oxidation was calculated by measuring the disappearance of </w:t>
      </w:r>
      <w:r w:rsidR="00111654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methane</w:t>
      </w:r>
      <w:r w:rsidR="004C66B7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during </w:t>
      </w:r>
      <w:r w:rsidR="00323F67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the </w:t>
      </w:r>
      <w:r w:rsidR="004C66B7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incubation.</w:t>
      </w:r>
    </w:p>
    <w:p w14:paraId="6EEE702C" w14:textId="77777777" w:rsidR="003D2455" w:rsidRPr="00754FFE" w:rsidRDefault="003D2455" w:rsidP="003D2455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</w:rPr>
      </w:pPr>
    </w:p>
    <w:p w14:paraId="4C52414B" w14:textId="407BD3B1" w:rsidR="003D2455" w:rsidRPr="00754FFE" w:rsidRDefault="00CD54F6" w:rsidP="003D2455">
      <w:pPr>
        <w:spacing w:after="0"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54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Supplementary</w:t>
      </w:r>
      <w:r w:rsidRPr="00754FFE">
        <w:rPr>
          <w:rFonts w:ascii="Times New Roman" w:hAnsi="Times New Roman" w:cs="Times New Roman"/>
          <w:b/>
          <w:color w:val="0D0D0D" w:themeColor="text1" w:themeTint="F2"/>
          <w:sz w:val="24"/>
          <w:szCs w:val="21"/>
          <w:shd w:val="clear" w:color="auto" w:fill="FFFFFF"/>
        </w:rPr>
        <w:t xml:space="preserve"> </w:t>
      </w:r>
      <w:r w:rsidR="003D2455" w:rsidRPr="00754FFE">
        <w:rPr>
          <w:rFonts w:ascii="Times New Roman" w:hAnsi="Times New Roman" w:cs="Times New Roman"/>
          <w:b/>
          <w:color w:val="0D0D0D" w:themeColor="text1" w:themeTint="F2"/>
          <w:sz w:val="24"/>
          <w:szCs w:val="21"/>
          <w:shd w:val="clear" w:color="auto" w:fill="FFFFFF"/>
        </w:rPr>
        <w:t xml:space="preserve">Figure S2.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 </w:t>
      </w:r>
      <w:bookmarkStart w:id="6" w:name="OLE_LINK22"/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Coverage-coverage plots 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>for</w:t>
      </w:r>
      <w:r w:rsidR="00323F67" w:rsidRPr="00754FFE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>two metagenomes</w:t>
      </w:r>
      <w:bookmarkEnd w:id="6"/>
      <w:r w:rsidR="00453BD7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illustrating </w:t>
      </w:r>
      <w:r w:rsidR="00493E2D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>the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 genome bins of the uncultured methanotrophs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>,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 </w:t>
      </w:r>
      <w:bookmarkStart w:id="7" w:name="OLE_LINK1"/>
      <w:bookmarkStart w:id="8" w:name="OLE_LINK2"/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enriched from </w:t>
      </w:r>
      <w:r w:rsidR="004F6358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the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>acid</w:t>
      </w:r>
      <w:r w:rsidR="00C16A6F" w:rsidRPr="00754FFE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>ic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 soils</w:t>
      </w:r>
      <w:bookmarkEnd w:id="7"/>
      <w:bookmarkEnd w:id="8"/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>.</w:t>
      </w:r>
      <w:r w:rsidR="00453BD7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 The scaffolds of the metagenome</w:t>
      </w:r>
      <w:r w:rsidR="004E5712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>s</w:t>
      </w:r>
      <w:r w:rsidR="00453BD7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 in plot (A) and (B) were from </w:t>
      </w:r>
      <w:r w:rsidR="00D90596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the </w:t>
      </w:r>
      <w:r w:rsidR="00453BD7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>culture</w:t>
      </w:r>
      <w:r w:rsidR="000C2B6A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>s</w:t>
      </w:r>
      <w:r w:rsidR="00453BD7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 derived from R4 and R3, respectively.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 The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raw DNA sequence reads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were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hybrid-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assembled into </w:t>
      </w:r>
      <w:r w:rsidR="00453BD7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>scaffolds</w:t>
      </w:r>
      <w:r w:rsidR="00453BD7" w:rsidRPr="00754FFE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and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were binned using 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sequencing depth of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the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DNAs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. Two dimensional coverages were referred to separate the contigs from different genomes. </w:t>
      </w:r>
      <w:r w:rsidR="00453BD7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For example, several genomic bins of the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 xml:space="preserve">uncultured </w:t>
      </w:r>
      <w:r w:rsidR="00453BD7">
        <w:rPr>
          <w:rFonts w:ascii="Times New Roman" w:hAnsi="Times New Roman" w:cs="Times New Roman"/>
          <w:color w:val="0D0D0D" w:themeColor="text1" w:themeTint="F2"/>
          <w:sz w:val="24"/>
          <w:szCs w:val="21"/>
          <w:shd w:val="clear" w:color="auto" w:fill="FFFFFF"/>
        </w:rPr>
        <w:t>strains analyzed in this study were marked.</w:t>
      </w:r>
    </w:p>
    <w:p w14:paraId="2A59D19E" w14:textId="77777777" w:rsidR="005D78A1" w:rsidRPr="00754FFE" w:rsidRDefault="005D78A1" w:rsidP="005D78A1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</w:rPr>
      </w:pPr>
    </w:p>
    <w:p w14:paraId="1F7FABEC" w14:textId="5727B272" w:rsidR="005D78A1" w:rsidRPr="00754FFE" w:rsidRDefault="00CD54F6" w:rsidP="005D78A1">
      <w:pPr>
        <w:spacing w:after="0"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54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Supplementary</w:t>
      </w:r>
      <w:r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 xml:space="preserve"> </w:t>
      </w:r>
      <w:r w:rsidR="005D78A1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 xml:space="preserve">Figure S3. 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Phylogenetic tree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based on (A)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the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16S rRNA gene 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and 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(B)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the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5D78A1" w:rsidRPr="00C6474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PmoA</w:t>
      </w:r>
      <w:proofErr w:type="spellEnd"/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sequences of KS32 and KS42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showing the phylogenetic relationship 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for the</w:t>
      </w:r>
      <w:r w:rsidR="00323F67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methanotrophs from 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 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enrichment cultures and related taxa from </w:t>
      </w:r>
      <w:r w:rsidR="005D78A1" w:rsidRPr="00754FF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Alphaproteobacteria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The tree was constructed using </w:t>
      </w:r>
      <w:r w:rsidR="00D377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eighbor-joining methods (Kimura 2-parameter</w:t>
      </w:r>
      <w:r w:rsidR="00641F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</w:t>
      </w:r>
      <w:r w:rsidR="00641F75" w:rsidRPr="00641F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JTT matrix-based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model). </w:t>
      </w:r>
      <w:r w:rsidR="00491981" w:rsidRPr="004919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Bootstrap values of &gt;</w:t>
      </w:r>
      <w:r w:rsidR="004919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491981" w:rsidRPr="004919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0 % (based on 1,000 replicates) from the</w:t>
      </w:r>
      <w:r w:rsidR="004919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91981" w:rsidRPr="004919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neighbor-joining</w:t>
      </w:r>
      <w:r w:rsidR="004919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</w:t>
      </w:r>
      <w:r w:rsidR="00491981" w:rsidRPr="004919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maximum likelihood methods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91981" w:rsidRPr="004919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</w:t>
      </w:r>
      <w:r w:rsidR="00491981" w:rsidRPr="004919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indicated at branch points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 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GenBank accession numbers are shown in parentheses. The bar represents substitutions per divergent position.</w:t>
      </w:r>
    </w:p>
    <w:p w14:paraId="0A9FB716" w14:textId="77777777" w:rsidR="003D2455" w:rsidRPr="00754FFE" w:rsidRDefault="003D2455" w:rsidP="003D2455">
      <w:pPr>
        <w:spacing w:line="48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</w:rPr>
      </w:pPr>
    </w:p>
    <w:p w14:paraId="2C3F7C7E" w14:textId="06F5E4DA" w:rsidR="003D2455" w:rsidRPr="00754FFE" w:rsidRDefault="00CD54F6" w:rsidP="003D2455">
      <w:pPr>
        <w:spacing w:after="0"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54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Supplementary</w:t>
      </w:r>
      <w:r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 xml:space="preserve"> </w:t>
      </w:r>
      <w:r w:rsidR="003D2455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>Figure S</w:t>
      </w:r>
      <w:r w:rsidR="005D78A1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>4</w:t>
      </w:r>
      <w:r w:rsidR="003D2455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 xml:space="preserve">.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Phylogenetic tree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based on 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(A)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the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16S rRNA gene 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and (B)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the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5D78A1" w:rsidRPr="003A27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PmoA</w:t>
      </w:r>
      <w:proofErr w:type="spellEnd"/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sequences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of KS4</w:t>
      </w:r>
      <w:r w:rsidR="00D905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showing the phylogenetic relationship 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for the</w:t>
      </w:r>
      <w:r w:rsidR="00323F67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methanotrophs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from 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 </w:t>
      </w:r>
      <w:r w:rsidR="00E43B1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enrichment cultures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related taxa from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D2455" w:rsidRPr="00754FF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Gammaproteobacteria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The tree was constructed using </w:t>
      </w:r>
      <w:r w:rsidR="004919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eighbor-joining methods (Kimura 2-parameter</w:t>
      </w:r>
      <w:r w:rsidR="004919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/ </w:t>
      </w:r>
      <w:r w:rsidR="00491981" w:rsidRPr="004919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JTT matrix-based model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). </w:t>
      </w:r>
      <w:bookmarkStart w:id="9" w:name="OLE_LINK23"/>
      <w:bookmarkStart w:id="10" w:name="OLE_LINK24"/>
      <w:r w:rsidR="00491981" w:rsidRPr="004919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Bootstrap values of &gt;50 % (based on 1,000 replicates) from the neighbor-joining and maximum likelihood methods a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</w:t>
      </w:r>
      <w:r w:rsidR="00491981" w:rsidRPr="004919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indicated at branch points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bookmarkEnd w:id="9"/>
      <w:bookmarkEnd w:id="10"/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GenBank accession numbers are shown in parentheses. The bar represents substitutions per 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divergent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position.</w:t>
      </w:r>
    </w:p>
    <w:p w14:paraId="258F746A" w14:textId="77777777" w:rsidR="005D78A1" w:rsidRPr="00754FFE" w:rsidRDefault="005D78A1" w:rsidP="003D2455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</w:rPr>
      </w:pPr>
    </w:p>
    <w:p w14:paraId="486449A1" w14:textId="2EB24B1F" w:rsidR="003D2455" w:rsidRPr="00754FFE" w:rsidRDefault="00CD54F6" w:rsidP="003D2455">
      <w:pPr>
        <w:spacing w:after="0"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54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Supplementary</w:t>
      </w:r>
      <w:r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 xml:space="preserve"> </w:t>
      </w:r>
      <w:r w:rsidR="003D2455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>Figure S</w:t>
      </w:r>
      <w:r w:rsidR="005A1AE8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>5</w:t>
      </w:r>
      <w:r w:rsidR="003D2455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 xml:space="preserve">. 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Phylogenetic tree of concatenated </w:t>
      </w:r>
      <w:proofErr w:type="spellStart"/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PmoCAB</w:t>
      </w:r>
      <w:proofErr w:type="spellEnd"/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proteins in gammaproteobacterial methanotrophs.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 tree was constructed 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by</w:t>
      </w:r>
      <w:r w:rsidR="00323F67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maximum likelihood using the </w:t>
      </w:r>
      <w:r w:rsidR="00457418" w:rsidRPr="004574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Le </w:t>
      </w:r>
      <w:proofErr w:type="spellStart"/>
      <w:r w:rsidR="00457418" w:rsidRPr="004574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Gascuel</w:t>
      </w:r>
      <w:proofErr w:type="spellEnd"/>
      <w:r w:rsidR="00457418" w:rsidRPr="004574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model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4574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based on a concatenation of 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total length of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998 amino acids with 1000 bootstraps. </w:t>
      </w:r>
      <w:bookmarkStart w:id="11" w:name="_Hlk513818040"/>
      <w:r w:rsidR="00491981" w:rsidRPr="008059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Bootstrap</w:t>
      </w:r>
      <w:r w:rsidR="004919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91981" w:rsidRPr="008059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values of </w:t>
      </w:r>
      <w:r w:rsidR="004919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6</w:t>
      </w:r>
      <w:r w:rsidR="00491981" w:rsidRPr="008059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0 % (based on 1,000 replicates) from the</w:t>
      </w:r>
      <w:r w:rsidR="004919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91981" w:rsidRPr="008059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maximum likelihood</w:t>
      </w:r>
      <w:r w:rsidR="004919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91981" w:rsidRPr="008059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method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are</w:t>
      </w:r>
      <w:r w:rsidR="00491981" w:rsidRPr="008059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indicated at branch points</w:t>
      </w:r>
      <w:bookmarkEnd w:id="11"/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The scale bar represents 0.05 change per amino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acid position. Two </w:t>
      </w:r>
      <w:r w:rsidR="00033EF0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type-II methanotrophs,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3D2455" w:rsidRPr="00754FF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Methylocapsa</w:t>
      </w:r>
      <w:proofErr w:type="spellEnd"/>
      <w:r w:rsidR="003D2455" w:rsidRPr="00754FF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="003D2455" w:rsidRPr="00754FF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acidiphila</w:t>
      </w:r>
      <w:proofErr w:type="spellEnd"/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B2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T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</w:t>
      </w:r>
      <w:proofErr w:type="spellStart"/>
      <w:r w:rsidR="003D2455" w:rsidRPr="00754FF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Methylocystis</w:t>
      </w:r>
      <w:proofErr w:type="spellEnd"/>
      <w:r w:rsidR="003D2455" w:rsidRPr="00754FF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="003D2455" w:rsidRPr="00754FF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parvus</w:t>
      </w:r>
      <w:proofErr w:type="spellEnd"/>
      <w:r w:rsidR="003D2455" w:rsidRPr="00754FF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OBBP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T</w:t>
      </w:r>
      <w:r w:rsidR="00033EF0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were used as the outgroup. Evolutionary analyses were conducted </w:t>
      </w:r>
      <w:r w:rsidR="00323F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with</w:t>
      </w:r>
      <w:r w:rsidR="00323F67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MEGA7.</w:t>
      </w:r>
    </w:p>
    <w:p w14:paraId="015E9E00" w14:textId="77777777" w:rsidR="005A1AE8" w:rsidRPr="00754FFE" w:rsidRDefault="005A1AE8" w:rsidP="003D2455">
      <w:pPr>
        <w:spacing w:after="0"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A64E7C7" w14:textId="08F8B470" w:rsidR="005A1AE8" w:rsidRPr="00754FFE" w:rsidRDefault="00CD54F6" w:rsidP="005A1AE8">
      <w:pPr>
        <w:spacing w:line="48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D54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Supplementary</w:t>
      </w:r>
      <w:r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5A1AE8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Figure S6. </w:t>
      </w:r>
      <w:r w:rsidR="00033EF0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</w:t>
      </w:r>
      <w:r w:rsidR="005A1AE8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overage plot of 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the </w:t>
      </w:r>
      <w:r w:rsidR="005A1AE8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mapped reads to the scaffolds containing rRNA operons and </w:t>
      </w:r>
      <w:r w:rsidR="00033EF0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methane </w:t>
      </w:r>
      <w:r w:rsidR="005A1AE8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monooxygenase operons of two genome bins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:</w:t>
      </w:r>
      <w:r w:rsidR="005A1AE8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5C14D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(A) </w:t>
      </w:r>
      <w:r w:rsidR="005A1AE8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KS32 and </w:t>
      </w:r>
      <w:r w:rsidR="005C14D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(B) </w:t>
      </w:r>
      <w:r w:rsidR="005A1AE8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KS41. Top track</w:t>
      </w:r>
      <w:r w:rsidR="00D9059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:</w:t>
      </w:r>
      <w:r w:rsidR="0042598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even</w:t>
      </w:r>
      <w:r w:rsidR="005A1AE8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coverage of the genome scaffolds. </w:t>
      </w:r>
      <w:r w:rsidR="0042598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For 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the </w:t>
      </w:r>
      <w:r w:rsidR="0042598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mapping 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of </w:t>
      </w:r>
      <w:r w:rsidR="0042598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the regions of 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the </w:t>
      </w:r>
      <w:r w:rsidR="0042598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scaffolds of KS32 and KS41, </w:t>
      </w:r>
      <w:r w:rsidR="00D9059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total </w:t>
      </w:r>
      <w:r w:rsidR="00425986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Illumina reads </w:t>
      </w:r>
      <w:r w:rsidR="0042598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of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the</w:t>
      </w:r>
      <w:r w:rsidR="0042598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metagenomes of </w:t>
      </w:r>
      <w:r w:rsidR="00D9059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the </w:t>
      </w:r>
      <w:r w:rsidR="0042598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cultures derived from R</w:t>
      </w:r>
      <w:r w:rsidR="00D9059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3</w:t>
      </w:r>
      <w:r w:rsidR="0042598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and R</w:t>
      </w:r>
      <w:r w:rsidR="00D9059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4</w:t>
      </w:r>
      <w:r w:rsidR="0042598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were used</w:t>
      </w:r>
      <w:r w:rsidR="00D9059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respectively</w:t>
      </w:r>
      <w:r w:rsidR="00425986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  <w:r w:rsidR="0042598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5A1AE8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Second track: close-up mapped reads to the region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</w:t>
      </w:r>
      <w:r w:rsidR="005A1AE8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surrounding the rRNA and monooxygenase operons. Bottom track: annotated genes in the </w:t>
      </w:r>
      <w:r w:rsidR="00033EF0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scaffolds</w:t>
      </w:r>
      <w:r w:rsidR="005A1AE8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r w:rsidR="00033EF0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</w:t>
      </w:r>
      <w:r w:rsidR="005A1AE8" w:rsidRPr="00754F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rrows depict the coding strand. </w:t>
      </w:r>
    </w:p>
    <w:p w14:paraId="4A698492" w14:textId="260BB67F" w:rsidR="003D2455" w:rsidRPr="00754FFE" w:rsidRDefault="003D2455" w:rsidP="003D2455">
      <w:pPr>
        <w:spacing w:after="0"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D0FC222" w14:textId="3A9ADE3F" w:rsidR="003D2455" w:rsidRPr="00754FFE" w:rsidRDefault="00CD54F6" w:rsidP="003D2455">
      <w:pPr>
        <w:spacing w:after="0"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54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Supplementary</w:t>
      </w:r>
      <w:r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 xml:space="preserve"> </w:t>
      </w:r>
      <w:r w:rsidR="003D2455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>Figure S</w:t>
      </w:r>
      <w:r w:rsidR="005A1AE8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>7</w:t>
      </w:r>
      <w:r w:rsidR="003D2455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 xml:space="preserve">. 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Phylogenetic tree of concatenated </w:t>
      </w:r>
      <w:r w:rsidR="00FF61AB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(A) </w:t>
      </w:r>
      <w:proofErr w:type="spellStart"/>
      <w:r w:rsidR="005D78A1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U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rtABCDF</w:t>
      </w:r>
      <w:proofErr w:type="spellEnd"/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proteins</w:t>
      </w:r>
      <w:r w:rsidR="005D78A1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and</w:t>
      </w:r>
      <w:r w:rsidR="00FF61AB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(B)</w:t>
      </w:r>
      <w:r w:rsidR="005D78A1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</w:t>
      </w:r>
      <w:proofErr w:type="spellStart"/>
      <w:r w:rsidR="005D78A1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KdpFABCD</w:t>
      </w:r>
      <w:proofErr w:type="spellEnd"/>
      <w:r w:rsidR="005D78A1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proteins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.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 tree was constructed </w:t>
      </w:r>
      <w:r w:rsidR="00156B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with</w:t>
      </w:r>
      <w:r w:rsidR="00156B6A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maximum likelihood using the JTT matrix-based model</w:t>
      </w:r>
      <w:r w:rsidR="00156B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based on a concatenation of </w:t>
      </w:r>
      <w:r w:rsidR="00156B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total length of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1964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2741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amino acids</w:t>
      </w:r>
      <w:r w:rsidR="00C647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bookmarkStart w:id="12" w:name="OLE_LINK5"/>
      <w:bookmarkStart w:id="13" w:name="OLE_LINK6"/>
      <w:r w:rsidR="00C647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respectively,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with 1000 bootstraps</w:t>
      </w:r>
      <w:bookmarkEnd w:id="12"/>
      <w:bookmarkEnd w:id="13"/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FF61AB" w:rsidRPr="00FF61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Bootstrap values of &gt; 60 % </w:t>
      </w:r>
      <w:r w:rsidR="00156B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are </w:t>
      </w:r>
      <w:r w:rsidR="00FF61AB" w:rsidRPr="00FF61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indicated at branch points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The scale bar represents </w:t>
      </w:r>
      <w:r w:rsidR="005D78A1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0.01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change per amino</w:t>
      </w:r>
      <w:r w:rsidR="00156B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acid position. </w:t>
      </w:r>
    </w:p>
    <w:p w14:paraId="70AC283C" w14:textId="77777777" w:rsidR="005D78A1" w:rsidRPr="00754FFE" w:rsidRDefault="005D78A1" w:rsidP="003D2455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</w:rPr>
      </w:pPr>
    </w:p>
    <w:p w14:paraId="1D48A8E6" w14:textId="14AFC752" w:rsidR="00DB5DF1" w:rsidRDefault="00CD54F6" w:rsidP="00754BB4">
      <w:pPr>
        <w:spacing w:line="48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</w:rPr>
      </w:pPr>
      <w:r w:rsidRPr="00CD54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Supplementary</w:t>
      </w:r>
      <w:r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 xml:space="preserve"> </w:t>
      </w:r>
      <w:r w:rsidR="003D2455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>Figure S</w:t>
      </w:r>
      <w:r w:rsidR="00BB7564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>8</w:t>
      </w:r>
      <w:r w:rsidR="003D2455" w:rsidRPr="00754FFE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 xml:space="preserve">. 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(A) Phylogenetic tree of the </w:t>
      </w:r>
      <w:proofErr w:type="spellStart"/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Ntp</w:t>
      </w:r>
      <w:r w:rsidR="00037816">
        <w:rPr>
          <w:rFonts w:ascii="Times New Roman" w:hAnsi="Times New Roman" w:cs="Times New Roman"/>
          <w:bCs/>
          <w:color w:val="0D0D0D" w:themeColor="text1" w:themeTint="F2"/>
          <w:sz w:val="24"/>
        </w:rPr>
        <w:t>C</w:t>
      </w:r>
      <w:proofErr w:type="spellEnd"/>
      <w:r w:rsidR="00037816">
        <w:rPr>
          <w:rFonts w:ascii="Times New Roman" w:hAnsi="Times New Roman" w:cs="Times New Roman"/>
          <w:bCs/>
          <w:color w:val="0D0D0D" w:themeColor="text1" w:themeTint="F2"/>
          <w:sz w:val="24"/>
        </w:rPr>
        <w:t>/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K subunit of 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the 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V-</w:t>
      </w:r>
      <w:r w:rsidR="00037816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or F-t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ype ATP</w:t>
      </w:r>
      <w:r w:rsidR="00033EF0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synth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ase. Numbers on the tree nodes indicate bootstrap values (1000 replicates). 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</w:rPr>
        <w:t>The s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cale bar indicates 0.1% sequence difference.</w:t>
      </w:r>
      <w:r w:rsidR="003D2455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(B) The ATP-binding catalytic sites</w:t>
      </w:r>
      <w:r w:rsidR="004E5712">
        <w:rPr>
          <w:rFonts w:ascii="Times New Roman" w:hAnsi="Times New Roman" w:cs="Times New Roman"/>
          <w:bCs/>
          <w:color w:val="0D0D0D" w:themeColor="text1" w:themeTint="F2"/>
          <w:sz w:val="24"/>
        </w:rPr>
        <w:t>,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according to the crystal structure of subunit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</w:rPr>
        <w:t>s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A and B of</w:t>
      </w:r>
      <w:r w:rsidR="00033EF0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ATP synthase. (C) Sequence alignment of 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the 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K subunit </w:t>
      </w:r>
      <w:r w:rsidR="00033EF0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of KS41 with those with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known </w:t>
      </w:r>
      <w:r w:rsidR="00033EF0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protein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structure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</w:rPr>
        <w:t>s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. Among these residues, the conserved H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  <w:vertAlign w:val="superscript"/>
        </w:rPr>
        <w:t>+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/Na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  <w:vertAlign w:val="superscript"/>
        </w:rPr>
        <w:t>+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-binding sites are marked by 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an </w:t>
      </w:r>
      <w:r w:rsidR="005A1AE8" w:rsidRPr="00754F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asterisk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, the polar residues flanking the conserved site are in red, the slightly polar residues are in orange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</w:rPr>
        <w:t>,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and the hydrophobic residues are in blue. The functional H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  <w:vertAlign w:val="superscript"/>
        </w:rPr>
        <w:t>+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/Na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  <w:vertAlign w:val="superscript"/>
        </w:rPr>
        <w:t>+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lastRenderedPageBreak/>
        <w:t>selectivity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</w:rPr>
        <w:t>,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due to different concentration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</w:rPr>
        <w:t>s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of Na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  <w:vertAlign w:val="superscript"/>
        </w:rPr>
        <w:t>+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vs. H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  <w:vertAlign w:val="superscript"/>
        </w:rPr>
        <w:t>+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in physiological settings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</w:rPr>
        <w:t>,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</w:rPr>
        <w:t>is</w:t>
      </w:r>
      <w:r w:rsidR="00156B6A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shown 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</w:rPr>
        <w:t>at</w:t>
      </w:r>
      <w:r w:rsidR="00156B6A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</w:t>
      </w:r>
      <w:r w:rsidR="003D2455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the right end of th</w:t>
      </w:r>
      <w:r w:rsidR="00F37371" w:rsidRPr="00754FFE">
        <w:rPr>
          <w:rFonts w:ascii="Times New Roman" w:hAnsi="Times New Roman" w:cs="Times New Roman"/>
          <w:bCs/>
          <w:color w:val="0D0D0D" w:themeColor="text1" w:themeTint="F2"/>
          <w:sz w:val="24"/>
        </w:rPr>
        <w:t>e alignment</w:t>
      </w:r>
      <w:r w:rsidR="002116CE">
        <w:rPr>
          <w:rFonts w:ascii="Times New Roman" w:hAnsi="Times New Roman" w:cs="Times New Roman"/>
          <w:bCs/>
          <w:color w:val="0D0D0D" w:themeColor="text1" w:themeTint="F2"/>
          <w:sz w:val="24"/>
        </w:rPr>
        <w:t>.</w:t>
      </w:r>
    </w:p>
    <w:p w14:paraId="0B0A9FC1" w14:textId="48D9C7D2" w:rsidR="002116CE" w:rsidRDefault="002116CE" w:rsidP="00754BB4">
      <w:pPr>
        <w:spacing w:line="48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</w:rPr>
      </w:pPr>
    </w:p>
    <w:p w14:paraId="5EF21032" w14:textId="5EE14AC1" w:rsidR="009D1761" w:rsidRPr="006E6BA1" w:rsidRDefault="00CD54F6" w:rsidP="009A57E4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</w:rPr>
      </w:pPr>
      <w:r w:rsidRPr="00CD54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Supplementary</w:t>
      </w:r>
      <w:r w:rsidRPr="00D20317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 xml:space="preserve"> </w:t>
      </w:r>
      <w:r w:rsidR="002116CE" w:rsidRPr="00D20317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>Figure S9.</w:t>
      </w:r>
      <w:r w:rsidR="002116C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</w:t>
      </w:r>
      <w:r w:rsidR="002116CE" w:rsidRPr="00F37AA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Schematic representation of</w:t>
      </w:r>
      <w:r w:rsidR="002116CE" w:rsidRPr="00F37AAD" w:rsidDel="00EE515B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the </w:t>
      </w:r>
      <w:r w:rsidR="002116CE" w:rsidRPr="00F37AA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metabolic pathways</w:t>
      </w:r>
      <w:r w:rsidR="002116CE" w:rsidRPr="00F37AAD" w:rsidDel="00EE515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2116CE" w:rsidRPr="00F37AA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and processes involved in 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the </w:t>
      </w:r>
      <w:r w:rsidR="002116CE" w:rsidRPr="00F37AA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adaptation of KS</w:t>
      </w:r>
      <w:r w:rsidR="002116C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32</w:t>
      </w:r>
      <w:r w:rsidR="002116CE" w:rsidRPr="00F37AA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to acidic condition</w:t>
      </w:r>
      <w:r w:rsidR="00156B6A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</w:t>
      </w:r>
      <w:r w:rsidR="002116CE" w:rsidRPr="00F37AA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sectPr w:rsidR="009D1761" w:rsidRPr="006E6BA1" w:rsidSect="00D40243">
      <w:type w:val="continuous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6F9E7" w14:textId="77777777" w:rsidR="002355AB" w:rsidRDefault="002355AB" w:rsidP="00E43B11">
      <w:pPr>
        <w:spacing w:after="0" w:line="240" w:lineRule="auto"/>
      </w:pPr>
      <w:r>
        <w:separator/>
      </w:r>
    </w:p>
  </w:endnote>
  <w:endnote w:type="continuationSeparator" w:id="0">
    <w:p w14:paraId="461CF748" w14:textId="77777777" w:rsidR="002355AB" w:rsidRDefault="002355AB" w:rsidP="00E4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6A70" w14:textId="77777777" w:rsidR="002355AB" w:rsidRDefault="002355AB" w:rsidP="00E43B11">
      <w:pPr>
        <w:spacing w:after="0" w:line="240" w:lineRule="auto"/>
      </w:pPr>
      <w:r>
        <w:separator/>
      </w:r>
    </w:p>
  </w:footnote>
  <w:footnote w:type="continuationSeparator" w:id="0">
    <w:p w14:paraId="036740D9" w14:textId="77777777" w:rsidR="002355AB" w:rsidRDefault="002355AB" w:rsidP="00E43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9pw0zfnt0v5nersx55vtvjz5v5rzseddf5&quot;&gt;HY1&lt;record-ids&gt;&lt;item&gt;180&lt;/item&gt;&lt;item&gt;181&lt;/item&gt;&lt;item&gt;182&lt;/item&gt;&lt;/record-ids&gt;&lt;/item&gt;&lt;/Libraries&gt;"/>
  </w:docVars>
  <w:rsids>
    <w:rsidRoot w:val="00782504"/>
    <w:rsid w:val="00010357"/>
    <w:rsid w:val="00014691"/>
    <w:rsid w:val="00033EF0"/>
    <w:rsid w:val="00037816"/>
    <w:rsid w:val="00042134"/>
    <w:rsid w:val="00087D63"/>
    <w:rsid w:val="000A4C5D"/>
    <w:rsid w:val="000B0280"/>
    <w:rsid w:val="000B4E29"/>
    <w:rsid w:val="000C2B6A"/>
    <w:rsid w:val="000F50C4"/>
    <w:rsid w:val="00111654"/>
    <w:rsid w:val="0014629D"/>
    <w:rsid w:val="00156B6A"/>
    <w:rsid w:val="0018716F"/>
    <w:rsid w:val="001B14F9"/>
    <w:rsid w:val="001E200F"/>
    <w:rsid w:val="001F5894"/>
    <w:rsid w:val="00201286"/>
    <w:rsid w:val="002017C8"/>
    <w:rsid w:val="002116CE"/>
    <w:rsid w:val="00232C5A"/>
    <w:rsid w:val="002355AB"/>
    <w:rsid w:val="00240B45"/>
    <w:rsid w:val="00242CB3"/>
    <w:rsid w:val="0025432C"/>
    <w:rsid w:val="0026541D"/>
    <w:rsid w:val="00296A1E"/>
    <w:rsid w:val="002B4EB7"/>
    <w:rsid w:val="002D3D41"/>
    <w:rsid w:val="002D489D"/>
    <w:rsid w:val="002D5B79"/>
    <w:rsid w:val="002E20D3"/>
    <w:rsid w:val="002F014B"/>
    <w:rsid w:val="002F2929"/>
    <w:rsid w:val="002F30EF"/>
    <w:rsid w:val="00301267"/>
    <w:rsid w:val="00323F67"/>
    <w:rsid w:val="003325E4"/>
    <w:rsid w:val="0037373E"/>
    <w:rsid w:val="00392721"/>
    <w:rsid w:val="00392A1D"/>
    <w:rsid w:val="003A27F4"/>
    <w:rsid w:val="003D20A3"/>
    <w:rsid w:val="003D2455"/>
    <w:rsid w:val="00425986"/>
    <w:rsid w:val="00453BD7"/>
    <w:rsid w:val="00457418"/>
    <w:rsid w:val="004709C4"/>
    <w:rsid w:val="00491981"/>
    <w:rsid w:val="00493E2D"/>
    <w:rsid w:val="004B1054"/>
    <w:rsid w:val="004C2EB7"/>
    <w:rsid w:val="004C66B7"/>
    <w:rsid w:val="004D69F7"/>
    <w:rsid w:val="004E5712"/>
    <w:rsid w:val="004F6358"/>
    <w:rsid w:val="00523046"/>
    <w:rsid w:val="0052578E"/>
    <w:rsid w:val="00531808"/>
    <w:rsid w:val="00554275"/>
    <w:rsid w:val="005654AE"/>
    <w:rsid w:val="00580D10"/>
    <w:rsid w:val="005A1AE8"/>
    <w:rsid w:val="005B37AE"/>
    <w:rsid w:val="005C14DD"/>
    <w:rsid w:val="005C6D18"/>
    <w:rsid w:val="005D10D4"/>
    <w:rsid w:val="005D32FE"/>
    <w:rsid w:val="005D633D"/>
    <w:rsid w:val="005D78A1"/>
    <w:rsid w:val="005F1203"/>
    <w:rsid w:val="00641F75"/>
    <w:rsid w:val="0067718B"/>
    <w:rsid w:val="00687836"/>
    <w:rsid w:val="006C5471"/>
    <w:rsid w:val="006E6BA1"/>
    <w:rsid w:val="00722115"/>
    <w:rsid w:val="007452AD"/>
    <w:rsid w:val="007465B6"/>
    <w:rsid w:val="00753285"/>
    <w:rsid w:val="00754BB4"/>
    <w:rsid w:val="00754FFE"/>
    <w:rsid w:val="00782504"/>
    <w:rsid w:val="00785AAB"/>
    <w:rsid w:val="00796346"/>
    <w:rsid w:val="007B2DD9"/>
    <w:rsid w:val="007B64EC"/>
    <w:rsid w:val="007F446E"/>
    <w:rsid w:val="00803909"/>
    <w:rsid w:val="00813DC6"/>
    <w:rsid w:val="00834766"/>
    <w:rsid w:val="00840BD2"/>
    <w:rsid w:val="00855AC2"/>
    <w:rsid w:val="008607A9"/>
    <w:rsid w:val="008E0CE8"/>
    <w:rsid w:val="0090564B"/>
    <w:rsid w:val="009230A5"/>
    <w:rsid w:val="0094402D"/>
    <w:rsid w:val="00973C3C"/>
    <w:rsid w:val="0097590D"/>
    <w:rsid w:val="009A57E4"/>
    <w:rsid w:val="009D1761"/>
    <w:rsid w:val="009E6E16"/>
    <w:rsid w:val="00AB27DC"/>
    <w:rsid w:val="00AD647D"/>
    <w:rsid w:val="00AF2CF9"/>
    <w:rsid w:val="00B17B48"/>
    <w:rsid w:val="00B35868"/>
    <w:rsid w:val="00B83557"/>
    <w:rsid w:val="00BA5F73"/>
    <w:rsid w:val="00BB7564"/>
    <w:rsid w:val="00BB7E26"/>
    <w:rsid w:val="00BD01CC"/>
    <w:rsid w:val="00BD06DF"/>
    <w:rsid w:val="00BD110B"/>
    <w:rsid w:val="00BF321D"/>
    <w:rsid w:val="00C16A6F"/>
    <w:rsid w:val="00C23FC7"/>
    <w:rsid w:val="00C6335C"/>
    <w:rsid w:val="00C6474A"/>
    <w:rsid w:val="00C76F57"/>
    <w:rsid w:val="00C966BF"/>
    <w:rsid w:val="00CA5DA6"/>
    <w:rsid w:val="00CD54F6"/>
    <w:rsid w:val="00D06D3F"/>
    <w:rsid w:val="00D20317"/>
    <w:rsid w:val="00D358CA"/>
    <w:rsid w:val="00D3774D"/>
    <w:rsid w:val="00D40243"/>
    <w:rsid w:val="00D555D0"/>
    <w:rsid w:val="00D614BC"/>
    <w:rsid w:val="00D66647"/>
    <w:rsid w:val="00D90596"/>
    <w:rsid w:val="00DB5DF1"/>
    <w:rsid w:val="00DC3B51"/>
    <w:rsid w:val="00DC3E69"/>
    <w:rsid w:val="00E03A84"/>
    <w:rsid w:val="00E210BB"/>
    <w:rsid w:val="00E43B11"/>
    <w:rsid w:val="00E924FE"/>
    <w:rsid w:val="00E96C47"/>
    <w:rsid w:val="00EA56B7"/>
    <w:rsid w:val="00EB3899"/>
    <w:rsid w:val="00EB3E46"/>
    <w:rsid w:val="00EC11AD"/>
    <w:rsid w:val="00F02E94"/>
    <w:rsid w:val="00F33304"/>
    <w:rsid w:val="00F37371"/>
    <w:rsid w:val="00F41BDD"/>
    <w:rsid w:val="00F518AA"/>
    <w:rsid w:val="00F73218"/>
    <w:rsid w:val="00F74BC3"/>
    <w:rsid w:val="00F92E54"/>
    <w:rsid w:val="00FA6923"/>
    <w:rsid w:val="00FB4625"/>
    <w:rsid w:val="00FE1DD3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6EE2F"/>
  <w15:chartTrackingRefBased/>
  <w15:docId w15:val="{5420233D-F1C0-4345-9681-BC4F4934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4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3D24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D2455"/>
  </w:style>
  <w:style w:type="character" w:customStyle="1" w:styleId="affiliationcountry">
    <w:name w:val="affiliation__country"/>
    <w:basedOn w:val="DefaultParagraphFont"/>
    <w:rsid w:val="00554275"/>
  </w:style>
  <w:style w:type="paragraph" w:styleId="NormalWeb">
    <w:name w:val="Normal (Web)"/>
    <w:basedOn w:val="Normal"/>
    <w:uiPriority w:val="99"/>
    <w:semiHidden/>
    <w:unhideWhenUsed/>
    <w:rsid w:val="005A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3B1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43B11"/>
  </w:style>
  <w:style w:type="paragraph" w:styleId="Footer">
    <w:name w:val="footer"/>
    <w:basedOn w:val="Normal"/>
    <w:link w:val="FooterChar"/>
    <w:uiPriority w:val="99"/>
    <w:unhideWhenUsed/>
    <w:rsid w:val="00E43B1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43B11"/>
  </w:style>
  <w:style w:type="paragraph" w:styleId="BalloonText">
    <w:name w:val="Balloon Text"/>
    <w:basedOn w:val="Normal"/>
    <w:link w:val="BalloonTextChar"/>
    <w:uiPriority w:val="99"/>
    <w:semiHidden/>
    <w:unhideWhenUsed/>
    <w:rsid w:val="00DC3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51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5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41D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D176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176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D1761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D1761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CD5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ees@chungbuk.a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114FB04-1365-48D5-970F-937AC01B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1275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 Nguyen</dc:creator>
  <cp:keywords/>
  <dc:description/>
  <cp:lastModifiedBy>Ngoc Loi Nguyen</cp:lastModifiedBy>
  <cp:revision>18</cp:revision>
  <dcterms:created xsi:type="dcterms:W3CDTF">2018-07-13T05:32:00Z</dcterms:created>
  <dcterms:modified xsi:type="dcterms:W3CDTF">2018-08-15T15:08:00Z</dcterms:modified>
</cp:coreProperties>
</file>