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43" w:rsidRDefault="00342517">
      <w:pPr>
        <w:jc w:val="center"/>
        <w:rPr>
          <w:rFonts w:cs="Times New Roman"/>
          <w:b/>
          <w:sz w:val="32"/>
          <w:szCs w:val="32"/>
        </w:rPr>
      </w:pPr>
      <w:bookmarkStart w:id="0" w:name="_Hlk517027929"/>
      <w:bookmarkStart w:id="1" w:name="_Hlk515628622"/>
      <w:r>
        <w:rPr>
          <w:rFonts w:cs="Times New Roman"/>
          <w:b/>
          <w:sz w:val="32"/>
          <w:szCs w:val="32"/>
        </w:rPr>
        <w:t>A novel computational method for the identification of potential miRNA-disease association</w:t>
      </w:r>
      <w:bookmarkEnd w:id="0"/>
      <w:r>
        <w:rPr>
          <w:rFonts w:cs="Times New Roman"/>
          <w:b/>
          <w:sz w:val="32"/>
          <w:szCs w:val="32"/>
        </w:rPr>
        <w:t xml:space="preserve"> based on symmetric non-negative matrix factorization and Kronecker regularized least square</w:t>
      </w:r>
    </w:p>
    <w:bookmarkEnd w:id="1"/>
    <w:p w:rsidR="00480543" w:rsidRDefault="00342517">
      <w:pPr>
        <w:rPr>
          <w:b/>
          <w:vertAlign w:val="superscript"/>
        </w:rPr>
      </w:pPr>
      <w:r>
        <w:rPr>
          <w:rFonts w:hint="eastAsia"/>
          <w:b/>
        </w:rPr>
        <w:t>Yan Zhao</w:t>
      </w:r>
      <w:r>
        <w:rPr>
          <w:rFonts w:hint="eastAsia"/>
          <w:b/>
          <w:vertAlign w:val="superscript"/>
        </w:rPr>
        <w:t>1</w:t>
      </w:r>
      <w:r>
        <w:rPr>
          <w:rFonts w:hint="eastAsia"/>
          <w:b/>
        </w:rPr>
        <w:t>,</w:t>
      </w:r>
      <w:r>
        <w:rPr>
          <w:b/>
        </w:rPr>
        <w:t xml:space="preserve"> Xing Chen</w:t>
      </w:r>
      <w:r>
        <w:rPr>
          <w:b/>
          <w:vertAlign w:val="superscript"/>
        </w:rPr>
        <w:t>1,*</w:t>
      </w:r>
      <w:r>
        <w:rPr>
          <w:rFonts w:hint="eastAsia"/>
          <w:b/>
        </w:rPr>
        <w:t xml:space="preserve">, Jun </w:t>
      </w:r>
      <w:r>
        <w:rPr>
          <w:b/>
        </w:rPr>
        <w:t>Yin</w:t>
      </w:r>
      <w:r>
        <w:rPr>
          <w:rFonts w:hint="eastAsia"/>
          <w:b/>
          <w:vertAlign w:val="superscript"/>
        </w:rPr>
        <w:t>1</w:t>
      </w:r>
    </w:p>
    <w:p w:rsidR="00480543" w:rsidRDefault="00342517">
      <w:r>
        <w:rPr>
          <w:rFonts w:hint="eastAsia"/>
          <w:vertAlign w:val="superscript"/>
        </w:rPr>
        <w:t>1</w:t>
      </w:r>
      <w:r>
        <w:t xml:space="preserve">School of </w:t>
      </w:r>
      <w:r>
        <w:rPr>
          <w:rFonts w:hint="eastAsia"/>
        </w:rPr>
        <w:t>Information</w:t>
      </w:r>
      <w:r>
        <w:t xml:space="preserve"> and </w:t>
      </w:r>
      <w:r>
        <w:rPr>
          <w:rFonts w:hint="eastAsia"/>
        </w:rPr>
        <w:t>Control E</w:t>
      </w:r>
      <w:r>
        <w:t>ngineering, China University of Mining and Technology, Xuzhou, 221116, China</w:t>
      </w:r>
    </w:p>
    <w:p w:rsidR="00480543" w:rsidRDefault="00342517">
      <w:pPr>
        <w:spacing w:before="2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* Correspondence: </w:t>
      </w:r>
      <w:r>
        <w:rPr>
          <w:rFonts w:cs="Times New Roman"/>
          <w:b/>
          <w:szCs w:val="24"/>
        </w:rPr>
        <w:br/>
      </w:r>
      <w:r>
        <w:rPr>
          <w:rFonts w:cs="Times New Roman" w:hint="eastAsia"/>
          <w:szCs w:val="24"/>
        </w:rPr>
        <w:t>Xing Chen</w:t>
      </w:r>
    </w:p>
    <w:p w:rsidR="00480543" w:rsidRDefault="00342517">
      <w:pPr>
        <w:pStyle w:val="AuthorList"/>
        <w:spacing w:after="360"/>
        <w:rPr>
          <w:b w:val="0"/>
          <w:u w:val="single"/>
          <w:lang w:val="fr-FR"/>
        </w:rPr>
      </w:pPr>
      <w:hyperlink r:id="rId8" w:history="1">
        <w:r>
          <w:rPr>
            <w:rStyle w:val="Hyperlink"/>
            <w:b w:val="0"/>
            <w:lang w:val="fr-FR"/>
          </w:rPr>
          <w:t>xingchen@amss.ac.cn</w:t>
        </w:r>
      </w:hyperlink>
    </w:p>
    <w:p w:rsidR="00480543" w:rsidRDefault="00342517">
      <w:pPr>
        <w:spacing w:before="240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</w:rPr>
        <w:t>Keywords:</w:t>
      </w:r>
      <w:r>
        <w:rPr>
          <w:rFonts w:cs="Times New Roman" w:hint="eastAsia"/>
          <w:b/>
          <w:szCs w:val="24"/>
        </w:rPr>
        <w:t xml:space="preserve"> </w:t>
      </w:r>
      <w:r>
        <w:rPr>
          <w:rFonts w:cs="Times New Roman" w:hint="eastAsia"/>
          <w:b/>
          <w:szCs w:val="24"/>
          <w:lang w:eastAsia="zh-CN"/>
        </w:rPr>
        <w:t>microRN</w:t>
      </w:r>
      <w:r>
        <w:rPr>
          <w:rFonts w:cs="Times New Roman" w:hint="eastAsia"/>
          <w:b/>
          <w:szCs w:val="24"/>
          <w:lang w:eastAsia="zh-CN"/>
        </w:rPr>
        <w:t>A</w:t>
      </w:r>
      <w:r>
        <w:rPr>
          <w:rFonts w:cs="Times New Roman"/>
          <w:b/>
          <w:szCs w:val="24"/>
          <w:lang w:eastAsia="zh-CN"/>
        </w:rPr>
        <w:t>; disease</w:t>
      </w:r>
      <w:r>
        <w:rPr>
          <w:rFonts w:cs="Times New Roman" w:hint="eastAsia"/>
          <w:b/>
          <w:szCs w:val="24"/>
          <w:lang w:eastAsia="zh-CN"/>
        </w:rPr>
        <w:t>;</w:t>
      </w:r>
      <w:r>
        <w:rPr>
          <w:rFonts w:cs="Times New Roman"/>
          <w:b/>
          <w:szCs w:val="24"/>
          <w:lang w:eastAsia="zh-CN"/>
        </w:rPr>
        <w:t xml:space="preserve"> association prediction</w:t>
      </w:r>
      <w:r>
        <w:rPr>
          <w:rFonts w:cs="Times New Roman" w:hint="eastAsia"/>
          <w:b/>
          <w:szCs w:val="24"/>
          <w:lang w:eastAsia="zh-CN"/>
        </w:rPr>
        <w:t xml:space="preserve">; </w:t>
      </w:r>
      <w:r>
        <w:rPr>
          <w:rFonts w:cs="Times New Roman"/>
          <w:b/>
          <w:szCs w:val="24"/>
          <w:lang w:eastAsia="zh-CN"/>
        </w:rPr>
        <w:t>matrix factorization; Kronecker regularized least square</w:t>
      </w:r>
    </w:p>
    <w:p w:rsidR="00480543" w:rsidRDefault="00342517">
      <w:pPr>
        <w:pStyle w:val="Heading1"/>
      </w:pPr>
      <w:r>
        <w:t>Supplementary Table</w:t>
      </w:r>
      <w:bookmarkStart w:id="2" w:name="_GoBack"/>
      <w:bookmarkEnd w:id="2"/>
    </w:p>
    <w:p w:rsidR="00480543" w:rsidRDefault="00342517">
      <w:pPr>
        <w:pStyle w:val="authorinfo"/>
        <w:jc w:val="both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Supplementary Table 1.  </w:t>
      </w:r>
      <w:r>
        <w:rPr>
          <w:rFonts w:eastAsiaTheme="minorEastAsia"/>
          <w:bCs/>
          <w:sz w:val="24"/>
          <w:lang w:eastAsia="zh-CN"/>
        </w:rPr>
        <w:t xml:space="preserve">We applied SNMFMDA to </w:t>
      </w:r>
      <w:r>
        <w:rPr>
          <w:rFonts w:eastAsiaTheme="minorEastAsia"/>
          <w:bCs/>
          <w:sz w:val="24"/>
        </w:rPr>
        <w:t xml:space="preserve">prioritize all the candidate miRNA-disease pairs based on all the known miRNA-disease </w:t>
      </w:r>
      <w:r>
        <w:rPr>
          <w:rFonts w:eastAsiaTheme="minorEastAsia"/>
          <w:bCs/>
          <w:sz w:val="24"/>
        </w:rPr>
        <w:t>associations in HMDD database as training samples. This prediction result is rele</w:t>
      </w:r>
      <w:r>
        <w:rPr>
          <w:rFonts w:eastAsiaTheme="minorEastAsia" w:hint="eastAsia"/>
          <w:bCs/>
          <w:sz w:val="24"/>
          <w:lang w:eastAsia="zh-CN"/>
        </w:rPr>
        <w:t>ased</w:t>
      </w:r>
      <w:r>
        <w:rPr>
          <w:rFonts w:eastAsiaTheme="minorEastAsia"/>
          <w:bCs/>
          <w:sz w:val="24"/>
        </w:rPr>
        <w:t xml:space="preserve"> for further experimental</w:t>
      </w:r>
      <w:r>
        <w:rPr>
          <w:rFonts w:eastAsiaTheme="minorEastAsia" w:hint="eastAsia"/>
          <w:bCs/>
          <w:sz w:val="24"/>
          <w:lang w:eastAsia="zh-CN"/>
        </w:rPr>
        <w:t xml:space="preserve"> </w:t>
      </w:r>
      <w:r>
        <w:rPr>
          <w:rFonts w:eastAsiaTheme="minorEastAsia"/>
          <w:bCs/>
          <w:sz w:val="24"/>
        </w:rPr>
        <w:t>validation and research.</w:t>
      </w:r>
    </w:p>
    <w:p w:rsidR="00480543" w:rsidRPr="003F224B" w:rsidRDefault="00342517">
      <w:pPr>
        <w:pStyle w:val="Heading1"/>
        <w:numPr>
          <w:ilvl w:val="0"/>
          <w:numId w:val="14"/>
        </w:numPr>
      </w:pPr>
      <w:r w:rsidRPr="003F224B">
        <w:t>The calculation of miRNA functional similarity</w:t>
      </w:r>
    </w:p>
    <w:p w:rsidR="00480543" w:rsidRPr="003F224B" w:rsidRDefault="00342517">
      <w:pPr>
        <w:jc w:val="both"/>
        <w:rPr>
          <w:lang w:eastAsia="zh-CN"/>
        </w:rPr>
      </w:pPr>
      <w:r w:rsidRPr="003F224B">
        <w:t>In order to calculate the functional similarity between the two miRNAs, i</w:t>
      </w:r>
      <w:r w:rsidRPr="003F224B">
        <w:t xml:space="preserve">t is necessary to consider the diseases associated with these two miRNAs. We need to define the semantic similarity between disease and disease group at first. Here, we use </w:t>
      </w:r>
      <m:oMath>
        <m:r>
          <w:rPr>
            <w:rFonts w:ascii="Cambria Math" w:hAnsi="Cambria Math"/>
          </w:rPr>
          <m:t>d</m:t>
        </m:r>
      </m:oMath>
      <w:r w:rsidRPr="003F224B">
        <w:t xml:space="preserve"> to indicate one disease and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={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(1),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(2),…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)}</m:t>
        </m:r>
      </m:oMath>
      <w:r w:rsidRPr="003F224B">
        <w:t xml:space="preserve"> to represent one disease gr</w:t>
      </w:r>
      <w:proofErr w:type="spellStart"/>
      <w:r w:rsidRPr="003F224B">
        <w:t>oup</w:t>
      </w:r>
      <w:proofErr w:type="spellEnd"/>
      <w:r w:rsidRPr="003F224B">
        <w:t xml:space="preserve"> containing </w:t>
      </w:r>
      <m:oMath>
        <m:r>
          <w:rPr>
            <w:rFonts w:ascii="Cambria Math" w:hAnsi="Cambria Math"/>
          </w:rPr>
          <m:t>t</m:t>
        </m:r>
      </m:oMath>
      <w:r w:rsidRPr="003F224B">
        <w:rPr>
          <w:rFonts w:hint="eastAsia"/>
          <w:lang w:eastAsia="zh-CN"/>
        </w:rPr>
        <w:t xml:space="preserve"> diseases.</w:t>
      </w:r>
      <w:r w:rsidRPr="003F224B">
        <w:rPr>
          <w:lang w:eastAsia="zh-CN"/>
        </w:rPr>
        <w:t xml:space="preserve"> We define the semantic value between the disease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lang w:eastAsia="zh-CN"/>
        </w:rPr>
        <w:t xml:space="preserve"> and disease groups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lang w:eastAsia="zh-CN"/>
        </w:rPr>
        <w:t xml:space="preserve"> as the maximum value of the semantic similarity between the disease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rFonts w:hint="eastAsia"/>
          <w:lang w:eastAsia="zh-CN"/>
        </w:rPr>
        <w:t xml:space="preserve"> </w:t>
      </w:r>
      <w:r w:rsidRPr="003F224B">
        <w:rPr>
          <w:lang w:eastAsia="zh-CN"/>
        </w:rPr>
        <w:t xml:space="preserve">and all diseases in the disease group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lang w:eastAsia="zh-CN"/>
        </w:rPr>
        <w:t xml:space="preserve">. Therefore, the semantic similarity </w:t>
      </w:r>
      <m:oMath>
        <m:r>
          <w:rPr>
            <w:rFonts w:ascii="Cambria Math" w:hAnsi="Cambria Math"/>
            <w:lang w:eastAsia="zh-CN"/>
          </w:rPr>
          <m:t>S</m:t>
        </m:r>
        <m:r>
          <w:rPr>
            <w:rFonts w:ascii="Cambria Math" w:hAnsi="Cambria Math"/>
            <w:lang w:eastAsia="zh-CN"/>
          </w:rPr>
          <m:t>(</m:t>
        </m:r>
        <m:r>
          <w:rPr>
            <w:rFonts w:ascii="Cambria Math" w:hAnsi="Cambria Math"/>
            <w:lang w:eastAsia="zh-CN"/>
          </w:rPr>
          <m:t>d</m:t>
        </m:r>
        <m:r>
          <w:rPr>
            <w:rFonts w:ascii="Cambria Math" w:hAnsi="Cambria Math"/>
            <w:lang w:eastAsia="zh-CN"/>
          </w:rPr>
          <m:t>,</m:t>
        </m:r>
        <m:r>
          <w:rPr>
            <w:rFonts w:ascii="Cambria Math" w:hAnsi="Cambria Math"/>
            <w:lang w:eastAsia="zh-CN"/>
          </w:rPr>
          <m:t>D</m:t>
        </m:r>
        <m:r>
          <w:rPr>
            <w:rFonts w:ascii="Cambria Math" w:hAnsi="Cambria Math"/>
            <w:lang w:eastAsia="zh-CN"/>
          </w:rPr>
          <m:t>)</m:t>
        </m:r>
      </m:oMath>
      <w:r w:rsidRPr="003F224B">
        <w:rPr>
          <w:lang w:eastAsia="zh-CN"/>
        </w:rPr>
        <w:t xml:space="preserve"> between disease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lang w:eastAsia="zh-CN"/>
        </w:rPr>
        <w:t xml:space="preserve"> and disease groups </w:t>
      </w:r>
      <m:oMath>
        <m:r>
          <w:rPr>
            <w:rFonts w:ascii="Cambria Math" w:hAnsi="Cambria Math"/>
            <w:lang w:eastAsia="zh-CN"/>
          </w:rPr>
          <m:t>D</m:t>
        </m:r>
      </m:oMath>
      <w:r w:rsidRPr="003F224B">
        <w:rPr>
          <w:lang w:eastAsia="zh-CN"/>
        </w:rPr>
        <w:t xml:space="preserve"> is calculated as follows:</w:t>
      </w:r>
    </w:p>
    <w:p w:rsidR="00480543" w:rsidRPr="003F224B" w:rsidRDefault="00342517">
      <w:pPr>
        <w:jc w:val="both"/>
        <w:rPr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>S</m:t>
          </m:r>
          <m:d>
            <m:dPr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lang w:eastAsia="zh-CN"/>
                </w:rPr>
                <m:t>d</m:t>
              </m:r>
              <m:r>
                <w:rPr>
                  <w:rFonts w:ascii="Cambria Math" w:hAnsi="Cambria Math"/>
                  <w:lang w:eastAsia="zh-CN"/>
                </w:rPr>
                <m:t>,</m:t>
              </m:r>
              <m:r>
                <w:rPr>
                  <w:rFonts w:ascii="Cambria Math" w:hAnsi="Cambria Math"/>
                  <w:lang w:eastAsia="zh-CN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func>
            <m:funcPr>
              <m:ctrlPr>
                <w:rPr>
                  <w:rFonts w:ascii="Cambria Math" w:hAnsi="Cambria Math"/>
                  <w:lang w:eastAsia="zh-CN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eastAsia="zh-C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lang w:eastAsia="zh-CN"/>
                    </w:rPr>
                    <m:t>1≤</m:t>
                  </m:r>
                  <m:r>
                    <w:rPr>
                      <w:rFonts w:ascii="Cambria Math" w:hAnsi="Cambria Math"/>
                      <w:lang w:eastAsia="zh-CN"/>
                    </w:rPr>
                    <m:t>i</m:t>
                  </m:r>
                  <m:r>
                    <w:rPr>
                      <w:rFonts w:ascii="Cambria Math" w:hAnsi="Cambria Math"/>
                      <w:lang w:eastAsia="zh-CN"/>
                    </w:rPr>
                    <m:t>≤</m:t>
                  </m:r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lim>
              </m:limLow>
            </m:fName>
            <m:e>
              <m:r>
                <w:rPr>
                  <w:rFonts w:ascii="Cambria Math" w:hAnsi="Cambria Math"/>
                  <w:lang w:eastAsia="zh-CN"/>
                </w:rPr>
                <m:t>S</m:t>
              </m:r>
              <m:r>
                <w:rPr>
                  <w:rFonts w:ascii="Cambria Math" w:hAnsi="Cambria Math"/>
                  <w:lang w:eastAsia="zh-CN"/>
                </w:rPr>
                <m:t>(</m:t>
              </m:r>
              <m:r>
                <w:rPr>
                  <w:rFonts w:ascii="Cambria Math" w:hAnsi="Cambria Math"/>
                  <w:lang w:eastAsia="zh-CN"/>
                </w:rPr>
                <m:t>d</m:t>
              </m:r>
              <m:r>
                <w:rPr>
                  <w:rFonts w:ascii="Cambria Math" w:hAnsi="Cambria Math"/>
                  <w:lang w:eastAsia="zh-CN"/>
                </w:rPr>
                <m:t>,</m:t>
              </m:r>
              <m:r>
                <w:rPr>
                  <w:rFonts w:ascii="Cambria Math" w:hAnsi="Cambria Math"/>
                  <w:lang w:eastAsia="zh-CN"/>
                </w:rPr>
                <m:t>d</m:t>
              </m:r>
              <m:r>
                <w:rPr>
                  <w:rFonts w:ascii="Cambria Math" w:hAnsi="Cambria Math"/>
                  <w:lang w:eastAsia="zh-CN"/>
                </w:rPr>
                <m:t>(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  <m:r>
                <w:rPr>
                  <w:rFonts w:ascii="Cambria Math" w:hAnsi="Cambria Math"/>
                  <w:lang w:eastAsia="zh-CN"/>
                </w:rPr>
                <m:t>))</m:t>
              </m:r>
            </m:e>
          </m:func>
        </m:oMath>
      </m:oMathPara>
    </w:p>
    <w:p w:rsidR="00480543" w:rsidRPr="003F224B" w:rsidRDefault="00342517">
      <w:pPr>
        <w:pStyle w:val="AuthorList"/>
        <w:spacing w:after="360"/>
        <w:jc w:val="both"/>
        <w:rPr>
          <w:b w:val="0"/>
          <w:bCs/>
          <w:lang w:eastAsia="zh-CN"/>
        </w:rPr>
      </w:pPr>
      <w:r w:rsidRPr="003F224B">
        <w:rPr>
          <w:b w:val="0"/>
          <w:bCs/>
          <w:lang w:eastAsia="zh-CN"/>
        </w:rPr>
        <w:t xml:space="preserve">For miRNA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b w:val="0"/>
          <w:bCs/>
          <w:lang w:eastAsia="zh-CN"/>
        </w:rPr>
        <w:t xml:space="preserve">, we define the disease group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D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={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),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),…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)}</m:t>
        </m:r>
      </m:oMath>
      <w:r w:rsidRPr="003F224B">
        <w:rPr>
          <w:b w:val="0"/>
          <w:bCs/>
          <w:lang w:eastAsia="zh-CN"/>
        </w:rPr>
        <w:t xml:space="preserve"> whose element </w:t>
      </w:r>
      <m:oMath>
        <m:sSub>
          <m:sSubPr>
            <m:ctrlPr>
              <w:rPr>
                <w:rFonts w:ascii="Cambria Math" w:hAnsi="Cambria Math"/>
                <w:b w:val="0"/>
                <w:bCs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i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 xml:space="preserve"> </w:t>
      </w:r>
      <w:r w:rsidRPr="003F224B">
        <w:rPr>
          <w:b w:val="0"/>
          <w:bCs/>
          <w:lang w:eastAsia="zh-CN"/>
        </w:rPr>
        <w:t xml:space="preserve">was associated with miRNA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 xml:space="preserve">. </w:t>
      </w:r>
      <w:r w:rsidRPr="003F224B">
        <w:rPr>
          <w:b w:val="0"/>
          <w:bCs/>
          <w:lang w:eastAsia="zh-CN"/>
        </w:rPr>
        <w:t xml:space="preserve">Similarly, we define another disease group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D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={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),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),…</m:t>
        </m:r>
        <m:sSub>
          <m:sSubPr>
            <m:ctrlPr>
              <w:rPr>
                <w:rFonts w:ascii="Cambria Math" w:hAnsi="Cambria Math"/>
                <w:b w:val="0"/>
                <w:bCs/>
                <w:i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n</m:t>
        </m:r>
        <m:r>
          <m:rPr>
            <m:sty m:val="bi"/>
          </m:rPr>
          <w:rPr>
            <w:rFonts w:ascii="Cambria Math" w:hAnsi="Cambria Math"/>
            <w:lang w:eastAsia="zh-CN"/>
          </w:rPr>
          <m:t>)}</m:t>
        </m:r>
      </m:oMath>
      <w:r w:rsidRPr="003F224B">
        <w:rPr>
          <w:rFonts w:hint="eastAsia"/>
          <w:b w:val="0"/>
          <w:bCs/>
          <w:lang w:eastAsia="zh-CN"/>
        </w:rPr>
        <w:t xml:space="preserve"> </w:t>
      </w:r>
      <w:r w:rsidRPr="003F224B">
        <w:rPr>
          <w:b w:val="0"/>
          <w:bCs/>
          <w:lang w:eastAsia="zh-CN"/>
        </w:rPr>
        <w:t xml:space="preserve">for miRNA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b w:val="0"/>
          <w:bCs/>
          <w:lang w:eastAsia="zh-CN"/>
        </w:rPr>
        <w:t xml:space="preserve">, and there is known association </w:t>
      </w:r>
      <w:r w:rsidRPr="003F224B">
        <w:rPr>
          <w:rFonts w:hint="eastAsia"/>
          <w:b w:val="0"/>
          <w:bCs/>
          <w:lang w:eastAsia="zh-CN"/>
        </w:rPr>
        <w:t>between</w:t>
      </w:r>
      <w:r w:rsidRPr="003F224B">
        <w:rPr>
          <w:b w:val="0"/>
          <w:bCs/>
          <w:lang w:eastAsia="zh-CN"/>
        </w:rPr>
        <w:t xml:space="preserve"> disease</w:t>
      </w:r>
      <w:r w:rsidRPr="003F224B">
        <w:rPr>
          <w:rFonts w:hint="eastAsia"/>
          <w:b w:val="0"/>
          <w:bCs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j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 xml:space="preserve"> and   </w:t>
      </w:r>
      <w:r w:rsidRPr="003F224B">
        <w:rPr>
          <w:b w:val="0"/>
          <w:bCs/>
          <w:lang w:eastAsia="zh-CN"/>
        </w:rPr>
        <w:t xml:space="preserve">miRNA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>.</w:t>
      </w:r>
      <w:r w:rsidRPr="003F224B">
        <w:rPr>
          <w:b w:val="0"/>
          <w:bCs/>
          <w:lang w:eastAsia="zh-CN"/>
        </w:rPr>
        <w:t xml:space="preserve"> The functional similarity between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1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eastAsia="zh-CN"/>
          </w:rPr>
          <m:t>m</m:t>
        </m:r>
        <m:r>
          <m:rPr>
            <m:sty m:val="bi"/>
          </m:rPr>
          <w:rPr>
            <w:rFonts w:ascii="Cambria Math" w:hAnsi="Cambria Math"/>
            <w:lang w:eastAsia="zh-CN"/>
          </w:rPr>
          <m:t>(</m:t>
        </m:r>
        <m:r>
          <m:rPr>
            <m:sty m:val="bi"/>
          </m:rPr>
          <w:rPr>
            <w:rFonts w:ascii="Cambria Math" w:hAnsi="Cambria Math"/>
            <w:lang w:eastAsia="zh-CN"/>
          </w:rPr>
          <m:t>2</m:t>
        </m:r>
        <m:r>
          <m:rPr>
            <m:sty m:val="bi"/>
          </m:rPr>
          <w:rPr>
            <w:rFonts w:ascii="Cambria Math" w:hAnsi="Cambria Math"/>
            <w:lang w:eastAsia="zh-CN"/>
          </w:rPr>
          <m:t>)</m:t>
        </m:r>
      </m:oMath>
      <w:r w:rsidRPr="003F224B">
        <w:rPr>
          <w:rFonts w:hint="eastAsia"/>
          <w:b w:val="0"/>
          <w:bCs/>
          <w:lang w:eastAsia="zh-CN"/>
        </w:rPr>
        <w:t xml:space="preserve"> </w:t>
      </w:r>
      <w:r w:rsidRPr="003F224B">
        <w:rPr>
          <w:b w:val="0"/>
          <w:bCs/>
          <w:lang w:eastAsia="zh-CN"/>
        </w:rPr>
        <w:t>could be calculated as follow:</w:t>
      </w:r>
    </w:p>
    <w:p w:rsidR="00480543" w:rsidRPr="003F224B" w:rsidRDefault="00342517">
      <w:pPr>
        <w:rPr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F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S</m:t>
          </m:r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lang w:eastAsia="zh-C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,m</m:t>
              </m:r>
              <m:d>
                <m:dPr>
                  <m:ctrlPr>
                    <w:rPr>
                      <w:rFonts w:ascii="Cambria Math" w:hAnsi="Cambria Math"/>
                      <w:lang w:eastAsia="zh-C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zh-CN"/>
                    </w:rPr>
                    <m:t>1≤</m:t>
                  </m:r>
                  <m:r>
                    <w:rPr>
                      <w:rFonts w:ascii="Cambria Math" w:hAnsi="Cambria Math"/>
                      <w:lang w:eastAsia="zh-CN"/>
                    </w:rPr>
                    <m:t>i</m:t>
                  </m:r>
                  <m:r>
                    <w:rPr>
                      <w:rFonts w:ascii="Cambria Math" w:hAnsi="Cambria Math"/>
                      <w:lang w:eastAsia="zh-CN"/>
                    </w:rPr>
                    <m:t>≤</m:t>
                  </m:r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sub>
                <m:sup/>
                <m:e>
                  <m:r>
                    <w:rPr>
                      <w:rFonts w:ascii="Cambria Math" w:hAnsi="Cambria Math"/>
                      <w:lang w:eastAsia="zh-CN"/>
                    </w:rPr>
                    <m:t>S</m:t>
                  </m:r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i</m:t>
                      </m:r>
                    </m:e>
                  </m:d>
                  <m:r>
                    <w:rPr>
                      <w:rFonts w:ascii="Cambria Math" w:hAnsi="Cambria Math"/>
                      <w:lang w:eastAsia="zh-CN"/>
                    </w:rPr>
                    <m:t>,</m:t>
                  </m:r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  <m:r>
                    <w:rPr>
                      <w:rFonts w:ascii="Cambria Math" w:hAnsi="Cambria Math"/>
                      <w:lang w:eastAsia="zh-CN"/>
                    </w:rPr>
                    <m:t>2)</m:t>
                  </m:r>
                </m:e>
              </m:nary>
              <m:r>
                <w:rPr>
                  <w:rFonts w:ascii="Cambria Math" w:hAnsi="Cambria Math"/>
                  <w:lang w:eastAsia="zh-CN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zh-CN"/>
                    </w:rPr>
                    <m:t>1≤</m:t>
                  </m:r>
                  <m:r>
                    <w:rPr>
                      <w:rFonts w:ascii="Cambria Math" w:hAnsi="Cambria Math"/>
                      <w:lang w:eastAsia="zh-CN"/>
                    </w:rPr>
                    <m:t>j</m:t>
                  </m:r>
                  <m:r>
                    <w:rPr>
                      <w:rFonts w:ascii="Cambria Math" w:hAnsi="Cambria Math"/>
                      <w:lang w:eastAsia="zh-CN"/>
                    </w:rPr>
                    <m:t>≤</m:t>
                  </m:r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lang w:eastAsia="zh-CN"/>
                    </w:rPr>
                    <m:t>S</m:t>
                  </m:r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  <m:r>
                    <w:rPr>
                      <w:rFonts w:ascii="Cambria Math" w:hAnsi="Cambria Math"/>
                      <w:lang w:eastAsia="zh-CN"/>
                    </w:rPr>
                    <m:t>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r>
                    <w:rPr>
                      <w:rFonts w:ascii="Cambria Math" w:hAnsi="Cambria Math"/>
                      <w:lang w:eastAsia="zh-CN"/>
                    </w:rPr>
                    <m:t>j</m:t>
                  </m:r>
                  <m:r>
                    <w:rPr>
                      <w:rFonts w:ascii="Cambria Math" w:hAnsi="Cambria Math"/>
                      <w:lang w:eastAsia="zh-CN"/>
                    </w:rPr>
                    <m:t>))</m:t>
                  </m:r>
                </m:e>
              </m:nary>
            </m:num>
            <m:den>
              <m:r>
                <w:rPr>
                  <w:rFonts w:ascii="Cambria Math" w:hAnsi="Cambria Math"/>
                  <w:lang w:eastAsia="zh-CN"/>
                </w:rPr>
                <m:t>m</m:t>
              </m:r>
              <m:r>
                <w:rPr>
                  <w:rFonts w:ascii="Cambria Math" w:hAnsi="Cambria Math"/>
                  <w:lang w:eastAsia="zh-CN"/>
                </w:rPr>
                <m:t>+</m:t>
              </m:r>
              <m:r>
                <w:rPr>
                  <w:rFonts w:ascii="Cambria Math" w:hAnsi="Cambria Math"/>
                  <w:lang w:eastAsia="zh-CN"/>
                </w:rPr>
                <m:t>n</m:t>
              </m:r>
            </m:den>
          </m:f>
        </m:oMath>
      </m:oMathPara>
    </w:p>
    <w:p w:rsidR="00480543" w:rsidRDefault="00480543">
      <w:pPr>
        <w:jc w:val="both"/>
      </w:pPr>
    </w:p>
    <w:sectPr w:rsidR="0048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17" w:rsidRDefault="00342517">
      <w:pPr>
        <w:spacing w:after="0"/>
      </w:pPr>
      <w:r>
        <w:separator/>
      </w:r>
    </w:p>
  </w:endnote>
  <w:endnote w:type="continuationSeparator" w:id="0">
    <w:p w:rsidR="00342517" w:rsidRDefault="00342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342517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0543" w:rsidRDefault="0034251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:rsidR="00480543" w:rsidRDefault="0034251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342517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0543" w:rsidRDefault="0034251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:rsidR="00480543" w:rsidRDefault="0034251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480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17" w:rsidRDefault="00342517">
      <w:pPr>
        <w:spacing w:after="0"/>
      </w:pPr>
      <w:r>
        <w:separator/>
      </w:r>
    </w:p>
  </w:footnote>
  <w:footnote w:type="continuationSeparator" w:id="0">
    <w:p w:rsidR="00342517" w:rsidRDefault="003425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342517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480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43" w:rsidRDefault="00342517">
    <w:r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13055B"/>
    <w:multiLevelType w:val="hybridMultilevel"/>
    <w:tmpl w:val="47C60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43"/>
    <w:rsid w:val="00342517"/>
    <w:rsid w:val="003F224B"/>
    <w:rsid w:val="004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854D3B-432A-4C98-B85B-F6749AE2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  <w:style w:type="paragraph" w:customStyle="1" w:styleId="authorinfo">
    <w:name w:val="authorinfo"/>
    <w:pPr>
      <w:widowControl w:val="0"/>
      <w:spacing w:after="400" w:line="240" w:lineRule="auto"/>
      <w:jc w:val="center"/>
    </w:pPr>
    <w:rPr>
      <w:rFonts w:ascii="Times New Roman" w:eastAsia="Batang" w:hAnsi="Times New Roman" w:cs="Times New Roman"/>
      <w:sz w:val="18"/>
      <w:szCs w:val="18"/>
      <w:lang w:eastAsia="de-D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chen@amss.ac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000878-8B29-45E9-8C23-5528B4C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Zhian Huang</dc:creator>
  <cp:lastModifiedBy>Ana Parra Munoz</cp:lastModifiedBy>
  <cp:revision>2</cp:revision>
  <cp:lastPrinted>2013-10-03T12:51:00Z</cp:lastPrinted>
  <dcterms:created xsi:type="dcterms:W3CDTF">2018-08-08T15:31:00Z</dcterms:created>
  <dcterms:modified xsi:type="dcterms:W3CDTF">2018-08-08T15:31:00Z</dcterms:modified>
</cp:coreProperties>
</file>