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B651D3" w14:textId="77777777" w:rsidR="005A1F5F" w:rsidRPr="00D832C7" w:rsidRDefault="005A1F5F" w:rsidP="00535BE2">
      <w:pPr>
        <w:pStyle w:val="Paragraph"/>
        <w:spacing w:line="480" w:lineRule="auto"/>
        <w:ind w:firstLine="0"/>
        <w:jc w:val="both"/>
        <w:rPr>
          <w:b/>
          <w:noProof/>
          <w:sz w:val="28"/>
          <w:szCs w:val="28"/>
        </w:rPr>
      </w:pPr>
      <w:r w:rsidRPr="00D832C7">
        <w:rPr>
          <w:b/>
          <w:noProof/>
          <w:sz w:val="28"/>
          <w:szCs w:val="28"/>
        </w:rPr>
        <w:t>Supplementary Figures</w:t>
      </w:r>
    </w:p>
    <w:p w14:paraId="2C6DDBE7" w14:textId="77777777" w:rsidR="009C0D62" w:rsidRDefault="009C0D62" w:rsidP="009C0D62">
      <w:pPr>
        <w:pStyle w:val="Paragraph"/>
        <w:spacing w:line="480" w:lineRule="auto"/>
        <w:ind w:firstLine="0"/>
        <w:jc w:val="both"/>
        <w:rPr>
          <w:b/>
        </w:rPr>
      </w:pPr>
      <w:r w:rsidRPr="00D832C7">
        <w:rPr>
          <w:b/>
        </w:rPr>
        <w:t>Supplementary Figure</w:t>
      </w:r>
      <w:r>
        <w:rPr>
          <w:b/>
        </w:rPr>
        <w:t xml:space="preserve"> 1</w:t>
      </w:r>
    </w:p>
    <w:p w14:paraId="70AF681D" w14:textId="77777777" w:rsidR="005A1F5F" w:rsidRDefault="005A1F5F" w:rsidP="005A1F5F">
      <w:pPr>
        <w:pStyle w:val="Paragraph"/>
        <w:spacing w:line="480" w:lineRule="auto"/>
        <w:ind w:firstLine="0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6124854C" wp14:editId="511AAAD8">
            <wp:extent cx="5304155" cy="23412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3A1EB8" w14:textId="19C94895" w:rsidR="00535BE2" w:rsidRDefault="00535BE2" w:rsidP="00535BE2">
      <w:pPr>
        <w:pStyle w:val="Paragraph"/>
        <w:spacing w:line="480" w:lineRule="auto"/>
        <w:ind w:firstLine="0"/>
        <w:jc w:val="both"/>
      </w:pPr>
      <w:r w:rsidRPr="008246C3">
        <w:rPr>
          <w:b/>
        </w:rPr>
        <w:t>Representative images of actin cytoskeleton</w:t>
      </w:r>
      <w:r>
        <w:rPr>
          <w:b/>
        </w:rPr>
        <w:t xml:space="preserve"> of T47D cells treated with APRIL.</w:t>
      </w:r>
      <w:r w:rsidRPr="00106333">
        <w:t xml:space="preserve"> </w:t>
      </w:r>
      <w:r>
        <w:t xml:space="preserve">Actin cytoskeleton was </w:t>
      </w:r>
      <w:r w:rsidRPr="00106333">
        <w:t xml:space="preserve">visualized by </w:t>
      </w:r>
      <w:r w:rsidR="001428BD">
        <w:t>rhodamine-</w:t>
      </w:r>
      <w:proofErr w:type="spellStart"/>
      <w:r w:rsidRPr="00106333">
        <w:t>phalloidine</w:t>
      </w:r>
      <w:proofErr w:type="spellEnd"/>
      <w:r w:rsidRPr="00106333">
        <w:t xml:space="preserve"> staining</w:t>
      </w:r>
      <w:r>
        <w:t xml:space="preserve"> and a representative image of</w:t>
      </w:r>
      <w:r w:rsidRPr="00106333">
        <w:t xml:space="preserve"> untreated (control) and treated with APRIL (100ng/ml, for 20 min) T47D cells</w:t>
      </w:r>
      <w:r>
        <w:t xml:space="preserve"> are presented</w:t>
      </w:r>
      <w:r w:rsidRPr="00106333">
        <w:t xml:space="preserve">. Arrows point out </w:t>
      </w:r>
      <w:proofErr w:type="spellStart"/>
      <w:r w:rsidRPr="00106333">
        <w:t>fillopodia</w:t>
      </w:r>
      <w:proofErr w:type="spellEnd"/>
      <w:r w:rsidRPr="00106333">
        <w:t>. Experiments were performed in triplicate.</w:t>
      </w:r>
    </w:p>
    <w:p w14:paraId="14B927D4" w14:textId="77777777" w:rsidR="00AB07FF" w:rsidRDefault="00AB07FF" w:rsidP="00535BE2">
      <w:pPr>
        <w:pStyle w:val="Paragraph"/>
        <w:spacing w:line="480" w:lineRule="auto"/>
        <w:ind w:firstLine="0"/>
        <w:jc w:val="both"/>
      </w:pPr>
    </w:p>
    <w:p w14:paraId="1E399F39" w14:textId="77777777" w:rsidR="00AB07FF" w:rsidRDefault="00AB07FF" w:rsidP="00535BE2">
      <w:pPr>
        <w:pStyle w:val="Paragraph"/>
        <w:spacing w:line="480" w:lineRule="auto"/>
        <w:ind w:firstLine="0"/>
        <w:jc w:val="both"/>
      </w:pPr>
    </w:p>
    <w:p w14:paraId="239E11D2" w14:textId="77777777" w:rsidR="00D832C7" w:rsidRDefault="00D832C7" w:rsidP="00535BE2">
      <w:pPr>
        <w:pStyle w:val="Paragraph"/>
        <w:spacing w:line="480" w:lineRule="auto"/>
        <w:ind w:firstLine="0"/>
        <w:jc w:val="both"/>
      </w:pPr>
    </w:p>
    <w:p w14:paraId="021E5D0A" w14:textId="77777777" w:rsidR="00D832C7" w:rsidRDefault="00D832C7" w:rsidP="00535BE2">
      <w:pPr>
        <w:pStyle w:val="Paragraph"/>
        <w:spacing w:line="480" w:lineRule="auto"/>
        <w:ind w:firstLine="0"/>
        <w:jc w:val="both"/>
      </w:pPr>
    </w:p>
    <w:p w14:paraId="61E40180" w14:textId="77777777" w:rsidR="00D832C7" w:rsidRDefault="00D832C7" w:rsidP="00535BE2">
      <w:pPr>
        <w:pStyle w:val="Paragraph"/>
        <w:spacing w:line="480" w:lineRule="auto"/>
        <w:ind w:firstLine="0"/>
        <w:jc w:val="both"/>
      </w:pPr>
    </w:p>
    <w:p w14:paraId="031A868A" w14:textId="77777777" w:rsidR="00D832C7" w:rsidRDefault="00D832C7" w:rsidP="00535BE2">
      <w:pPr>
        <w:pStyle w:val="Paragraph"/>
        <w:spacing w:line="480" w:lineRule="auto"/>
        <w:ind w:firstLine="0"/>
        <w:jc w:val="both"/>
      </w:pPr>
    </w:p>
    <w:p w14:paraId="2BA809FE" w14:textId="77777777" w:rsidR="009C0D62" w:rsidRDefault="009C0D62" w:rsidP="00535BE2">
      <w:pPr>
        <w:pStyle w:val="Paragraph"/>
        <w:spacing w:line="480" w:lineRule="auto"/>
        <w:ind w:firstLine="0"/>
        <w:jc w:val="both"/>
      </w:pPr>
    </w:p>
    <w:p w14:paraId="68940F0B" w14:textId="77777777" w:rsidR="009C0D62" w:rsidRDefault="009C0D62" w:rsidP="00535BE2">
      <w:pPr>
        <w:pStyle w:val="Paragraph"/>
        <w:spacing w:line="480" w:lineRule="auto"/>
        <w:ind w:firstLine="0"/>
        <w:jc w:val="both"/>
      </w:pPr>
    </w:p>
    <w:p w14:paraId="13120B91" w14:textId="77777777" w:rsidR="00D832C7" w:rsidRDefault="00D832C7" w:rsidP="00535BE2">
      <w:pPr>
        <w:pStyle w:val="Paragraph"/>
        <w:spacing w:line="480" w:lineRule="auto"/>
        <w:ind w:firstLine="0"/>
        <w:jc w:val="both"/>
      </w:pPr>
    </w:p>
    <w:p w14:paraId="365262BD" w14:textId="59F24D33" w:rsidR="00D832C7" w:rsidRPr="00D832C7" w:rsidRDefault="00D832C7" w:rsidP="00535BE2">
      <w:pPr>
        <w:pStyle w:val="Paragraph"/>
        <w:spacing w:line="480" w:lineRule="auto"/>
        <w:ind w:firstLine="0"/>
        <w:jc w:val="both"/>
        <w:rPr>
          <w:b/>
        </w:rPr>
      </w:pPr>
      <w:r w:rsidRPr="00D832C7">
        <w:rPr>
          <w:b/>
        </w:rPr>
        <w:t xml:space="preserve">Supplementary Figure </w:t>
      </w:r>
      <w:r w:rsidR="001428BD">
        <w:rPr>
          <w:b/>
        </w:rPr>
        <w:t>2</w:t>
      </w:r>
    </w:p>
    <w:p w14:paraId="11A2B4D2" w14:textId="77777777" w:rsidR="005A1F5F" w:rsidRDefault="007E6435" w:rsidP="00535BE2">
      <w:pPr>
        <w:pStyle w:val="Paragraph"/>
        <w:spacing w:line="480" w:lineRule="auto"/>
        <w:ind w:firstLine="0"/>
        <w:jc w:val="both"/>
      </w:pPr>
      <w:r>
        <w:rPr>
          <w:noProof/>
        </w:rPr>
        <w:drawing>
          <wp:inline distT="0" distB="0" distL="0" distR="0" wp14:anchorId="07191270" wp14:editId="67E510BA">
            <wp:extent cx="5416280" cy="3362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25" cy="3377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FF8CB2" w14:textId="77777777" w:rsidR="00535BE2" w:rsidRDefault="00535BE2" w:rsidP="00535BE2">
      <w:pPr>
        <w:pStyle w:val="Paragraph"/>
        <w:spacing w:line="480" w:lineRule="auto"/>
        <w:ind w:firstLine="0"/>
        <w:jc w:val="both"/>
      </w:pPr>
      <w:r w:rsidRPr="00D71649">
        <w:rPr>
          <w:b/>
        </w:rPr>
        <w:t>Percentage of breast cancer stem cells that are positive for ALDH activity as estimated by the ALDEFLUOR kit</w:t>
      </w:r>
      <w:r>
        <w:rPr>
          <w:b/>
        </w:rPr>
        <w:t xml:space="preserve">. </w:t>
      </w:r>
      <w:r w:rsidRPr="00D71649">
        <w:t xml:space="preserve">Cells were treated with or without APRIL or BAFF (100ng/ml) for 4 days. Lower panel presents DEAB-treated cells that serve as the negative control, since DEAB is an inhibitor of ALDH1A1 activity. Three independent experiments were performed and the results of a representative one </w:t>
      </w:r>
      <w:proofErr w:type="gramStart"/>
      <w:r w:rsidRPr="00D71649">
        <w:t>are</w:t>
      </w:r>
      <w:proofErr w:type="gramEnd"/>
      <w:r w:rsidRPr="00D71649">
        <w:t xml:space="preserve"> presented.</w:t>
      </w:r>
    </w:p>
    <w:p w14:paraId="4BC5492D" w14:textId="77777777" w:rsidR="00D832C7" w:rsidRDefault="00D832C7" w:rsidP="00535BE2">
      <w:pPr>
        <w:pStyle w:val="Paragraph"/>
        <w:spacing w:line="480" w:lineRule="auto"/>
        <w:ind w:firstLine="0"/>
        <w:jc w:val="both"/>
      </w:pPr>
    </w:p>
    <w:p w14:paraId="6A952C3F" w14:textId="77777777" w:rsidR="00D832C7" w:rsidRDefault="00D832C7" w:rsidP="00535BE2">
      <w:pPr>
        <w:pStyle w:val="Paragraph"/>
        <w:spacing w:line="480" w:lineRule="auto"/>
        <w:ind w:firstLine="0"/>
        <w:jc w:val="both"/>
      </w:pPr>
    </w:p>
    <w:p w14:paraId="77CF521D" w14:textId="77777777" w:rsidR="00D832C7" w:rsidRDefault="00D832C7" w:rsidP="00535BE2">
      <w:pPr>
        <w:pStyle w:val="Paragraph"/>
        <w:spacing w:line="480" w:lineRule="auto"/>
        <w:ind w:firstLine="0"/>
        <w:jc w:val="both"/>
      </w:pPr>
    </w:p>
    <w:p w14:paraId="678E0B95" w14:textId="77777777" w:rsidR="00D832C7" w:rsidRDefault="00D832C7" w:rsidP="00535BE2">
      <w:pPr>
        <w:pStyle w:val="Paragraph"/>
        <w:spacing w:line="480" w:lineRule="auto"/>
        <w:ind w:firstLine="0"/>
        <w:jc w:val="both"/>
      </w:pPr>
    </w:p>
    <w:p w14:paraId="4F5F4671" w14:textId="77777777" w:rsidR="00D832C7" w:rsidRDefault="00D832C7" w:rsidP="00535BE2">
      <w:pPr>
        <w:pStyle w:val="Paragraph"/>
        <w:spacing w:line="480" w:lineRule="auto"/>
        <w:ind w:firstLine="0"/>
        <w:jc w:val="both"/>
      </w:pPr>
    </w:p>
    <w:p w14:paraId="151E4BCC" w14:textId="77777777" w:rsidR="00D832C7" w:rsidRDefault="00D832C7" w:rsidP="00535BE2">
      <w:pPr>
        <w:pStyle w:val="Paragraph"/>
        <w:spacing w:line="480" w:lineRule="auto"/>
        <w:ind w:firstLine="0"/>
        <w:jc w:val="both"/>
      </w:pPr>
    </w:p>
    <w:p w14:paraId="464E966B" w14:textId="3F888BE6" w:rsidR="00D832C7" w:rsidRPr="00D832C7" w:rsidRDefault="00D832C7" w:rsidP="00535BE2">
      <w:pPr>
        <w:pStyle w:val="Paragraph"/>
        <w:spacing w:line="480" w:lineRule="auto"/>
        <w:ind w:firstLine="0"/>
        <w:jc w:val="both"/>
        <w:rPr>
          <w:b/>
        </w:rPr>
      </w:pPr>
      <w:r w:rsidRPr="00D832C7">
        <w:rPr>
          <w:b/>
        </w:rPr>
        <w:t xml:space="preserve">Supplementary Figure </w:t>
      </w:r>
      <w:r w:rsidR="001428BD">
        <w:rPr>
          <w:b/>
        </w:rPr>
        <w:t>3</w:t>
      </w:r>
    </w:p>
    <w:p w14:paraId="4FED6162" w14:textId="77777777" w:rsidR="00AB07FF" w:rsidRDefault="00355BCE" w:rsidP="003A3403">
      <w:pPr>
        <w:pStyle w:val="Paragraph"/>
        <w:spacing w:line="480" w:lineRule="auto"/>
        <w:ind w:firstLine="0"/>
        <w:jc w:val="center"/>
      </w:pPr>
      <w:r>
        <w:rPr>
          <w:noProof/>
        </w:rPr>
        <w:drawing>
          <wp:inline distT="0" distB="0" distL="0" distR="0" wp14:anchorId="59BF98B2" wp14:editId="2651B870">
            <wp:extent cx="5766794" cy="4565015"/>
            <wp:effectExtent l="0" t="0" r="571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328" cy="457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DF92C9" w14:textId="158E8E65" w:rsidR="003A3403" w:rsidRDefault="00535BE2" w:rsidP="00535BE2">
      <w:pPr>
        <w:pStyle w:val="Paragraph"/>
        <w:spacing w:line="480" w:lineRule="auto"/>
        <w:ind w:firstLine="0"/>
        <w:jc w:val="both"/>
        <w:rPr>
          <w:b/>
        </w:rPr>
      </w:pPr>
      <w:r w:rsidRPr="003D39FD">
        <w:rPr>
          <w:b/>
        </w:rPr>
        <w:t xml:space="preserve">Expression </w:t>
      </w:r>
      <w:r>
        <w:rPr>
          <w:b/>
        </w:rPr>
        <w:t xml:space="preserve">levels of </w:t>
      </w:r>
      <w:r w:rsidRPr="003D39FD">
        <w:rPr>
          <w:b/>
        </w:rPr>
        <w:t>pluripotency markers</w:t>
      </w:r>
      <w:r>
        <w:rPr>
          <w:b/>
        </w:rPr>
        <w:t xml:space="preserve"> in MDA cells after</w:t>
      </w:r>
      <w:r w:rsidRPr="00C60C33">
        <w:t xml:space="preserve"> </w:t>
      </w:r>
      <w:r w:rsidRPr="00C60C33">
        <w:rPr>
          <w:b/>
        </w:rPr>
        <w:t>APRIL or BAFF</w:t>
      </w:r>
      <w:r>
        <w:rPr>
          <w:b/>
        </w:rPr>
        <w:t xml:space="preserve"> treatment.</w:t>
      </w:r>
      <w:r w:rsidRPr="003D39FD">
        <w:t xml:space="preserve"> </w:t>
      </w:r>
      <w:r w:rsidRPr="0042172E">
        <w:rPr>
          <w:b/>
        </w:rPr>
        <w:t>A.</w:t>
      </w:r>
      <w:r>
        <w:t xml:space="preserve"> </w:t>
      </w:r>
      <w:r w:rsidRPr="00F006A7">
        <w:t xml:space="preserve">Expression levels of ALDH1A1, KLF4, SOX-2, and c-MYC, genes (quantified by Real-Time PCR and expressed as percentage of control) after treatment of MDA cells with APRIL or BAFF (100ng/ml) for 4 days. </w:t>
      </w:r>
      <w:r w:rsidRPr="0042172E">
        <w:rPr>
          <w:b/>
        </w:rPr>
        <w:t>B. and C.</w:t>
      </w:r>
      <w:r w:rsidRPr="00F006A7">
        <w:t xml:space="preserve"> Expression of SOX-2, c-MYC, ALDH1A1 and NANOG proteins (assayed by immunocytochemistry). Representative images of three independent experiments are presented </w:t>
      </w:r>
      <w:r w:rsidRPr="003A3403">
        <w:rPr>
          <w:b/>
        </w:rPr>
        <w:t>(B)</w:t>
      </w:r>
      <w:r w:rsidRPr="00F006A7">
        <w:t xml:space="preserve"> Quantification of the proteins’ expression levels was performed using Image J and is expressed as percentage of control </w:t>
      </w:r>
      <w:r w:rsidRPr="003A3403">
        <w:rPr>
          <w:b/>
        </w:rPr>
        <w:t>(C).</w:t>
      </w:r>
    </w:p>
    <w:p w14:paraId="18F9723D" w14:textId="74C19482" w:rsidR="00E634D4" w:rsidRDefault="00E634D4" w:rsidP="00535BE2">
      <w:pPr>
        <w:pStyle w:val="Paragraph"/>
        <w:spacing w:line="480" w:lineRule="auto"/>
        <w:ind w:firstLine="0"/>
        <w:jc w:val="both"/>
        <w:rPr>
          <w:b/>
        </w:rPr>
      </w:pPr>
    </w:p>
    <w:p w14:paraId="04E05043" w14:textId="73D663A3" w:rsidR="00E634D4" w:rsidRPr="00D832C7" w:rsidRDefault="00E634D4" w:rsidP="00E634D4">
      <w:pPr>
        <w:pStyle w:val="Paragraph"/>
        <w:spacing w:line="480" w:lineRule="auto"/>
        <w:ind w:firstLine="0"/>
        <w:jc w:val="both"/>
        <w:rPr>
          <w:b/>
        </w:rPr>
      </w:pPr>
      <w:r w:rsidRPr="00D832C7">
        <w:rPr>
          <w:b/>
        </w:rPr>
        <w:lastRenderedPageBreak/>
        <w:t xml:space="preserve">Supplementary Figure </w:t>
      </w:r>
      <w:r>
        <w:rPr>
          <w:b/>
        </w:rPr>
        <w:t>4</w:t>
      </w:r>
    </w:p>
    <w:p w14:paraId="05E2BAC8" w14:textId="549E700A" w:rsidR="00E634D4" w:rsidRDefault="00E634D4" w:rsidP="00535BE2">
      <w:pPr>
        <w:pStyle w:val="Paragraph"/>
        <w:spacing w:line="480" w:lineRule="auto"/>
        <w:ind w:firstLine="0"/>
        <w:jc w:val="both"/>
        <w:rPr>
          <w:b/>
        </w:rPr>
      </w:pPr>
      <w:r w:rsidRPr="00E634D4">
        <w:rPr>
          <w:b/>
          <w:noProof/>
          <w:lang w:val="el-GR"/>
        </w:rPr>
        <w:drawing>
          <wp:inline distT="0" distB="0" distL="0" distR="0" wp14:anchorId="2BEE475A" wp14:editId="6F850639">
            <wp:extent cx="5274310" cy="5436870"/>
            <wp:effectExtent l="0" t="0" r="0" b="0"/>
            <wp:docPr id="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8333D01-8C2D-4D6D-BCCA-30D5A6C275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48333D01-8C2D-4D6D-BCCA-30D5A6C275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D06C6" w14:textId="38274531" w:rsidR="00E634D4" w:rsidRPr="00F23F86" w:rsidRDefault="00E634D4" w:rsidP="00535BE2">
      <w:pPr>
        <w:pStyle w:val="Paragraph"/>
        <w:spacing w:line="480" w:lineRule="auto"/>
        <w:ind w:firstLine="0"/>
        <w:jc w:val="both"/>
      </w:pPr>
      <w:r w:rsidRPr="00E634D4">
        <w:rPr>
          <w:b/>
        </w:rPr>
        <w:t>Correlation analysis of APRIL (TNFSF13), BAFF (TNFSF13B), BCMA (TNFRSF17), androgen receptor (AR), SOX2 and KLF4 in 56 different breast cancer cell lines.</w:t>
      </w:r>
      <w:r w:rsidRPr="00E634D4">
        <w:t xml:space="preserve"> </w:t>
      </w:r>
      <w:r w:rsidR="00F23F86">
        <w:t xml:space="preserve">Normalized matrix data of the study </w:t>
      </w:r>
      <w:r w:rsidR="00F23F86" w:rsidRPr="007A6D32">
        <w:rPr>
          <w:rFonts w:eastAsiaTheme="minorHAnsi"/>
        </w:rPr>
        <w:t>E-TABM-157</w:t>
      </w:r>
      <w:r w:rsidR="00F23F86">
        <w:rPr>
          <w:rFonts w:eastAsiaTheme="minorHAnsi"/>
        </w:rPr>
        <w:t xml:space="preserve"> were downloaded from </w:t>
      </w:r>
      <w:r w:rsidR="00F23F86">
        <w:rPr>
          <w:rFonts w:eastAsiaTheme="minorHAnsi"/>
          <w:i/>
        </w:rPr>
        <w:t>Array Express</w:t>
      </w:r>
      <w:r w:rsidR="00F23F86">
        <w:rPr>
          <w:rFonts w:eastAsiaTheme="minorHAnsi"/>
        </w:rPr>
        <w:t>. Expression data for TNFSF13, TNFSF13B, TNFRSF17, AR, SOX2, ALDH1A1, c-</w:t>
      </w:r>
      <w:proofErr w:type="spellStart"/>
      <w:r w:rsidR="00F23F86">
        <w:rPr>
          <w:rFonts w:eastAsiaTheme="minorHAnsi"/>
        </w:rPr>
        <w:t>Myc</w:t>
      </w:r>
      <w:proofErr w:type="spellEnd"/>
      <w:r w:rsidR="00F23F86">
        <w:rPr>
          <w:rFonts w:eastAsiaTheme="minorHAnsi"/>
        </w:rPr>
        <w:t>, KLF4 and NANOG were extracted and analyzed in Origin 8, through a linear fit. Outliers (the same in each analysis) were denoted in red.</w:t>
      </w:r>
      <w:bookmarkStart w:id="0" w:name="_GoBack"/>
      <w:bookmarkEnd w:id="0"/>
    </w:p>
    <w:p w14:paraId="350F20FB" w14:textId="77777777" w:rsidR="003A3403" w:rsidRDefault="003A3403" w:rsidP="00535BE2">
      <w:pPr>
        <w:pStyle w:val="Paragraph"/>
        <w:spacing w:line="480" w:lineRule="auto"/>
        <w:ind w:firstLine="0"/>
        <w:jc w:val="both"/>
        <w:rPr>
          <w:b/>
        </w:rPr>
      </w:pPr>
    </w:p>
    <w:sectPr w:rsidR="003A340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GxNDG1tDQ0MjcyMDRT0lEKTi0uzszPAykwrAUAt4MQqCwAAAA="/>
  </w:docVars>
  <w:rsids>
    <w:rsidRoot w:val="00535BE2"/>
    <w:rsid w:val="001428BD"/>
    <w:rsid w:val="001613AA"/>
    <w:rsid w:val="001C6FF3"/>
    <w:rsid w:val="00355BCE"/>
    <w:rsid w:val="003A3403"/>
    <w:rsid w:val="00535BE2"/>
    <w:rsid w:val="005A1F5F"/>
    <w:rsid w:val="007E6435"/>
    <w:rsid w:val="009C0D62"/>
    <w:rsid w:val="00AB07FF"/>
    <w:rsid w:val="00D832C7"/>
    <w:rsid w:val="00E3771D"/>
    <w:rsid w:val="00E45A5F"/>
    <w:rsid w:val="00E634D4"/>
    <w:rsid w:val="00F23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FDC05"/>
  <w15:chartTrackingRefBased/>
  <w15:docId w15:val="{82E865E2-F38F-4509-97E8-99449F2A7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535BE2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28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8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Χρήστης των Windows</dc:creator>
  <cp:keywords/>
  <dc:description/>
  <cp:lastModifiedBy>E c</cp:lastModifiedBy>
  <cp:revision>4</cp:revision>
  <dcterms:created xsi:type="dcterms:W3CDTF">2018-03-29T11:41:00Z</dcterms:created>
  <dcterms:modified xsi:type="dcterms:W3CDTF">2018-06-28T12:04:00Z</dcterms:modified>
</cp:coreProperties>
</file>