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40" w:rsidRDefault="00F10240" w:rsidP="00F10240">
      <w:pPr>
        <w:widowControl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</w:p>
    <w:p w:rsidR="00E77F89" w:rsidRPr="00F10240" w:rsidRDefault="00E77F89" w:rsidP="00F10240">
      <w:pPr>
        <w:widowControl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 w:rsidRPr="00F10240">
        <w:rPr>
          <w:rFonts w:ascii="Times New Roman" w:hAnsi="Times New Roman" w:cs="Times New Roman"/>
          <w:b/>
          <w:color w:val="000000" w:themeColor="text1"/>
          <w:szCs w:val="21"/>
        </w:rPr>
        <w:t>Table</w:t>
      </w:r>
      <w:r w:rsidRPr="00F10240">
        <w:rPr>
          <w:rFonts w:ascii="Times New Roman" w:hAnsi="Times New Roman" w:cs="Times New Roman" w:hint="eastAsia"/>
          <w:b/>
          <w:color w:val="000000" w:themeColor="text1"/>
          <w:szCs w:val="21"/>
        </w:rPr>
        <w:t xml:space="preserve"> S</w:t>
      </w:r>
      <w:r w:rsidR="00F10240" w:rsidRPr="00F10240">
        <w:rPr>
          <w:rFonts w:ascii="Times New Roman" w:hAnsi="Times New Roman" w:cs="Times New Roman" w:hint="eastAsia"/>
          <w:b/>
          <w:color w:val="000000" w:themeColor="text1"/>
          <w:szCs w:val="21"/>
        </w:rPr>
        <w:t>2</w:t>
      </w:r>
      <w:r w:rsidRPr="00F10240">
        <w:rPr>
          <w:rFonts w:ascii="Times New Roman" w:hAnsi="Times New Roman" w:cs="Times New Roman"/>
          <w:b/>
          <w:color w:val="000000" w:themeColor="text1"/>
          <w:szCs w:val="21"/>
        </w:rPr>
        <w:t xml:space="preserve"> | </w:t>
      </w:r>
      <w:r w:rsidRPr="00F10240">
        <w:rPr>
          <w:rFonts w:ascii="Times New Roman" w:hAnsi="Times New Roman" w:cs="Times New Roman" w:hint="eastAsia"/>
          <w:b/>
          <w:color w:val="000000" w:themeColor="text1"/>
          <w:szCs w:val="21"/>
        </w:rPr>
        <w:t>St</w:t>
      </w:r>
      <w:r w:rsidRPr="00F10240">
        <w:rPr>
          <w:rFonts w:ascii="Times New Roman" w:hAnsi="Times New Roman" w:cs="Times New Roman"/>
          <w:b/>
          <w:color w:val="000000" w:themeColor="text1"/>
          <w:szCs w:val="21"/>
        </w:rPr>
        <w:t>able QTLs and candidate genes identified in different environments for seed vigor-related traits under artificial aging treatment in RILs</w:t>
      </w:r>
    </w:p>
    <w:tbl>
      <w:tblPr>
        <w:tblW w:w="14265" w:type="dxa"/>
        <w:jc w:val="center"/>
        <w:tblCellSpacing w:w="0" w:type="dxa"/>
        <w:tblInd w:w="-104" w:type="dxa"/>
        <w:tblCellMar>
          <w:left w:w="57" w:type="dxa"/>
          <w:right w:w="57" w:type="dxa"/>
        </w:tblCellMar>
        <w:tblLook w:val="04A0"/>
      </w:tblPr>
      <w:tblGrid>
        <w:gridCol w:w="1829"/>
        <w:gridCol w:w="877"/>
        <w:gridCol w:w="11559"/>
      </w:tblGrid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1E1B13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QTL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Default="001E1B13" w:rsidP="001E1B1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 xml:space="preserve">Position </w:t>
            </w:r>
          </w:p>
          <w:p w:rsidR="001E1B13" w:rsidRPr="00DD5989" w:rsidRDefault="001E1B13" w:rsidP="001E1B1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 xml:space="preserve">(cM) </w:t>
            </w:r>
          </w:p>
        </w:tc>
        <w:tc>
          <w:tcPr>
            <w:tcW w:w="1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1E1B13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Candidate gene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 annotation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QaMG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T.cas-2DS.2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46~51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Starch synthase 3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QaMG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T.cas-4AS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28~44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Stem rust resistance protein Rpg1, NBS-LRR resistance-like protein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QaMG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R.cas-2DS.2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47~51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Starch synthase 3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QaMG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R.cas-4AS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28~33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Stem rust resistance protein Rpg1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QaGI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.cas-3DL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57~91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1E1B13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Dolichyl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-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diphosphooligosaccharide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-protein 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glycosyltransferase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，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glutaminyl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-peptide 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cyclotransferase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-like,</w:t>
            </w:r>
            <w:r w:rsidRPr="00DD5989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wheat alpha-Amy2/53 gene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QaGR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.cas-3DL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87~91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Glutaminyl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-peptide 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cyclotransferase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-like,</w:t>
            </w:r>
            <w:r w:rsidRPr="00DD5989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wheat alpha-Amy2/53 gene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QaGR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.cas-6BL.2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159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3E7346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Aegilops</w:t>
            </w:r>
            <w:proofErr w:type="spellEnd"/>
            <w:r w:rsidRPr="003E7346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3E7346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tauschii</w:t>
            </w:r>
            <w:proofErr w:type="spellEnd"/>
            <w:r w:rsidRPr="0042311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protein 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Kinesin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light chain-related 2-like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QaZ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.cas-4AS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30~49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Stem rust resistance protein Rpg1, NBS-LRR resistance-like protein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QaFCGR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.cas-2DS.2</w:t>
            </w:r>
          </w:p>
        </w:tc>
        <w:tc>
          <w:tcPr>
            <w:tcW w:w="8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50~51</w:t>
            </w:r>
          </w:p>
        </w:tc>
        <w:tc>
          <w:tcPr>
            <w:tcW w:w="1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Starch synthase 3</w:t>
            </w:r>
          </w:p>
        </w:tc>
      </w:tr>
      <w:tr w:rsidR="001E1B13" w:rsidRPr="00DD5989" w:rsidTr="001E1B13">
        <w:trPr>
          <w:trHeight w:val="20"/>
          <w:tblHeader/>
          <w:tblCellSpacing w:w="0" w:type="dxa"/>
          <w:jc w:val="center"/>
        </w:trPr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F10240">
            <w:pPr>
              <w:widowControl/>
              <w:spacing w:line="400" w:lineRule="exac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QaFCGR</w:t>
            </w:r>
            <w:r w:rsidRPr="00DD5989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Cs w:val="21"/>
              </w:rPr>
              <w:t>.cas-3DL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F1024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56~91</w:t>
            </w:r>
          </w:p>
        </w:tc>
        <w:tc>
          <w:tcPr>
            <w:tcW w:w="1155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1B13" w:rsidRPr="00DD5989" w:rsidRDefault="001E1B13" w:rsidP="001E1B13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Dolichyl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-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diphosphooligosaccharide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-protein 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glycosyltransferase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，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glutaminyl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-peptide </w:t>
            </w:r>
            <w:proofErr w:type="spellStart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cyclotransferase</w:t>
            </w:r>
            <w:proofErr w:type="spellEnd"/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-like,</w:t>
            </w:r>
            <w:r w:rsidRPr="00DD5989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DD5989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wheat alpha-Amy2/53 gene</w:t>
            </w:r>
          </w:p>
        </w:tc>
      </w:tr>
    </w:tbl>
    <w:p w:rsidR="0022536E" w:rsidRDefault="0022536E"/>
    <w:sectPr w:rsidR="0022536E" w:rsidSect="00E354EB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D3" w:rsidRDefault="000D31D3" w:rsidP="003E7346">
      <w:r>
        <w:separator/>
      </w:r>
    </w:p>
  </w:endnote>
  <w:endnote w:type="continuationSeparator" w:id="0">
    <w:p w:rsidR="000D31D3" w:rsidRDefault="000D31D3" w:rsidP="003E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D3" w:rsidRDefault="000D31D3" w:rsidP="003E7346">
      <w:r>
        <w:separator/>
      </w:r>
    </w:p>
  </w:footnote>
  <w:footnote w:type="continuationSeparator" w:id="0">
    <w:p w:rsidR="000D31D3" w:rsidRDefault="000D31D3" w:rsidP="003E7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F89"/>
    <w:rsid w:val="00002B20"/>
    <w:rsid w:val="000D31D3"/>
    <w:rsid w:val="0013598F"/>
    <w:rsid w:val="001E1B13"/>
    <w:rsid w:val="0022536E"/>
    <w:rsid w:val="00237BB2"/>
    <w:rsid w:val="00355797"/>
    <w:rsid w:val="003E7346"/>
    <w:rsid w:val="0043749A"/>
    <w:rsid w:val="00540C1A"/>
    <w:rsid w:val="00540D57"/>
    <w:rsid w:val="006E5333"/>
    <w:rsid w:val="00924BAA"/>
    <w:rsid w:val="00953D80"/>
    <w:rsid w:val="00AA5E7E"/>
    <w:rsid w:val="00AB62A7"/>
    <w:rsid w:val="00D84457"/>
    <w:rsid w:val="00DE634C"/>
    <w:rsid w:val="00E354EB"/>
    <w:rsid w:val="00E77F89"/>
    <w:rsid w:val="00F1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02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F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7F8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3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3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0240"/>
    <w:rPr>
      <w:b/>
      <w:bCs/>
      <w:kern w:val="44"/>
      <w:sz w:val="44"/>
      <w:szCs w:val="44"/>
    </w:rPr>
  </w:style>
  <w:style w:type="character" w:customStyle="1" w:styleId="Char2">
    <w:name w:val="批注文字 Char"/>
    <w:basedOn w:val="a0"/>
    <w:link w:val="a6"/>
    <w:uiPriority w:val="99"/>
    <w:semiHidden/>
    <w:rsid w:val="00F10240"/>
  </w:style>
  <w:style w:type="paragraph" w:styleId="a6">
    <w:name w:val="annotation text"/>
    <w:basedOn w:val="a"/>
    <w:link w:val="Char2"/>
    <w:uiPriority w:val="99"/>
    <w:semiHidden/>
    <w:unhideWhenUsed/>
    <w:rsid w:val="00F10240"/>
    <w:pPr>
      <w:jc w:val="left"/>
    </w:pPr>
  </w:style>
  <w:style w:type="character" w:customStyle="1" w:styleId="Char3">
    <w:name w:val="批注主题 Char"/>
    <w:basedOn w:val="Char2"/>
    <w:link w:val="a7"/>
    <w:uiPriority w:val="99"/>
    <w:semiHidden/>
    <w:rsid w:val="00F10240"/>
    <w:rPr>
      <w:b/>
      <w:bCs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F10240"/>
    <w:rPr>
      <w:b/>
      <w:bCs/>
    </w:rPr>
  </w:style>
  <w:style w:type="paragraph" w:customStyle="1" w:styleId="EndNoteBibliography">
    <w:name w:val="EndNote Bibliography"/>
    <w:basedOn w:val="a"/>
    <w:link w:val="EndNoteBibliographyChar"/>
    <w:rsid w:val="00F1024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10240"/>
    <w:rPr>
      <w:rFonts w:ascii="Calibri" w:hAnsi="Calibri"/>
      <w:noProof/>
      <w:sz w:val="20"/>
    </w:rPr>
  </w:style>
  <w:style w:type="character" w:customStyle="1" w:styleId="Char4">
    <w:name w:val="文档结构图 Char"/>
    <w:basedOn w:val="a0"/>
    <w:link w:val="a8"/>
    <w:uiPriority w:val="99"/>
    <w:semiHidden/>
    <w:rsid w:val="00F10240"/>
    <w:rPr>
      <w:rFonts w:ascii="宋体" w:eastAsia="宋体"/>
      <w:sz w:val="18"/>
      <w:szCs w:val="18"/>
    </w:rPr>
  </w:style>
  <w:style w:type="paragraph" w:styleId="a8">
    <w:name w:val="Document Map"/>
    <w:basedOn w:val="a"/>
    <w:link w:val="Char4"/>
    <w:uiPriority w:val="99"/>
    <w:semiHidden/>
    <w:unhideWhenUsed/>
    <w:rsid w:val="00F1024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</dc:creator>
  <cp:lastModifiedBy>zuo</cp:lastModifiedBy>
  <cp:revision>3</cp:revision>
  <dcterms:created xsi:type="dcterms:W3CDTF">2018-07-17T07:02:00Z</dcterms:created>
  <dcterms:modified xsi:type="dcterms:W3CDTF">2018-07-17T07:03:00Z</dcterms:modified>
</cp:coreProperties>
</file>