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12" w:rsidRDefault="00160412" w:rsidP="00160412">
      <w:pPr>
        <w:spacing w:after="0" w:line="240" w:lineRule="auto"/>
        <w:rPr>
          <w:rFonts w:ascii="Times New Roman" w:hAnsi="Times New Roman" w:cs="Times New Roman"/>
          <w:b/>
          <w:sz w:val="24"/>
          <w:szCs w:val="24"/>
          <w:lang w:val="en-GB"/>
        </w:rPr>
      </w:pPr>
      <w:r w:rsidRPr="0015449D">
        <w:rPr>
          <w:rFonts w:ascii="Times New Roman" w:hAnsi="Times New Roman" w:cs="Times New Roman"/>
          <w:b/>
          <w:i/>
          <w:sz w:val="24"/>
          <w:szCs w:val="24"/>
          <w:lang w:val="en-GB"/>
        </w:rPr>
        <w:t>Supplemental Table 1</w:t>
      </w:r>
      <w:r w:rsidRPr="0015449D">
        <w:rPr>
          <w:rFonts w:ascii="Times New Roman" w:hAnsi="Times New Roman" w:cs="Times New Roman"/>
          <w:b/>
          <w:sz w:val="24"/>
          <w:szCs w:val="24"/>
          <w:lang w:val="en-GB"/>
        </w:rPr>
        <w:t>: Permanent dose reductions for hematologic and neurological toxicities and dosing on the study</w:t>
      </w:r>
    </w:p>
    <w:p w:rsidR="00160412" w:rsidRPr="004A66D1" w:rsidRDefault="00160412" w:rsidP="00160412">
      <w:pPr>
        <w:spacing w:after="0" w:line="240" w:lineRule="auto"/>
        <w:rPr>
          <w:rFonts w:ascii="Times New Roman" w:hAnsi="Times New Roman" w:cs="Times New Roman"/>
          <w:b/>
          <w:sz w:val="24"/>
          <w:szCs w:val="24"/>
          <w:lang w:val="en-GB"/>
        </w:rPr>
      </w:pPr>
    </w:p>
    <w:tbl>
      <w:tblPr>
        <w:tblStyle w:val="TableGrid"/>
        <w:tblW w:w="12730" w:type="dxa"/>
        <w:tblLook w:val="04A0" w:firstRow="1" w:lastRow="0" w:firstColumn="1" w:lastColumn="0" w:noHBand="0" w:noVBand="1"/>
      </w:tblPr>
      <w:tblGrid>
        <w:gridCol w:w="6115"/>
        <w:gridCol w:w="1800"/>
        <w:gridCol w:w="2610"/>
        <w:gridCol w:w="2205"/>
      </w:tblGrid>
      <w:tr w:rsidR="00160412" w:rsidRPr="004D3016" w:rsidTr="009D08DD">
        <w:tc>
          <w:tcPr>
            <w:tcW w:w="12730" w:type="dxa"/>
            <w:gridSpan w:val="4"/>
            <w:shd w:val="clear" w:color="auto" w:fill="E7E6E6" w:themeFill="background2"/>
          </w:tcPr>
          <w:p w:rsidR="00160412" w:rsidRPr="004A66D1" w:rsidRDefault="00160412" w:rsidP="009D08DD">
            <w:pPr>
              <w:rPr>
                <w:rFonts w:ascii="Times New Roman" w:hAnsi="Times New Roman" w:cs="Times New Roman"/>
                <w:b/>
                <w:sz w:val="24"/>
                <w:szCs w:val="24"/>
                <w:lang w:val="en-GB"/>
              </w:rPr>
            </w:pPr>
            <w:r w:rsidRPr="004A66D1">
              <w:rPr>
                <w:rFonts w:ascii="Times New Roman" w:hAnsi="Times New Roman" w:cs="Times New Roman"/>
                <w:b/>
                <w:sz w:val="24"/>
                <w:szCs w:val="24"/>
                <w:lang w:val="en-GB"/>
              </w:rPr>
              <w:t xml:space="preserve">Dose modification during treatment </w:t>
            </w:r>
          </w:p>
        </w:tc>
      </w:tr>
      <w:tr w:rsidR="00160412" w:rsidRPr="004D3016" w:rsidTr="009D08DD">
        <w:tc>
          <w:tcPr>
            <w:tcW w:w="6115" w:type="dxa"/>
            <w:shd w:val="clear" w:color="auto" w:fill="E7E6E6" w:themeFill="background2"/>
            <w:vAlign w:val="center"/>
          </w:tcPr>
          <w:p w:rsidR="00160412" w:rsidRPr="004A66D1" w:rsidRDefault="00160412" w:rsidP="009D08DD">
            <w:pPr>
              <w:rPr>
                <w:rFonts w:ascii="Times New Roman" w:hAnsi="Times New Roman" w:cs="Times New Roman"/>
                <w:b/>
                <w:sz w:val="24"/>
                <w:szCs w:val="24"/>
                <w:lang w:val="en-GB"/>
              </w:rPr>
            </w:pPr>
            <w:r w:rsidRPr="004A66D1">
              <w:rPr>
                <w:rFonts w:ascii="Times New Roman" w:hAnsi="Times New Roman" w:cs="Times New Roman"/>
                <w:b/>
                <w:sz w:val="24"/>
                <w:szCs w:val="24"/>
                <w:lang w:val="en-GB"/>
              </w:rPr>
              <w:t>Adverse drug reactions</w:t>
            </w:r>
          </w:p>
        </w:tc>
        <w:tc>
          <w:tcPr>
            <w:tcW w:w="1800" w:type="dxa"/>
            <w:shd w:val="clear" w:color="auto" w:fill="E7E6E6" w:themeFill="background2"/>
            <w:vAlign w:val="center"/>
          </w:tcPr>
          <w:p w:rsidR="00160412" w:rsidRPr="004A66D1" w:rsidRDefault="00160412" w:rsidP="009D08DD">
            <w:pPr>
              <w:jc w:val="center"/>
              <w:rPr>
                <w:rFonts w:ascii="Times New Roman" w:hAnsi="Times New Roman" w:cs="Times New Roman"/>
                <w:b/>
                <w:sz w:val="24"/>
                <w:szCs w:val="24"/>
                <w:lang w:val="en-GB"/>
              </w:rPr>
            </w:pPr>
            <w:r w:rsidRPr="004A66D1">
              <w:rPr>
                <w:rFonts w:ascii="Times New Roman" w:hAnsi="Times New Roman" w:cs="Times New Roman"/>
                <w:b/>
                <w:sz w:val="24"/>
                <w:szCs w:val="24"/>
                <w:lang w:val="en-GB"/>
              </w:rPr>
              <w:t>Occurrence</w:t>
            </w:r>
          </w:p>
        </w:tc>
        <w:tc>
          <w:tcPr>
            <w:tcW w:w="2610" w:type="dxa"/>
            <w:shd w:val="clear" w:color="auto" w:fill="E7E6E6" w:themeFill="background2"/>
            <w:vAlign w:val="center"/>
          </w:tcPr>
          <w:p w:rsidR="00160412" w:rsidRPr="004A66D1" w:rsidRDefault="00160412" w:rsidP="009D08DD">
            <w:pPr>
              <w:jc w:val="center"/>
              <w:rPr>
                <w:rFonts w:ascii="Times New Roman" w:hAnsi="Times New Roman" w:cs="Times New Roman"/>
                <w:b/>
                <w:sz w:val="24"/>
                <w:szCs w:val="24"/>
                <w:lang w:val="en-GB"/>
              </w:rPr>
            </w:pPr>
            <w:r w:rsidRPr="004A66D1">
              <w:rPr>
                <w:rFonts w:ascii="Times New Roman" w:hAnsi="Times New Roman" w:cs="Times New Roman"/>
                <w:b/>
                <w:i/>
                <w:sz w:val="24"/>
                <w:szCs w:val="24"/>
                <w:lang w:val="en-GB"/>
              </w:rPr>
              <w:t>nab</w:t>
            </w:r>
            <w:r w:rsidRPr="004A66D1">
              <w:rPr>
                <w:rFonts w:ascii="Times New Roman" w:hAnsi="Times New Roman" w:cs="Times New Roman"/>
                <w:b/>
                <w:sz w:val="24"/>
                <w:szCs w:val="24"/>
                <w:lang w:val="en-GB"/>
              </w:rPr>
              <w:t>-Paclitaxel dose (mg/m</w:t>
            </w:r>
            <w:r w:rsidRPr="004A66D1">
              <w:rPr>
                <w:rFonts w:ascii="Times New Roman" w:hAnsi="Times New Roman" w:cs="Times New Roman"/>
                <w:b/>
                <w:sz w:val="24"/>
                <w:szCs w:val="24"/>
                <w:vertAlign w:val="superscript"/>
                <w:lang w:val="en-GB"/>
              </w:rPr>
              <w:t>2</w:t>
            </w:r>
            <w:r w:rsidRPr="004A66D1">
              <w:rPr>
                <w:rFonts w:ascii="Times New Roman" w:hAnsi="Times New Roman" w:cs="Times New Roman"/>
                <w:b/>
                <w:sz w:val="24"/>
                <w:szCs w:val="24"/>
                <w:lang w:val="en-GB"/>
              </w:rPr>
              <w:t>)</w:t>
            </w:r>
          </w:p>
        </w:tc>
        <w:tc>
          <w:tcPr>
            <w:tcW w:w="2205" w:type="dxa"/>
            <w:shd w:val="clear" w:color="auto" w:fill="E7E6E6" w:themeFill="background2"/>
            <w:vAlign w:val="center"/>
          </w:tcPr>
          <w:p w:rsidR="00160412" w:rsidRPr="004A66D1" w:rsidRDefault="00160412" w:rsidP="009D08DD">
            <w:pPr>
              <w:jc w:val="center"/>
              <w:rPr>
                <w:rFonts w:ascii="Times New Roman" w:hAnsi="Times New Roman" w:cs="Times New Roman"/>
                <w:b/>
                <w:sz w:val="24"/>
                <w:szCs w:val="24"/>
                <w:lang w:val="en-GB"/>
              </w:rPr>
            </w:pPr>
            <w:r w:rsidRPr="004A66D1">
              <w:rPr>
                <w:rFonts w:ascii="Times New Roman" w:hAnsi="Times New Roman" w:cs="Times New Roman"/>
                <w:b/>
                <w:sz w:val="24"/>
                <w:szCs w:val="24"/>
                <w:lang w:val="en-GB"/>
              </w:rPr>
              <w:t xml:space="preserve">Carboplatin dose (AUC </w:t>
            </w:r>
            <w:proofErr w:type="spellStart"/>
            <w:r w:rsidRPr="004A66D1">
              <w:rPr>
                <w:rFonts w:ascii="Times New Roman" w:hAnsi="Times New Roman" w:cs="Times New Roman"/>
                <w:b/>
                <w:sz w:val="24"/>
                <w:szCs w:val="24"/>
                <w:lang w:val="en-GB"/>
              </w:rPr>
              <w:t>mg•min</w:t>
            </w:r>
            <w:proofErr w:type="spellEnd"/>
            <w:r w:rsidRPr="004A66D1">
              <w:rPr>
                <w:rFonts w:ascii="Times New Roman" w:hAnsi="Times New Roman" w:cs="Times New Roman"/>
                <w:b/>
                <w:sz w:val="24"/>
                <w:szCs w:val="24"/>
                <w:lang w:val="en-GB"/>
              </w:rPr>
              <w:t>/mL)</w:t>
            </w:r>
          </w:p>
        </w:tc>
      </w:tr>
      <w:tr w:rsidR="00160412" w:rsidRPr="004D3016" w:rsidTr="009D08DD">
        <w:trPr>
          <w:trHeight w:val="450"/>
        </w:trPr>
        <w:tc>
          <w:tcPr>
            <w:tcW w:w="6115" w:type="dxa"/>
            <w:vMerge w:val="restart"/>
            <w:vAlign w:val="center"/>
          </w:tcPr>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Neutropenic fever (ANC &lt; 500/mm</w:t>
            </w:r>
            <w:r w:rsidRPr="004A66D1">
              <w:rPr>
                <w:rFonts w:ascii="Times New Roman" w:hAnsi="Times New Roman" w:cs="Times New Roman"/>
                <w:sz w:val="24"/>
                <w:szCs w:val="24"/>
                <w:vertAlign w:val="superscript"/>
                <w:lang w:val="en-GB"/>
              </w:rPr>
              <w:t>3</w:t>
            </w:r>
            <w:r w:rsidRPr="004A66D1">
              <w:rPr>
                <w:rFonts w:ascii="Times New Roman" w:hAnsi="Times New Roman" w:cs="Times New Roman"/>
                <w:sz w:val="24"/>
                <w:szCs w:val="24"/>
                <w:lang w:val="en-GB"/>
              </w:rPr>
              <w:t xml:space="preserve"> with fever &gt; 38°C)</w:t>
            </w:r>
          </w:p>
          <w:p w:rsidR="00160412" w:rsidRPr="004A66D1" w:rsidRDefault="00160412" w:rsidP="009D08DD">
            <w:pPr>
              <w:rPr>
                <w:rFonts w:ascii="Times New Roman" w:hAnsi="Times New Roman" w:cs="Times New Roman"/>
                <w:b/>
                <w:i/>
                <w:sz w:val="24"/>
                <w:szCs w:val="24"/>
                <w:lang w:val="en-GB"/>
              </w:rPr>
            </w:pPr>
            <w:r w:rsidRPr="004A66D1">
              <w:rPr>
                <w:rFonts w:ascii="Times New Roman" w:hAnsi="Times New Roman" w:cs="Times New Roman"/>
                <w:b/>
                <w:i/>
                <w:sz w:val="24"/>
                <w:szCs w:val="24"/>
                <w:lang w:val="en-GB"/>
              </w:rPr>
              <w:t>or</w:t>
            </w:r>
          </w:p>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Delay of next cycle by &gt; 7 days for ANC &lt; 1500/mm</w:t>
            </w:r>
            <w:r w:rsidRPr="004A66D1">
              <w:rPr>
                <w:rFonts w:ascii="Times New Roman" w:hAnsi="Times New Roman" w:cs="Times New Roman"/>
                <w:sz w:val="24"/>
                <w:szCs w:val="24"/>
                <w:vertAlign w:val="superscript"/>
                <w:lang w:val="en-GB"/>
              </w:rPr>
              <w:t>3</w:t>
            </w:r>
          </w:p>
          <w:p w:rsidR="00160412" w:rsidRPr="004A66D1" w:rsidRDefault="00160412" w:rsidP="009D08DD">
            <w:pPr>
              <w:rPr>
                <w:rFonts w:ascii="Times New Roman" w:hAnsi="Times New Roman" w:cs="Times New Roman"/>
                <w:b/>
                <w:i/>
                <w:sz w:val="24"/>
                <w:szCs w:val="24"/>
                <w:lang w:val="en-GB"/>
              </w:rPr>
            </w:pPr>
            <w:r w:rsidRPr="004A66D1">
              <w:rPr>
                <w:rFonts w:ascii="Times New Roman" w:hAnsi="Times New Roman" w:cs="Times New Roman"/>
                <w:b/>
                <w:i/>
                <w:sz w:val="24"/>
                <w:szCs w:val="24"/>
                <w:lang w:val="en-GB"/>
              </w:rPr>
              <w:t>or</w:t>
            </w:r>
          </w:p>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ANC &lt; 500/mm</w:t>
            </w:r>
            <w:r w:rsidRPr="004A66D1">
              <w:rPr>
                <w:rFonts w:ascii="Times New Roman" w:hAnsi="Times New Roman" w:cs="Times New Roman"/>
                <w:sz w:val="24"/>
                <w:szCs w:val="24"/>
                <w:vertAlign w:val="superscript"/>
                <w:lang w:val="en-GB"/>
              </w:rPr>
              <w:t>3</w:t>
            </w:r>
            <w:r w:rsidRPr="004A66D1">
              <w:rPr>
                <w:rFonts w:ascii="Times New Roman" w:hAnsi="Times New Roman" w:cs="Times New Roman"/>
                <w:sz w:val="24"/>
                <w:szCs w:val="24"/>
                <w:lang w:val="en-GB"/>
              </w:rPr>
              <w:t xml:space="preserve"> for &gt; 7 days</w:t>
            </w:r>
          </w:p>
        </w:tc>
        <w:tc>
          <w:tcPr>
            <w:tcW w:w="180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First</w:t>
            </w:r>
          </w:p>
        </w:tc>
        <w:tc>
          <w:tcPr>
            <w:tcW w:w="261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75</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4</w:t>
            </w:r>
            <w:r>
              <w:rPr>
                <w:rFonts w:ascii="Times New Roman" w:hAnsi="Times New Roman" w:cs="Times New Roman"/>
                <w:sz w:val="24"/>
                <w:szCs w:val="24"/>
                <w:lang w:val="en-GB"/>
              </w:rPr>
              <w:t>.</w:t>
            </w:r>
            <w:r w:rsidRPr="004A66D1">
              <w:rPr>
                <w:rFonts w:ascii="Times New Roman" w:hAnsi="Times New Roman" w:cs="Times New Roman"/>
                <w:sz w:val="24"/>
                <w:szCs w:val="24"/>
                <w:lang w:val="en-GB"/>
              </w:rPr>
              <w:t>5</w:t>
            </w:r>
          </w:p>
        </w:tc>
      </w:tr>
      <w:tr w:rsidR="00160412" w:rsidRPr="004D3016" w:rsidTr="009D08DD">
        <w:trPr>
          <w:trHeight w:val="451"/>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Second</w:t>
            </w:r>
          </w:p>
        </w:tc>
        <w:tc>
          <w:tcPr>
            <w:tcW w:w="261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50</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3</w:t>
            </w:r>
            <w:r>
              <w:rPr>
                <w:rFonts w:ascii="Times New Roman" w:hAnsi="Times New Roman" w:cs="Times New Roman"/>
                <w:sz w:val="24"/>
                <w:szCs w:val="24"/>
                <w:lang w:val="en-GB"/>
              </w:rPr>
              <w:t>.</w:t>
            </w:r>
            <w:r w:rsidRPr="004A66D1">
              <w:rPr>
                <w:rFonts w:ascii="Times New Roman" w:hAnsi="Times New Roman" w:cs="Times New Roman"/>
                <w:sz w:val="24"/>
                <w:szCs w:val="24"/>
                <w:lang w:val="en-GB"/>
              </w:rPr>
              <w:t>0</w:t>
            </w:r>
          </w:p>
        </w:tc>
      </w:tr>
      <w:tr w:rsidR="00160412" w:rsidRPr="004D3016" w:rsidTr="009D08DD">
        <w:trPr>
          <w:trHeight w:val="451"/>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Third</w:t>
            </w:r>
          </w:p>
        </w:tc>
        <w:tc>
          <w:tcPr>
            <w:tcW w:w="4815" w:type="dxa"/>
            <w:gridSpan w:val="2"/>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Discontinue treatment*</w:t>
            </w:r>
          </w:p>
        </w:tc>
      </w:tr>
      <w:tr w:rsidR="00160412" w:rsidRPr="004D3016" w:rsidTr="009D08DD">
        <w:trPr>
          <w:trHeight w:val="451"/>
        </w:trPr>
        <w:tc>
          <w:tcPr>
            <w:tcW w:w="6115" w:type="dxa"/>
            <w:vMerge w:val="restart"/>
            <w:vAlign w:val="center"/>
          </w:tcPr>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Platelet count &lt; 50,000/mm</w:t>
            </w:r>
            <w:r w:rsidRPr="004A66D1">
              <w:rPr>
                <w:rFonts w:ascii="Times New Roman" w:hAnsi="Times New Roman" w:cs="Times New Roman"/>
                <w:sz w:val="24"/>
                <w:szCs w:val="24"/>
                <w:vertAlign w:val="superscript"/>
                <w:lang w:val="en-GB"/>
              </w:rPr>
              <w:t>3</w:t>
            </w:r>
          </w:p>
        </w:tc>
        <w:tc>
          <w:tcPr>
            <w:tcW w:w="180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First</w:t>
            </w:r>
          </w:p>
        </w:tc>
        <w:tc>
          <w:tcPr>
            <w:tcW w:w="261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75</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4</w:t>
            </w:r>
            <w:r>
              <w:rPr>
                <w:rFonts w:ascii="Times New Roman" w:hAnsi="Times New Roman" w:cs="Times New Roman"/>
                <w:sz w:val="24"/>
                <w:szCs w:val="24"/>
                <w:lang w:val="en-GB"/>
              </w:rPr>
              <w:t>.</w:t>
            </w:r>
            <w:r w:rsidRPr="004A66D1">
              <w:rPr>
                <w:rFonts w:ascii="Times New Roman" w:hAnsi="Times New Roman" w:cs="Times New Roman"/>
                <w:sz w:val="24"/>
                <w:szCs w:val="24"/>
                <w:lang w:val="en-GB"/>
              </w:rPr>
              <w:t>5</w:t>
            </w:r>
          </w:p>
        </w:tc>
      </w:tr>
      <w:tr w:rsidR="00160412" w:rsidRPr="004D3016" w:rsidTr="009D08DD">
        <w:trPr>
          <w:trHeight w:val="451"/>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Second</w:t>
            </w:r>
          </w:p>
        </w:tc>
        <w:tc>
          <w:tcPr>
            <w:tcW w:w="4815" w:type="dxa"/>
            <w:gridSpan w:val="2"/>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Discontinue treatment*</w:t>
            </w:r>
          </w:p>
        </w:tc>
      </w:tr>
      <w:tr w:rsidR="00160412" w:rsidRPr="004D3016" w:rsidTr="009D08DD">
        <w:trPr>
          <w:trHeight w:val="451"/>
        </w:trPr>
        <w:tc>
          <w:tcPr>
            <w:tcW w:w="6115" w:type="dxa"/>
            <w:vMerge w:val="restart"/>
            <w:vAlign w:val="center"/>
          </w:tcPr>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Sensory neuropathy grade 3 or 4</w:t>
            </w:r>
          </w:p>
        </w:tc>
        <w:tc>
          <w:tcPr>
            <w:tcW w:w="180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First</w:t>
            </w:r>
          </w:p>
        </w:tc>
        <w:tc>
          <w:tcPr>
            <w:tcW w:w="261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75</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4</w:t>
            </w:r>
            <w:r>
              <w:rPr>
                <w:rFonts w:ascii="Times New Roman" w:hAnsi="Times New Roman" w:cs="Times New Roman"/>
                <w:sz w:val="24"/>
                <w:szCs w:val="24"/>
                <w:lang w:val="en-GB"/>
              </w:rPr>
              <w:t>.</w:t>
            </w:r>
            <w:r w:rsidRPr="004A66D1">
              <w:rPr>
                <w:rFonts w:ascii="Times New Roman" w:hAnsi="Times New Roman" w:cs="Times New Roman"/>
                <w:sz w:val="24"/>
                <w:szCs w:val="24"/>
                <w:lang w:val="en-GB"/>
              </w:rPr>
              <w:t>5</w:t>
            </w:r>
          </w:p>
        </w:tc>
      </w:tr>
      <w:tr w:rsidR="00160412" w:rsidRPr="004D3016" w:rsidTr="009D08DD">
        <w:trPr>
          <w:trHeight w:val="450"/>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Second</w:t>
            </w:r>
          </w:p>
        </w:tc>
        <w:tc>
          <w:tcPr>
            <w:tcW w:w="261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50</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3</w:t>
            </w:r>
            <w:r>
              <w:rPr>
                <w:rFonts w:ascii="Times New Roman" w:hAnsi="Times New Roman" w:cs="Times New Roman"/>
                <w:sz w:val="24"/>
                <w:szCs w:val="24"/>
                <w:lang w:val="en-GB"/>
              </w:rPr>
              <w:t>.</w:t>
            </w:r>
            <w:r w:rsidRPr="004A66D1">
              <w:rPr>
                <w:rFonts w:ascii="Times New Roman" w:hAnsi="Times New Roman" w:cs="Times New Roman"/>
                <w:sz w:val="24"/>
                <w:szCs w:val="24"/>
                <w:lang w:val="en-GB"/>
              </w:rPr>
              <w:t>0</w:t>
            </w:r>
          </w:p>
        </w:tc>
      </w:tr>
      <w:tr w:rsidR="00160412" w:rsidRPr="004D3016" w:rsidTr="009D08DD">
        <w:trPr>
          <w:trHeight w:val="451"/>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Third</w:t>
            </w:r>
          </w:p>
        </w:tc>
        <w:tc>
          <w:tcPr>
            <w:tcW w:w="4815" w:type="dxa"/>
            <w:gridSpan w:val="2"/>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Discontinue treatment*</w:t>
            </w:r>
          </w:p>
        </w:tc>
      </w:tr>
      <w:tr w:rsidR="00160412" w:rsidRPr="004D3016" w:rsidTr="009D08DD">
        <w:trPr>
          <w:trHeight w:val="451"/>
        </w:trPr>
        <w:tc>
          <w:tcPr>
            <w:tcW w:w="6115" w:type="dxa"/>
            <w:vMerge w:val="restart"/>
            <w:vAlign w:val="center"/>
          </w:tcPr>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Grade 2 or 3 cutaneous toxicity</w:t>
            </w:r>
          </w:p>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 xml:space="preserve">Grade 3 </w:t>
            </w:r>
            <w:proofErr w:type="spellStart"/>
            <w:r w:rsidRPr="004A66D1">
              <w:rPr>
                <w:rFonts w:ascii="Times New Roman" w:hAnsi="Times New Roman" w:cs="Times New Roman"/>
                <w:sz w:val="24"/>
                <w:szCs w:val="24"/>
                <w:lang w:val="en-GB"/>
              </w:rPr>
              <w:t>diarrhea</w:t>
            </w:r>
            <w:proofErr w:type="spellEnd"/>
          </w:p>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Grade 3 mucositis</w:t>
            </w:r>
          </w:p>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Any other grade 3 or 4 non-hematologic toxicity</w:t>
            </w:r>
          </w:p>
        </w:tc>
        <w:tc>
          <w:tcPr>
            <w:tcW w:w="180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First</w:t>
            </w:r>
          </w:p>
        </w:tc>
        <w:tc>
          <w:tcPr>
            <w:tcW w:w="261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75</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4</w:t>
            </w:r>
            <w:r>
              <w:rPr>
                <w:rFonts w:ascii="Times New Roman" w:hAnsi="Times New Roman" w:cs="Times New Roman"/>
                <w:sz w:val="24"/>
                <w:szCs w:val="24"/>
                <w:lang w:val="en-GB"/>
              </w:rPr>
              <w:t>.</w:t>
            </w:r>
            <w:r w:rsidRPr="004A66D1">
              <w:rPr>
                <w:rFonts w:ascii="Times New Roman" w:hAnsi="Times New Roman" w:cs="Times New Roman"/>
                <w:sz w:val="24"/>
                <w:szCs w:val="24"/>
                <w:lang w:val="en-GB"/>
              </w:rPr>
              <w:t>5</w:t>
            </w:r>
          </w:p>
        </w:tc>
      </w:tr>
      <w:tr w:rsidR="00160412" w:rsidRPr="004D3016" w:rsidTr="009D08DD">
        <w:trPr>
          <w:trHeight w:val="451"/>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Second</w:t>
            </w:r>
          </w:p>
        </w:tc>
        <w:tc>
          <w:tcPr>
            <w:tcW w:w="261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50</w:t>
            </w:r>
          </w:p>
        </w:tc>
        <w:tc>
          <w:tcPr>
            <w:tcW w:w="2205" w:type="dxa"/>
            <w:vAlign w:val="center"/>
          </w:tcPr>
          <w:p w:rsidR="00160412" w:rsidRPr="004A66D1"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3</w:t>
            </w:r>
            <w:r>
              <w:rPr>
                <w:rFonts w:ascii="Times New Roman" w:hAnsi="Times New Roman" w:cs="Times New Roman"/>
                <w:sz w:val="24"/>
                <w:szCs w:val="24"/>
                <w:lang w:val="en-GB"/>
              </w:rPr>
              <w:t>.</w:t>
            </w:r>
            <w:r w:rsidRPr="004A66D1">
              <w:rPr>
                <w:rFonts w:ascii="Times New Roman" w:hAnsi="Times New Roman" w:cs="Times New Roman"/>
                <w:sz w:val="24"/>
                <w:szCs w:val="24"/>
                <w:lang w:val="en-GB"/>
              </w:rPr>
              <w:t>0</w:t>
            </w:r>
          </w:p>
        </w:tc>
      </w:tr>
      <w:tr w:rsidR="00160412" w:rsidRPr="004D3016" w:rsidTr="009D08DD">
        <w:trPr>
          <w:trHeight w:val="451"/>
        </w:trPr>
        <w:tc>
          <w:tcPr>
            <w:tcW w:w="6115" w:type="dxa"/>
            <w:vMerge/>
            <w:vAlign w:val="center"/>
          </w:tcPr>
          <w:p w:rsidR="00160412" w:rsidRPr="00FC7388" w:rsidRDefault="00160412" w:rsidP="009D08DD">
            <w:pPr>
              <w:rPr>
                <w:rFonts w:ascii="Times New Roman" w:hAnsi="Times New Roman" w:cs="Times New Roman"/>
                <w:sz w:val="24"/>
                <w:szCs w:val="24"/>
                <w:lang w:val="en-GB"/>
              </w:rPr>
            </w:pPr>
          </w:p>
        </w:tc>
        <w:tc>
          <w:tcPr>
            <w:tcW w:w="1800" w:type="dxa"/>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Third</w:t>
            </w:r>
          </w:p>
        </w:tc>
        <w:tc>
          <w:tcPr>
            <w:tcW w:w="4815" w:type="dxa"/>
            <w:gridSpan w:val="2"/>
            <w:vAlign w:val="center"/>
          </w:tcPr>
          <w:p w:rsidR="00160412" w:rsidRPr="00FC7388" w:rsidRDefault="00160412" w:rsidP="009D08DD">
            <w:pPr>
              <w:jc w:val="center"/>
              <w:rPr>
                <w:rFonts w:ascii="Times New Roman" w:hAnsi="Times New Roman" w:cs="Times New Roman"/>
                <w:sz w:val="24"/>
                <w:szCs w:val="24"/>
                <w:lang w:val="en-GB"/>
              </w:rPr>
            </w:pPr>
            <w:r w:rsidRPr="00FC7388">
              <w:rPr>
                <w:rFonts w:ascii="Times New Roman" w:hAnsi="Times New Roman" w:cs="Times New Roman"/>
                <w:sz w:val="24"/>
                <w:szCs w:val="24"/>
                <w:lang w:val="en-GB"/>
              </w:rPr>
              <w:t>Discontinue treatment*</w:t>
            </w:r>
          </w:p>
        </w:tc>
      </w:tr>
      <w:tr w:rsidR="00160412" w:rsidRPr="004D3016" w:rsidTr="009D08DD">
        <w:trPr>
          <w:trHeight w:val="451"/>
        </w:trPr>
        <w:tc>
          <w:tcPr>
            <w:tcW w:w="6115" w:type="dxa"/>
            <w:vAlign w:val="center"/>
          </w:tcPr>
          <w:p w:rsidR="00160412" w:rsidRPr="004A66D1" w:rsidRDefault="00160412" w:rsidP="009D08DD">
            <w:pPr>
              <w:rPr>
                <w:rFonts w:ascii="Times New Roman" w:hAnsi="Times New Roman" w:cs="Times New Roman"/>
                <w:sz w:val="24"/>
                <w:szCs w:val="24"/>
                <w:lang w:val="en-GB"/>
              </w:rPr>
            </w:pPr>
            <w:r w:rsidRPr="004A66D1">
              <w:rPr>
                <w:rFonts w:ascii="Times New Roman" w:hAnsi="Times New Roman" w:cs="Times New Roman"/>
                <w:sz w:val="24"/>
                <w:szCs w:val="24"/>
                <w:lang w:val="en-GB"/>
              </w:rPr>
              <w:t>Grade 4 cutaneous toxicity, diarrhoea or mucositis</w:t>
            </w:r>
          </w:p>
        </w:tc>
        <w:tc>
          <w:tcPr>
            <w:tcW w:w="1800" w:type="dxa"/>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First</w:t>
            </w:r>
          </w:p>
        </w:tc>
        <w:tc>
          <w:tcPr>
            <w:tcW w:w="4815" w:type="dxa"/>
            <w:gridSpan w:val="2"/>
            <w:vAlign w:val="center"/>
          </w:tcPr>
          <w:p w:rsidR="00160412" w:rsidRPr="004A66D1" w:rsidRDefault="00160412" w:rsidP="009D08DD">
            <w:pPr>
              <w:jc w:val="center"/>
              <w:rPr>
                <w:rFonts w:ascii="Times New Roman" w:hAnsi="Times New Roman" w:cs="Times New Roman"/>
                <w:sz w:val="24"/>
                <w:szCs w:val="24"/>
                <w:lang w:val="en-GB"/>
              </w:rPr>
            </w:pPr>
            <w:r w:rsidRPr="004A66D1">
              <w:rPr>
                <w:rFonts w:ascii="Times New Roman" w:hAnsi="Times New Roman" w:cs="Times New Roman"/>
                <w:sz w:val="24"/>
                <w:szCs w:val="24"/>
                <w:lang w:val="en-GB"/>
              </w:rPr>
              <w:t>Discontinue treatment*</w:t>
            </w:r>
          </w:p>
        </w:tc>
      </w:tr>
    </w:tbl>
    <w:p w:rsidR="00160412" w:rsidRDefault="00160412" w:rsidP="00160412">
      <w:pPr>
        <w:spacing w:after="0" w:line="240" w:lineRule="auto"/>
        <w:rPr>
          <w:rFonts w:ascii="Times New Roman" w:hAnsi="Times New Roman" w:cs="Times New Roman"/>
          <w:sz w:val="24"/>
          <w:szCs w:val="24"/>
          <w:lang w:val="en-GB"/>
        </w:rPr>
      </w:pPr>
    </w:p>
    <w:p w:rsidR="00160412" w:rsidRPr="004A66D1" w:rsidRDefault="00160412" w:rsidP="00160412">
      <w:pPr>
        <w:spacing w:after="0" w:line="240" w:lineRule="auto"/>
        <w:rPr>
          <w:rFonts w:ascii="Times New Roman" w:hAnsi="Times New Roman" w:cs="Times New Roman"/>
          <w:sz w:val="24"/>
          <w:szCs w:val="24"/>
          <w:lang w:val="en-GB"/>
        </w:rPr>
      </w:pPr>
      <w:r w:rsidRPr="004A66D1">
        <w:rPr>
          <w:rFonts w:ascii="Times New Roman" w:hAnsi="Times New Roman" w:cs="Times New Roman"/>
          <w:sz w:val="24"/>
          <w:szCs w:val="24"/>
          <w:lang w:val="en-GB"/>
        </w:rPr>
        <w:t>ANC, absolute neutrophil count; AUC, area under the concentration curve. *If an adverse event that requires dose reduction recurs after the dose has been reduced twice, treatment should generally be discontinued, unless, at the discretion of the investigator, there is evidence of continuing benefit to the patient that outweighs the risk of recurrent toxicity. Re-escalation is not permitted at any time.</w:t>
      </w:r>
    </w:p>
    <w:p w:rsidR="00160412" w:rsidRPr="004A66D1" w:rsidRDefault="00160412" w:rsidP="00160412">
      <w:pPr>
        <w:spacing w:after="0" w:line="240" w:lineRule="auto"/>
        <w:rPr>
          <w:rFonts w:ascii="Times New Roman" w:hAnsi="Times New Roman" w:cs="Times New Roman"/>
          <w:sz w:val="24"/>
          <w:szCs w:val="24"/>
          <w:lang w:val="en-GB"/>
        </w:rPr>
        <w:sectPr w:rsidR="00160412" w:rsidRPr="004A66D1" w:rsidSect="00160412">
          <w:endnotePr>
            <w:numFmt w:val="upperLetter"/>
          </w:endnotePr>
          <w:pgSz w:w="15840" w:h="12240" w:orient="landscape"/>
          <w:pgMar w:top="1440" w:right="1440" w:bottom="1440" w:left="1440" w:header="720" w:footer="720" w:gutter="0"/>
          <w:lnNumType w:countBy="1" w:restart="continuous"/>
          <w:cols w:space="720"/>
          <w:docGrid w:linePitch="360"/>
        </w:sectPr>
      </w:pPr>
      <w:r w:rsidRPr="004A66D1">
        <w:rPr>
          <w:rFonts w:ascii="Times New Roman" w:hAnsi="Times New Roman" w:cs="Times New Roman"/>
          <w:sz w:val="24"/>
          <w:szCs w:val="24"/>
          <w:lang w:val="en-GB"/>
        </w:rPr>
        <w:t xml:space="preserve"> </w:t>
      </w:r>
      <w:bookmarkStart w:id="0" w:name="_GoBack"/>
      <w:bookmarkEnd w:id="0"/>
    </w:p>
    <w:p w:rsidR="00062F67" w:rsidRDefault="00062F67"/>
    <w:sectPr w:rsidR="0006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endnotePr>
    <w:numFmt w:val="upp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2"/>
    <w:rsid w:val="00062F67"/>
    <w:rsid w:val="00160412"/>
    <w:rsid w:val="0023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CB6B"/>
  <w15:chartTrackingRefBased/>
  <w15:docId w15:val="{D048C462-66E9-4A3F-B464-23DEC700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6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1081</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Pereira (MTM)</dc:creator>
  <cp:keywords/>
  <dc:description/>
  <cp:lastModifiedBy>Melissa Pereira (MTM)</cp:lastModifiedBy>
  <cp:revision>2</cp:revision>
  <dcterms:created xsi:type="dcterms:W3CDTF">2018-03-28T20:18:00Z</dcterms:created>
  <dcterms:modified xsi:type="dcterms:W3CDTF">2018-03-28T20:18:00Z</dcterms:modified>
</cp:coreProperties>
</file>