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3B" w:rsidRPr="002B3542" w:rsidRDefault="00A4583B" w:rsidP="00A4583B">
      <w:pPr>
        <w:spacing w:after="0" w:line="240" w:lineRule="auto"/>
        <w:contextualSpacing/>
        <w:rPr>
          <w:rFonts w:ascii="Times New Roman" w:hAnsi="Times New Roman" w:cs="Times New Roman"/>
          <w:b/>
          <w:sz w:val="20"/>
          <w:szCs w:val="20"/>
          <w:lang w:val="en-US"/>
        </w:rPr>
      </w:pPr>
      <w:r w:rsidRPr="002B3542">
        <w:rPr>
          <w:rFonts w:ascii="Times New Roman" w:hAnsi="Times New Roman" w:cs="Times New Roman"/>
          <w:b/>
          <w:sz w:val="20"/>
          <w:szCs w:val="20"/>
          <w:lang w:val="en-US"/>
        </w:rPr>
        <w:t>Appendix:</w:t>
      </w:r>
    </w:p>
    <w:p w:rsidR="00A4583B" w:rsidRDefault="00A4583B" w:rsidP="00A4583B">
      <w:pPr>
        <w:spacing w:after="0" w:line="240" w:lineRule="auto"/>
        <w:contextualSpacing/>
        <w:rPr>
          <w:rFonts w:ascii="Times New Roman" w:hAnsi="Times New Roman" w:cs="Times New Roman"/>
          <w:b/>
          <w:sz w:val="20"/>
          <w:szCs w:val="20"/>
          <w:lang w:val="en-US"/>
        </w:rPr>
      </w:pPr>
    </w:p>
    <w:p w:rsidR="00A4583B" w:rsidRPr="00467CFA" w:rsidRDefault="00A4583B" w:rsidP="00A4583B">
      <w:pPr>
        <w:spacing w:after="0" w:line="240" w:lineRule="auto"/>
        <w:contextualSpacing/>
        <w:rPr>
          <w:rFonts w:ascii="Times New Roman" w:hAnsi="Times New Roman" w:cs="Times New Roman"/>
          <w:b/>
          <w:sz w:val="20"/>
          <w:szCs w:val="20"/>
          <w:highlight w:val="yellow"/>
          <w:lang w:val="en-US"/>
        </w:rPr>
      </w:pPr>
      <w:r w:rsidRPr="00467CFA">
        <w:rPr>
          <w:rFonts w:ascii="Times New Roman" w:hAnsi="Times New Roman" w:cs="Times New Roman"/>
          <w:b/>
          <w:sz w:val="20"/>
          <w:szCs w:val="20"/>
          <w:highlight w:val="yellow"/>
          <w:lang w:val="en-US"/>
        </w:rPr>
        <w:t xml:space="preserve">Relationships describing bending trajectory </w:t>
      </w:r>
      <w:r>
        <w:rPr>
          <w:rFonts w:ascii="Times New Roman" w:hAnsi="Times New Roman" w:cs="Times New Roman"/>
          <w:b/>
          <w:sz w:val="20"/>
          <w:szCs w:val="20"/>
          <w:highlight w:val="yellow"/>
          <w:lang w:val="en-US"/>
        </w:rPr>
        <w:t xml:space="preserve">of mortality </w:t>
      </w:r>
      <w:r w:rsidRPr="00467CFA">
        <w:rPr>
          <w:rFonts w:ascii="Times New Roman" w:hAnsi="Times New Roman" w:cs="Times New Roman"/>
          <w:b/>
          <w:sz w:val="20"/>
          <w:szCs w:val="20"/>
          <w:highlight w:val="yellow"/>
          <w:lang w:val="en-US"/>
        </w:rPr>
        <w:t>from DNS</w:t>
      </w:r>
    </w:p>
    <w:p w:rsidR="00A4583B" w:rsidRPr="00467CFA" w:rsidRDefault="00A4583B" w:rsidP="00A4583B">
      <w:pPr>
        <w:spacing w:after="0" w:line="240" w:lineRule="auto"/>
        <w:contextualSpacing/>
        <w:rPr>
          <w:rFonts w:ascii="Times New Roman" w:hAnsi="Times New Roman" w:cs="Times New Roman"/>
          <w:b/>
          <w:sz w:val="20"/>
          <w:szCs w:val="20"/>
          <w:highlight w:val="yellow"/>
          <w:lang w:val="en-US"/>
        </w:rPr>
      </w:pPr>
    </w:p>
    <w:p w:rsidR="00A4583B" w:rsidRPr="00467CFA" w:rsidRDefault="00A4583B" w:rsidP="00A4583B">
      <w:pPr>
        <w:spacing w:after="0" w:line="480" w:lineRule="auto"/>
        <w:ind w:firstLine="708"/>
        <w:rPr>
          <w:rFonts w:ascii="Times New Roman" w:hAnsi="Times New Roman" w:cs="Times New Roman"/>
          <w:sz w:val="20"/>
          <w:szCs w:val="20"/>
          <w:highlight w:val="yellow"/>
          <w:lang w:val="en-US"/>
        </w:rPr>
      </w:pPr>
      <w:r w:rsidRPr="00467CFA">
        <w:rPr>
          <w:rFonts w:ascii="Times New Roman" w:hAnsi="Times New Roman" w:cs="Times New Roman"/>
          <w:sz w:val="20"/>
          <w:szCs w:val="20"/>
          <w:highlight w:val="yellow"/>
          <w:lang w:val="en-US"/>
        </w:rPr>
        <w:t>If some maximal limit bounds congenital individual risks in the born population, then the following approximation may be valid according to the TCIR (Dolejs, 2001; Dolejs, 2003):</w:t>
      </w:r>
    </w:p>
    <w:p w:rsidR="00A4583B" w:rsidRPr="00467CFA" w:rsidRDefault="00A4583B" w:rsidP="00A4583B">
      <w:pPr>
        <w:spacing w:line="480" w:lineRule="auto"/>
        <w:jc w:val="right"/>
        <w:rPr>
          <w:rFonts w:cs="Times New Roman"/>
          <w:highlight w:val="yellow"/>
          <w:lang w:val="en-US"/>
        </w:rPr>
      </w:pPr>
      <m:oMath>
        <m:r>
          <w:rPr>
            <w:rFonts w:ascii="Cambria Math" w:eastAsiaTheme="minorEastAsia" w:hAnsi="Cambria Math"/>
            <w:highlight w:val="yellow"/>
            <w:lang w:val="en-US"/>
          </w:rPr>
          <m:t>μ</m:t>
        </m:r>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x</m:t>
            </m:r>
          </m:e>
        </m:d>
        <m:r>
          <w:rPr>
            <w:rFonts w:ascii="Cambria Math" w:eastAsiaTheme="minorEastAsia" w:hAnsi="Cambria Math"/>
            <w:highlight w:val="yellow"/>
            <w:lang w:val="en-US"/>
          </w:rPr>
          <m:t>=</m:t>
        </m:r>
        <m:nary>
          <m:naryPr>
            <m:limLoc m:val="undOvr"/>
            <m:ctrlPr>
              <w:rPr>
                <w:rFonts w:ascii="Cambria Math" w:eastAsiaTheme="minorEastAsia" w:hAnsi="Cambria Math"/>
                <w:i/>
                <w:highlight w:val="yellow"/>
                <w:lang w:val="en-US"/>
              </w:rPr>
            </m:ctrlPr>
          </m:naryPr>
          <m:sub>
            <m:r>
              <w:rPr>
                <w:rFonts w:ascii="Cambria Math" w:eastAsiaTheme="minorEastAsia" w:hAnsi="Cambria Math"/>
                <w:highlight w:val="yellow"/>
                <w:lang w:val="en-US"/>
              </w:rPr>
              <m:t>0</m:t>
            </m:r>
          </m:sub>
          <m:sup>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sup>
          <m:e>
            <m:r>
              <w:rPr>
                <w:rFonts w:ascii="Cambria Math" w:eastAsiaTheme="minorEastAsia" w:hAnsi="Cambria Math"/>
                <w:highlight w:val="yellow"/>
                <w:lang w:val="en-US"/>
              </w:rPr>
              <m:t>c.</m:t>
            </m:r>
            <m:sSup>
              <m:sSupPr>
                <m:ctrlPr>
                  <w:rPr>
                    <w:rFonts w:ascii="Cambria Math" w:eastAsiaTheme="minorEastAsia" w:hAnsi="Cambria Math"/>
                    <w:i/>
                    <w:highlight w:val="yellow"/>
                    <w:lang w:val="en-US"/>
                  </w:rPr>
                </m:ctrlPr>
              </m:sSupPr>
              <m:e>
                <m:r>
                  <w:rPr>
                    <w:rFonts w:ascii="Cambria Math" w:eastAsiaTheme="minorEastAsia" w:hAnsi="Cambria Math"/>
                    <w:highlight w:val="yellow"/>
                    <w:lang w:val="en-US"/>
                  </w:rPr>
                  <m:t>e</m:t>
                </m:r>
              </m:e>
              <m:sup>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-r.x</m:t>
                    </m:r>
                  </m:e>
                </m:d>
              </m:sup>
            </m:sSup>
            <m:r>
              <w:rPr>
                <w:rFonts w:ascii="Cambria Math" w:eastAsiaTheme="minorEastAsia" w:hAnsi="Cambria Math"/>
                <w:highlight w:val="yellow"/>
                <w:lang w:val="en-US"/>
              </w:rPr>
              <m:t>dr=c.</m:t>
            </m:r>
            <m:sSubSup>
              <m:sSubSupPr>
                <m:ctrlPr>
                  <w:rPr>
                    <w:rFonts w:ascii="Cambria Math" w:eastAsiaTheme="minorEastAsia" w:hAnsi="Cambria Math"/>
                    <w:i/>
                    <w:highlight w:val="yellow"/>
                    <w:lang w:val="en-US"/>
                  </w:rPr>
                </m:ctrlPr>
              </m:sSubSupPr>
              <m:e>
                <m:d>
                  <m:dPr>
                    <m:begChr m:val="["/>
                    <m:endChr m:val="]"/>
                    <m:ctrlPr>
                      <w:rPr>
                        <w:rFonts w:ascii="Cambria Math" w:eastAsiaTheme="minorEastAsia" w:hAnsi="Cambria Math"/>
                        <w:i/>
                        <w:highlight w:val="yellow"/>
                        <w:lang w:val="en-US"/>
                      </w:rPr>
                    </m:ctrlPr>
                  </m:dPr>
                  <m:e>
                    <m:f>
                      <m:fPr>
                        <m:ctrlPr>
                          <w:rPr>
                            <w:rFonts w:ascii="Cambria Math" w:eastAsiaTheme="minorEastAsia" w:hAnsi="Cambria Math"/>
                            <w:i/>
                            <w:highlight w:val="yellow"/>
                            <w:lang w:val="en-US"/>
                          </w:rPr>
                        </m:ctrlPr>
                      </m:fPr>
                      <m:num>
                        <m:sSup>
                          <m:sSupPr>
                            <m:ctrlPr>
                              <w:rPr>
                                <w:rFonts w:ascii="Cambria Math" w:eastAsiaTheme="minorEastAsia" w:hAnsi="Cambria Math"/>
                                <w:i/>
                                <w:highlight w:val="yellow"/>
                                <w:lang w:val="en-US"/>
                              </w:rPr>
                            </m:ctrlPr>
                          </m:sSupPr>
                          <m:e>
                            <m:r>
                              <w:rPr>
                                <w:rFonts w:ascii="Cambria Math" w:eastAsiaTheme="minorEastAsia" w:hAnsi="Cambria Math"/>
                                <w:highlight w:val="yellow"/>
                                <w:lang w:val="en-US"/>
                              </w:rPr>
                              <m:t>e</m:t>
                            </m:r>
                          </m:e>
                          <m:sup>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-r.x</m:t>
                                </m:r>
                              </m:e>
                            </m:d>
                          </m:sup>
                        </m:sSup>
                      </m:num>
                      <m:den>
                        <m:r>
                          <w:rPr>
                            <w:rFonts w:ascii="Cambria Math" w:eastAsiaTheme="minorEastAsia" w:hAnsi="Cambria Math"/>
                            <w:highlight w:val="yellow"/>
                            <w:lang w:val="en-US"/>
                          </w:rPr>
                          <m:t>-x</m:t>
                        </m:r>
                      </m:den>
                    </m:f>
                  </m:e>
                </m:d>
              </m:e>
              <m:sub>
                <m:r>
                  <w:rPr>
                    <w:rFonts w:ascii="Cambria Math" w:eastAsiaTheme="minorEastAsia" w:hAnsi="Cambria Math"/>
                    <w:highlight w:val="yellow"/>
                    <w:lang w:val="en-US"/>
                  </w:rPr>
                  <m:t>0</m:t>
                </m:r>
              </m:sub>
              <m:sup>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sup>
            </m:sSubSup>
            <m:r>
              <w:rPr>
                <w:rFonts w:ascii="Cambria Math" w:eastAsiaTheme="minorEastAsia" w:hAnsi="Cambria Math"/>
                <w:highlight w:val="yellow"/>
                <w:lang w:val="en-US"/>
              </w:rPr>
              <m:t>=c.</m:t>
            </m:r>
            <m:f>
              <m:fPr>
                <m:ctrlPr>
                  <w:rPr>
                    <w:rFonts w:ascii="Cambria Math" w:eastAsiaTheme="minorEastAsia" w:hAnsi="Cambria Math"/>
                    <w:i/>
                    <w:highlight w:val="yellow"/>
                    <w:lang w:val="en-US"/>
                  </w:rPr>
                </m:ctrlPr>
              </m:fPr>
              <m:num>
                <m:sSup>
                  <m:sSupPr>
                    <m:ctrlPr>
                      <w:rPr>
                        <w:rFonts w:ascii="Cambria Math" w:eastAsiaTheme="minorEastAsia" w:hAnsi="Cambria Math"/>
                        <w:i/>
                        <w:highlight w:val="yellow"/>
                        <w:lang w:val="en-US"/>
                      </w:rPr>
                    </m:ctrlPr>
                  </m:sSupPr>
                  <m:e>
                    <m:r>
                      <w:rPr>
                        <w:rFonts w:ascii="Cambria Math" w:eastAsiaTheme="minorEastAsia" w:hAnsi="Cambria Math"/>
                        <w:highlight w:val="yellow"/>
                        <w:lang w:val="en-US"/>
                      </w:rPr>
                      <m:t>e</m:t>
                    </m:r>
                  </m:e>
                  <m:sup>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m:t>
                        </m:r>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r>
                          <w:rPr>
                            <w:rFonts w:ascii="Cambria Math" w:eastAsiaTheme="minorEastAsia" w:hAnsi="Cambria Math"/>
                            <w:highlight w:val="yellow"/>
                            <w:lang w:val="en-US"/>
                          </w:rPr>
                          <m:t>.x</m:t>
                        </m:r>
                      </m:e>
                    </m:d>
                  </m:sup>
                </m:sSup>
              </m:num>
              <m:den>
                <m:r>
                  <w:rPr>
                    <w:rFonts w:ascii="Cambria Math" w:eastAsiaTheme="minorEastAsia" w:hAnsi="Cambria Math"/>
                    <w:highlight w:val="yellow"/>
                    <w:lang w:val="en-US"/>
                  </w:rPr>
                  <m:t>-x</m:t>
                </m:r>
              </m:den>
            </m:f>
            <m:r>
              <w:rPr>
                <w:rFonts w:ascii="Cambria Math" w:eastAsiaTheme="minorEastAsia" w:hAnsi="Cambria Math"/>
                <w:highlight w:val="yellow"/>
                <w:lang w:val="en-US"/>
              </w:rPr>
              <m:t>-</m:t>
            </m:r>
          </m:e>
        </m:nary>
        <m:r>
          <w:rPr>
            <w:rFonts w:ascii="Cambria Math" w:eastAsiaTheme="minorEastAsia" w:hAnsi="Cambria Math"/>
            <w:highlight w:val="yellow"/>
            <w:lang w:val="en-US"/>
          </w:rPr>
          <m:t>c.</m:t>
        </m:r>
        <m:f>
          <m:fPr>
            <m:ctrlPr>
              <w:rPr>
                <w:rFonts w:ascii="Cambria Math" w:eastAsiaTheme="minorEastAsia" w:hAnsi="Cambria Math"/>
                <w:i/>
                <w:highlight w:val="yellow"/>
                <w:lang w:val="en-US"/>
              </w:rPr>
            </m:ctrlPr>
          </m:fPr>
          <m:num>
            <m:r>
              <w:rPr>
                <w:rFonts w:ascii="Cambria Math" w:eastAsiaTheme="minorEastAsia" w:hAnsi="Cambria Math"/>
                <w:highlight w:val="yellow"/>
                <w:lang w:val="en-US"/>
              </w:rPr>
              <m:t>1</m:t>
            </m:r>
          </m:num>
          <m:den>
            <m:r>
              <w:rPr>
                <w:rFonts w:ascii="Cambria Math" w:eastAsiaTheme="minorEastAsia" w:hAnsi="Cambria Math"/>
                <w:highlight w:val="yellow"/>
                <w:lang w:val="en-US"/>
              </w:rPr>
              <m:t>-x</m:t>
            </m:r>
          </m:den>
        </m:f>
        <m:r>
          <w:rPr>
            <w:rFonts w:ascii="Cambria Math" w:eastAsiaTheme="minorEastAsia" w:hAnsi="Cambria Math"/>
            <w:highlight w:val="yellow"/>
            <w:lang w:val="en-US"/>
          </w:rPr>
          <m:t>=</m:t>
        </m:r>
        <m:f>
          <m:fPr>
            <m:ctrlPr>
              <w:rPr>
                <w:rFonts w:ascii="Cambria Math" w:eastAsiaTheme="minorEastAsia" w:hAnsi="Cambria Math"/>
                <w:i/>
                <w:highlight w:val="yellow"/>
                <w:lang w:val="en-US"/>
              </w:rPr>
            </m:ctrlPr>
          </m:fPr>
          <m:num>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μ</m:t>
                </m:r>
              </m:e>
              <m:sub>
                <m:r>
                  <w:rPr>
                    <w:rFonts w:ascii="Cambria Math" w:eastAsiaTheme="minorEastAsia" w:hAnsi="Cambria Math"/>
                    <w:highlight w:val="yellow"/>
                    <w:lang w:val="en-US"/>
                  </w:rPr>
                  <m:t>1</m:t>
                </m:r>
              </m:sub>
            </m:sSub>
          </m:num>
          <m:den>
            <m:r>
              <w:rPr>
                <w:rFonts w:ascii="Cambria Math" w:eastAsiaTheme="minorEastAsia" w:hAnsi="Cambria Math"/>
                <w:highlight w:val="yellow"/>
                <w:lang w:val="en-US"/>
              </w:rPr>
              <m:t>x</m:t>
            </m:r>
          </m:den>
        </m:f>
        <m:r>
          <w:rPr>
            <w:rFonts w:ascii="Cambria Math" w:eastAsiaTheme="minorEastAsia" w:hAnsi="Cambria Math"/>
            <w:highlight w:val="yellow"/>
            <w:lang w:val="en-US"/>
          </w:rPr>
          <m:t>.</m:t>
        </m:r>
        <m:d>
          <m:dPr>
            <m:begChr m:val="["/>
            <m:endChr m:val="]"/>
            <m:ctrlPr>
              <w:rPr>
                <w:rFonts w:ascii="Cambria Math" w:eastAsiaTheme="minorEastAsia" w:hAnsi="Cambria Math"/>
                <w:i/>
                <w:highlight w:val="yellow"/>
                <w:lang w:val="en-US"/>
              </w:rPr>
            </m:ctrlPr>
          </m:dPr>
          <m:e>
            <m:r>
              <w:rPr>
                <w:rFonts w:ascii="Cambria Math" w:eastAsiaTheme="minorEastAsia" w:hAnsi="Cambria Math"/>
                <w:highlight w:val="yellow"/>
                <w:lang w:val="en-US"/>
              </w:rPr>
              <m:t>1-</m:t>
            </m:r>
            <m:sSup>
              <m:sSupPr>
                <m:ctrlPr>
                  <w:rPr>
                    <w:rFonts w:ascii="Cambria Math" w:eastAsiaTheme="minorEastAsia" w:hAnsi="Cambria Math"/>
                    <w:i/>
                    <w:highlight w:val="yellow"/>
                    <w:lang w:val="en-US"/>
                  </w:rPr>
                </m:ctrlPr>
              </m:sSupPr>
              <m:e>
                <m:r>
                  <w:rPr>
                    <w:rFonts w:ascii="Cambria Math" w:eastAsiaTheme="minorEastAsia" w:hAnsi="Cambria Math"/>
                    <w:highlight w:val="yellow"/>
                    <w:lang w:val="en-US"/>
                  </w:rPr>
                  <m:t>e</m:t>
                </m:r>
              </m:e>
              <m:sup>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m:t>
                    </m:r>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r>
                      <w:rPr>
                        <w:rFonts w:ascii="Cambria Math" w:eastAsiaTheme="minorEastAsia" w:hAnsi="Cambria Math"/>
                        <w:highlight w:val="yellow"/>
                        <w:lang w:val="en-US"/>
                      </w:rPr>
                      <m:t>.x</m:t>
                    </m:r>
                  </m:e>
                </m:d>
              </m:sup>
            </m:sSup>
          </m:e>
        </m:d>
      </m:oMath>
      <w:r w:rsidRPr="00467CFA">
        <w:rPr>
          <w:rFonts w:cs="Times New Roman"/>
          <w:highlight w:val="yellow"/>
          <w:lang w:val="en-US"/>
        </w:rPr>
        <w:tab/>
      </w:r>
      <w:r w:rsidRPr="00467CFA">
        <w:rPr>
          <w:rFonts w:cs="Times New Roman"/>
          <w:highlight w:val="yellow"/>
          <w:lang w:val="en-US"/>
        </w:rPr>
        <w:tab/>
        <w:t>(7)</w:t>
      </w:r>
    </w:p>
    <w:p w:rsidR="00A4583B" w:rsidRPr="00467CFA" w:rsidRDefault="00A4583B" w:rsidP="00A4583B">
      <w:pPr>
        <w:spacing w:after="0" w:line="480" w:lineRule="auto"/>
        <w:rPr>
          <w:rFonts w:ascii="Times New Roman" w:hAnsi="Times New Roman" w:cs="Times New Roman"/>
          <w:sz w:val="20"/>
          <w:szCs w:val="20"/>
          <w:highlight w:val="yellow"/>
          <w:lang w:val="en-US"/>
        </w:rPr>
      </w:pPr>
      <w:r w:rsidRPr="00467CFA">
        <w:rPr>
          <w:rFonts w:ascii="Times New Roman" w:hAnsi="Times New Roman" w:cs="Times New Roman"/>
          <w:sz w:val="20"/>
          <w:szCs w:val="20"/>
          <w:highlight w:val="yellow"/>
          <w:lang w:val="en-US"/>
        </w:rPr>
        <w:t>In the present study,</w:t>
      </w:r>
      <w:r w:rsidRPr="00467CFA">
        <w:rPr>
          <w:rFonts w:ascii="Times New Roman" w:hAnsi="Times New Roman" w:cs="Times New Roman"/>
          <w:i/>
          <w:sz w:val="20"/>
          <w:szCs w:val="20"/>
          <w:highlight w:val="yellow"/>
          <w:lang w:val="en-US"/>
        </w:rPr>
        <w:t xml:space="preserve"> Di</w:t>
      </w:r>
      <w:r w:rsidRPr="00467CFA">
        <w:rPr>
          <w:rFonts w:ascii="Times New Roman" w:hAnsi="Times New Roman" w:cs="Times New Roman"/>
          <w:sz w:val="20"/>
          <w:szCs w:val="20"/>
          <w:highlight w:val="yellow"/>
          <w:lang w:val="en-US"/>
        </w:rPr>
        <w:t xml:space="preserve"> decreased by three orders of magnitude, and </w:t>
      </w:r>
      <w:r w:rsidRPr="00467CFA">
        <w:rPr>
          <w:rFonts w:ascii="Times New Roman" w:hAnsi="Times New Roman" w:cs="Times New Roman"/>
          <w:i/>
          <w:sz w:val="20"/>
          <w:szCs w:val="20"/>
          <w:highlight w:val="yellow"/>
          <w:lang w:val="en-US"/>
        </w:rPr>
        <w:t>S</w:t>
      </w:r>
      <w:r w:rsidRPr="00467CFA">
        <w:rPr>
          <w:rFonts w:ascii="Times New Roman" w:hAnsi="Times New Roman" w:cs="Times New Roman"/>
          <w:sz w:val="20"/>
          <w:szCs w:val="20"/>
          <w:highlight w:val="yellow"/>
          <w:lang w:val="en-US"/>
        </w:rPr>
        <w:t>(</w:t>
      </w:r>
      <w:r w:rsidRPr="00467CFA">
        <w:rPr>
          <w:rFonts w:ascii="Times New Roman" w:hAnsi="Times New Roman" w:cs="Times New Roman"/>
          <w:i/>
          <w:sz w:val="20"/>
          <w:szCs w:val="20"/>
          <w:highlight w:val="yellow"/>
          <w:lang w:val="en-US"/>
        </w:rPr>
        <w:t>x</w:t>
      </w:r>
      <w:r w:rsidRPr="00467CFA">
        <w:rPr>
          <w:rFonts w:ascii="Times New Roman" w:hAnsi="Times New Roman" w:cs="Times New Roman"/>
          <w:sz w:val="20"/>
          <w:szCs w:val="20"/>
          <w:highlight w:val="yellow"/>
          <w:lang w:val="en-US"/>
        </w:rPr>
        <w:t xml:space="preserve">) was higher than 0.98 at the age of 10 years. Consequently, the changes in the denominator (number of living persons) with age can be neglected due to the changes in the numerator of equation (1). Based on the TCIR, we simultaneously assumed that the distribution of individual congenital risk </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lang w:val="en-US"/>
        </w:rPr>
        <w:t xml:space="preserve"> can be approximated by the relationship </w:t>
      </w:r>
      <w:r w:rsidRPr="00467CFA">
        <w:rPr>
          <w:rFonts w:ascii="Times New Roman" w:hAnsi="Times New Roman" w:cs="Times New Roman"/>
          <w:i/>
          <w:sz w:val="20"/>
          <w:szCs w:val="20"/>
          <w:highlight w:val="yellow"/>
          <w:lang w:val="en-US"/>
        </w:rPr>
        <w:t>f</w:t>
      </w:r>
      <w:r w:rsidRPr="00467CFA">
        <w:rPr>
          <w:rFonts w:ascii="Times New Roman" w:hAnsi="Times New Roman" w:cs="Times New Roman"/>
          <w:sz w:val="20"/>
          <w:szCs w:val="20"/>
          <w:highlight w:val="yellow"/>
          <w:lang w:val="en-US"/>
        </w:rPr>
        <w:t>(</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lang w:val="en-US"/>
        </w:rPr>
        <w:t xml:space="preserve">) = </w:t>
      </w:r>
      <w:r w:rsidRPr="00467CFA">
        <w:rPr>
          <w:rFonts w:ascii="Times New Roman" w:hAnsi="Times New Roman" w:cs="Times New Roman"/>
          <w:i/>
          <w:sz w:val="20"/>
          <w:szCs w:val="20"/>
          <w:highlight w:val="yellow"/>
          <w:lang w:val="en-US"/>
        </w:rPr>
        <w:t>c</w:t>
      </w:r>
      <w:r w:rsidRPr="00467CFA">
        <w:rPr>
          <w:rFonts w:ascii="Times New Roman" w:hAnsi="Times New Roman" w:cs="Times New Roman"/>
          <w:sz w:val="20"/>
          <w:szCs w:val="20"/>
          <w:highlight w:val="yellow"/>
          <w:lang w:val="en-US"/>
        </w:rPr>
        <w:t>/</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lang w:val="en-US"/>
        </w:rPr>
        <w:t xml:space="preserve">. Because the numerator is the partial derivative of </w:t>
      </w:r>
      <w:r w:rsidRPr="00467CFA">
        <w:rPr>
          <w:rFonts w:ascii="Times New Roman" w:hAnsi="Times New Roman" w:cs="Times New Roman"/>
          <w:i/>
          <w:sz w:val="20"/>
          <w:szCs w:val="20"/>
          <w:highlight w:val="yellow"/>
          <w:lang w:val="en-US"/>
        </w:rPr>
        <w:t>S</w:t>
      </w:r>
      <w:r w:rsidRPr="00467CFA">
        <w:rPr>
          <w:rFonts w:ascii="Times New Roman" w:hAnsi="Times New Roman" w:cs="Times New Roman"/>
          <w:sz w:val="20"/>
          <w:szCs w:val="20"/>
          <w:highlight w:val="yellow"/>
          <w:lang w:val="en-US"/>
        </w:rPr>
        <w:t>(</w:t>
      </w:r>
      <w:r w:rsidRPr="00467CFA">
        <w:rPr>
          <w:rFonts w:ascii="Times New Roman" w:hAnsi="Times New Roman" w:cs="Times New Roman"/>
          <w:i/>
          <w:sz w:val="20"/>
          <w:szCs w:val="20"/>
          <w:highlight w:val="yellow"/>
          <w:lang w:val="en-US"/>
        </w:rPr>
        <w:t>x</w:t>
      </w:r>
      <w:r w:rsidRPr="00467CFA">
        <w:rPr>
          <w:rFonts w:ascii="Times New Roman" w:hAnsi="Times New Roman" w:cs="Times New Roman"/>
          <w:sz w:val="20"/>
          <w:szCs w:val="20"/>
          <w:highlight w:val="yellow"/>
          <w:lang w:val="en-US"/>
        </w:rPr>
        <w:t xml:space="preserve">) with respect to the variable </w:t>
      </w:r>
      <w:r w:rsidRPr="00467CFA">
        <w:rPr>
          <w:rFonts w:ascii="Times New Roman" w:hAnsi="Times New Roman" w:cs="Times New Roman"/>
          <w:i/>
          <w:sz w:val="20"/>
          <w:szCs w:val="20"/>
          <w:highlight w:val="yellow"/>
          <w:lang w:val="en-US"/>
        </w:rPr>
        <w:t>x</w:t>
      </w:r>
      <w:r w:rsidRPr="00467CFA">
        <w:rPr>
          <w:rFonts w:ascii="Times New Roman" w:hAnsi="Times New Roman" w:cs="Times New Roman"/>
          <w:sz w:val="20"/>
          <w:szCs w:val="20"/>
          <w:highlight w:val="yellow"/>
          <w:lang w:val="en-US"/>
        </w:rPr>
        <w:t xml:space="preserve">, the variable </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lang w:val="en-US"/>
        </w:rPr>
        <w:t xml:space="preserve"> is only in the exponential term. (Variable </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lang w:val="en-US"/>
        </w:rPr>
        <w:t xml:space="preserve"> represents the denominator in the frequency function </w:t>
      </w:r>
      <w:r w:rsidRPr="00467CFA">
        <w:rPr>
          <w:rFonts w:ascii="Times New Roman" w:hAnsi="Times New Roman" w:cs="Times New Roman"/>
          <w:i/>
          <w:sz w:val="20"/>
          <w:szCs w:val="20"/>
          <w:highlight w:val="yellow"/>
          <w:lang w:val="en-US"/>
        </w:rPr>
        <w:t>f</w:t>
      </w:r>
      <w:r w:rsidRPr="00467CFA">
        <w:rPr>
          <w:rFonts w:ascii="Times New Roman" w:hAnsi="Times New Roman" w:cs="Times New Roman"/>
          <w:sz w:val="20"/>
          <w:szCs w:val="20"/>
          <w:highlight w:val="yellow"/>
          <w:lang w:val="en-US"/>
        </w:rPr>
        <w:t>(</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lang w:val="en-US"/>
        </w:rPr>
        <w:t xml:space="preserve">), and it is also the result of the partial derivative in the numerator.) Furthermore, if the product </w:t>
      </w:r>
      <w:r w:rsidRPr="00467CFA">
        <w:rPr>
          <w:rFonts w:ascii="Times New Roman" w:hAnsi="Times New Roman" w:cs="Times New Roman"/>
          <w:i/>
          <w:sz w:val="20"/>
          <w:szCs w:val="20"/>
          <w:highlight w:val="yellow"/>
          <w:lang w:val="en-US"/>
        </w:rPr>
        <w:t>r</w:t>
      </w:r>
      <w:r w:rsidRPr="00467CFA">
        <w:rPr>
          <w:rFonts w:ascii="Times New Roman" w:hAnsi="Times New Roman" w:cs="Times New Roman"/>
          <w:sz w:val="20"/>
          <w:szCs w:val="20"/>
          <w:highlight w:val="yellow"/>
          <w:vertAlign w:val="subscript"/>
          <w:lang w:val="en-US"/>
        </w:rPr>
        <w:t>max</w:t>
      </w:r>
      <w:r w:rsidRPr="00467CFA">
        <w:rPr>
          <w:rFonts w:ascii="Times New Roman" w:hAnsi="Times New Roman" w:cs="Times New Roman"/>
          <w:sz w:val="20"/>
          <w:szCs w:val="20"/>
          <w:highlight w:val="yellow"/>
          <w:lang w:val="en-US"/>
        </w:rPr>
        <w:t>.</w:t>
      </w:r>
      <w:r w:rsidRPr="00467CFA">
        <w:rPr>
          <w:rFonts w:ascii="Times New Roman" w:hAnsi="Times New Roman" w:cs="Times New Roman"/>
          <w:i/>
          <w:sz w:val="20"/>
          <w:szCs w:val="20"/>
          <w:highlight w:val="yellow"/>
          <w:lang w:val="en-US"/>
        </w:rPr>
        <w:t>x</w:t>
      </w:r>
      <w:r w:rsidRPr="00467CFA">
        <w:rPr>
          <w:rFonts w:ascii="Times New Roman" w:hAnsi="Times New Roman" w:cs="Times New Roman"/>
          <w:sz w:val="20"/>
          <w:szCs w:val="20"/>
          <w:highlight w:val="yellow"/>
          <w:lang w:val="en-US"/>
        </w:rPr>
        <w:t xml:space="preserve"> is small in equation (7), then the theoretical mortality rate is approximately constant according to the following relationship (8) (Dolejs, 2001; Dolejs, 2003):</w:t>
      </w:r>
    </w:p>
    <w:p w:rsidR="00A4583B" w:rsidRPr="00467CFA" w:rsidRDefault="00A4583B" w:rsidP="00A4583B">
      <w:pPr>
        <w:spacing w:line="480" w:lineRule="auto"/>
        <w:jc w:val="right"/>
        <w:rPr>
          <w:rFonts w:cs="Times New Roman"/>
          <w:highlight w:val="yellow"/>
          <w:lang w:val="en-US"/>
        </w:rPr>
      </w:pPr>
      <m:oMath>
        <m:r>
          <w:rPr>
            <w:rFonts w:ascii="Cambria Math" w:eastAsiaTheme="minorEastAsia" w:hAnsi="Cambria Math"/>
            <w:highlight w:val="yellow"/>
            <w:lang w:val="en-US"/>
          </w:rPr>
          <m:t>μ</m:t>
        </m:r>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x</m:t>
            </m:r>
          </m:e>
        </m:d>
        <m:r>
          <w:rPr>
            <w:rFonts w:ascii="Cambria Math" w:eastAsiaTheme="minorEastAsia" w:hAnsi="Cambria Math"/>
            <w:highlight w:val="yellow"/>
            <w:lang w:val="en-US"/>
          </w:rPr>
          <m:t>=</m:t>
        </m:r>
        <m:f>
          <m:fPr>
            <m:ctrlPr>
              <w:rPr>
                <w:rFonts w:ascii="Cambria Math" w:eastAsiaTheme="minorEastAsia" w:hAnsi="Cambria Math"/>
                <w:i/>
                <w:highlight w:val="yellow"/>
                <w:lang w:val="en-US"/>
              </w:rPr>
            </m:ctrlPr>
          </m:fPr>
          <m:num>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μ</m:t>
                </m:r>
              </m:e>
              <m:sub>
                <m:r>
                  <w:rPr>
                    <w:rFonts w:ascii="Cambria Math" w:eastAsiaTheme="minorEastAsia" w:hAnsi="Cambria Math"/>
                    <w:highlight w:val="yellow"/>
                    <w:lang w:val="en-US"/>
                  </w:rPr>
                  <m:t>1</m:t>
                </m:r>
              </m:sub>
            </m:sSub>
          </m:num>
          <m:den>
            <m:r>
              <w:rPr>
                <w:rFonts w:ascii="Cambria Math" w:eastAsiaTheme="minorEastAsia" w:hAnsi="Cambria Math"/>
                <w:highlight w:val="yellow"/>
                <w:lang w:val="en-US"/>
              </w:rPr>
              <m:t>x</m:t>
            </m:r>
          </m:den>
        </m:f>
        <m:r>
          <w:rPr>
            <w:rFonts w:ascii="Cambria Math" w:eastAsiaTheme="minorEastAsia" w:hAnsi="Cambria Math"/>
            <w:highlight w:val="yellow"/>
            <w:lang w:val="en-US"/>
          </w:rPr>
          <m:t>.</m:t>
        </m:r>
        <m:d>
          <m:dPr>
            <m:begChr m:val="["/>
            <m:endChr m:val="]"/>
            <m:ctrlPr>
              <w:rPr>
                <w:rFonts w:ascii="Cambria Math" w:eastAsiaTheme="minorEastAsia" w:hAnsi="Cambria Math"/>
                <w:i/>
                <w:highlight w:val="yellow"/>
                <w:lang w:val="en-US"/>
              </w:rPr>
            </m:ctrlPr>
          </m:dPr>
          <m:e>
            <m:r>
              <w:rPr>
                <w:rFonts w:ascii="Cambria Math" w:eastAsiaTheme="minorEastAsia" w:hAnsi="Cambria Math"/>
                <w:highlight w:val="yellow"/>
                <w:lang w:val="en-US"/>
              </w:rPr>
              <m:t>1-</m:t>
            </m:r>
            <m:sSup>
              <m:sSupPr>
                <m:ctrlPr>
                  <w:rPr>
                    <w:rFonts w:ascii="Cambria Math" w:eastAsiaTheme="minorEastAsia" w:hAnsi="Cambria Math"/>
                    <w:i/>
                    <w:highlight w:val="yellow"/>
                    <w:lang w:val="en-US"/>
                  </w:rPr>
                </m:ctrlPr>
              </m:sSupPr>
              <m:e>
                <m:r>
                  <w:rPr>
                    <w:rFonts w:ascii="Cambria Math" w:eastAsiaTheme="minorEastAsia" w:hAnsi="Cambria Math"/>
                    <w:highlight w:val="yellow"/>
                    <w:lang w:val="en-US"/>
                  </w:rPr>
                  <m:t>e</m:t>
                </m:r>
              </m:e>
              <m:sup>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m:t>
                    </m:r>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r>
                      <w:rPr>
                        <w:rFonts w:ascii="Cambria Math" w:eastAsiaTheme="minorEastAsia" w:hAnsi="Cambria Math"/>
                        <w:highlight w:val="yellow"/>
                        <w:lang w:val="en-US"/>
                      </w:rPr>
                      <m:t>.x</m:t>
                    </m:r>
                  </m:e>
                </m:d>
              </m:sup>
            </m:sSup>
          </m:e>
        </m:d>
        <m:r>
          <w:rPr>
            <w:rFonts w:ascii="Cambria Math" w:eastAsiaTheme="minorEastAsia" w:hAnsi="Cambria Math"/>
            <w:highlight w:val="yellow"/>
            <w:lang w:val="en-US"/>
          </w:rPr>
          <m:t>≅</m:t>
        </m:r>
        <m:f>
          <m:fPr>
            <m:ctrlPr>
              <w:rPr>
                <w:rFonts w:ascii="Cambria Math" w:eastAsiaTheme="minorEastAsia" w:hAnsi="Cambria Math"/>
                <w:i/>
                <w:highlight w:val="yellow"/>
                <w:lang w:val="en-US"/>
              </w:rPr>
            </m:ctrlPr>
          </m:fPr>
          <m:num>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μ</m:t>
                </m:r>
              </m:e>
              <m:sub>
                <m:r>
                  <w:rPr>
                    <w:rFonts w:ascii="Cambria Math" w:eastAsiaTheme="minorEastAsia" w:hAnsi="Cambria Math"/>
                    <w:highlight w:val="yellow"/>
                    <w:lang w:val="en-US"/>
                  </w:rPr>
                  <m:t>1</m:t>
                </m:r>
              </m:sub>
            </m:sSub>
          </m:num>
          <m:den>
            <m:r>
              <w:rPr>
                <w:rFonts w:ascii="Cambria Math" w:eastAsiaTheme="minorEastAsia" w:hAnsi="Cambria Math"/>
                <w:highlight w:val="yellow"/>
                <w:lang w:val="en-US"/>
              </w:rPr>
              <m:t>x</m:t>
            </m:r>
          </m:den>
        </m:f>
        <m:d>
          <m:dPr>
            <m:begChr m:val="["/>
            <m:endChr m:val="]"/>
            <m:ctrlPr>
              <w:rPr>
                <w:rFonts w:ascii="Cambria Math" w:eastAsiaTheme="minorEastAsia" w:hAnsi="Cambria Math"/>
                <w:i/>
                <w:highlight w:val="yellow"/>
                <w:lang w:val="en-US"/>
              </w:rPr>
            </m:ctrlPr>
          </m:dPr>
          <m:e>
            <m:r>
              <w:rPr>
                <w:rFonts w:ascii="Cambria Math" w:eastAsiaTheme="minorEastAsia" w:hAnsi="Cambria Math"/>
                <w:highlight w:val="yellow"/>
                <w:lang w:val="en-US"/>
              </w:rPr>
              <m:t>1-</m:t>
            </m:r>
            <m:d>
              <m:dPr>
                <m:ctrlPr>
                  <w:rPr>
                    <w:rFonts w:ascii="Cambria Math" w:eastAsiaTheme="minorEastAsia" w:hAnsi="Cambria Math"/>
                    <w:i/>
                    <w:highlight w:val="yellow"/>
                    <w:lang w:val="en-US"/>
                  </w:rPr>
                </m:ctrlPr>
              </m:dPr>
              <m:e>
                <m:r>
                  <w:rPr>
                    <w:rFonts w:ascii="Cambria Math" w:eastAsiaTheme="minorEastAsia" w:hAnsi="Cambria Math"/>
                    <w:highlight w:val="yellow"/>
                    <w:lang w:val="en-US"/>
                  </w:rPr>
                  <m:t>1-</m:t>
                </m:r>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r>
                  <w:rPr>
                    <w:rFonts w:ascii="Cambria Math" w:eastAsiaTheme="minorEastAsia" w:hAnsi="Cambria Math"/>
                    <w:highlight w:val="yellow"/>
                    <w:lang w:val="en-US"/>
                  </w:rPr>
                  <m:t>.x</m:t>
                </m:r>
              </m:e>
            </m:d>
          </m:e>
        </m:d>
        <m:r>
          <w:rPr>
            <w:rFonts w:ascii="Cambria Math" w:eastAsiaTheme="minorEastAsia" w:hAnsi="Cambria Math"/>
            <w:highlight w:val="yellow"/>
            <w:lang w:val="en-US"/>
          </w:rPr>
          <m:t>=</m:t>
        </m:r>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μ</m:t>
            </m:r>
          </m:e>
          <m:sub>
            <m:r>
              <w:rPr>
                <w:rFonts w:ascii="Cambria Math" w:eastAsiaTheme="minorEastAsia" w:hAnsi="Cambria Math"/>
                <w:highlight w:val="yellow"/>
                <w:lang w:val="en-US"/>
              </w:rPr>
              <m:t>1</m:t>
            </m:r>
          </m:sub>
        </m:sSub>
        <m:r>
          <w:rPr>
            <w:rFonts w:ascii="Cambria Math" w:eastAsiaTheme="minorEastAsia" w:hAnsi="Cambria Math"/>
            <w:highlight w:val="yellow"/>
            <w:lang w:val="en-US"/>
          </w:rPr>
          <m:t>.</m:t>
        </m:r>
        <m:sSub>
          <m:sSubPr>
            <m:ctrlPr>
              <w:rPr>
                <w:rFonts w:ascii="Cambria Math" w:eastAsiaTheme="minorEastAsia" w:hAnsi="Cambria Math"/>
                <w:i/>
                <w:highlight w:val="yellow"/>
                <w:lang w:val="en-US"/>
              </w:rPr>
            </m:ctrlPr>
          </m:sSubPr>
          <m:e>
            <m:r>
              <w:rPr>
                <w:rFonts w:ascii="Cambria Math" w:eastAsiaTheme="minorEastAsia" w:hAnsi="Cambria Math"/>
                <w:highlight w:val="yellow"/>
                <w:lang w:val="en-US"/>
              </w:rPr>
              <m:t>r</m:t>
            </m:r>
          </m:e>
          <m:sub>
            <m:r>
              <w:rPr>
                <w:rFonts w:ascii="Cambria Math" w:eastAsiaTheme="minorEastAsia" w:hAnsi="Cambria Math"/>
                <w:highlight w:val="yellow"/>
                <w:lang w:val="en-US"/>
              </w:rPr>
              <m:t>max</m:t>
            </m:r>
          </m:sub>
        </m:sSub>
      </m:oMath>
      <w:r w:rsidRPr="00467CFA">
        <w:rPr>
          <w:rFonts w:cs="Times New Roman"/>
          <w:highlight w:val="yellow"/>
          <w:lang w:val="en-US"/>
        </w:rPr>
        <w:tab/>
      </w:r>
      <w:r w:rsidRPr="00467CFA">
        <w:rPr>
          <w:rFonts w:cs="Times New Roman"/>
          <w:highlight w:val="yellow"/>
          <w:lang w:val="en-US"/>
        </w:rPr>
        <w:tab/>
        <w:t>(8)</w:t>
      </w:r>
    </w:p>
    <w:p w:rsidR="00A4583B" w:rsidRPr="00467CFA" w:rsidRDefault="00A4583B" w:rsidP="00A4583B">
      <w:pPr>
        <w:spacing w:after="0" w:line="480" w:lineRule="auto"/>
        <w:rPr>
          <w:rFonts w:ascii="Times New Roman" w:hAnsi="Times New Roman" w:cs="Times New Roman"/>
          <w:sz w:val="20"/>
          <w:szCs w:val="20"/>
          <w:lang w:val="en-US"/>
        </w:rPr>
      </w:pPr>
      <w:r w:rsidRPr="00467CFA">
        <w:rPr>
          <w:rFonts w:ascii="Times New Roman" w:hAnsi="Times New Roman" w:cs="Times New Roman"/>
          <w:sz w:val="20"/>
          <w:szCs w:val="20"/>
          <w:highlight w:val="yellow"/>
          <w:lang w:val="en-US"/>
        </w:rPr>
        <w:t>If a time unit of 1 year is used, and if r is represented per year, then the product r</w:t>
      </w:r>
      <w:r w:rsidRPr="00467CFA">
        <w:rPr>
          <w:rFonts w:ascii="Times New Roman" w:hAnsi="Times New Roman" w:cs="Times New Roman"/>
          <w:sz w:val="20"/>
          <w:szCs w:val="20"/>
          <w:highlight w:val="yellow"/>
          <w:vertAlign w:val="subscript"/>
          <w:lang w:val="en-US"/>
        </w:rPr>
        <w:t>max</w:t>
      </w:r>
      <w:r w:rsidRPr="00467CFA">
        <w:rPr>
          <w:rFonts w:ascii="Times New Roman" w:hAnsi="Times New Roman" w:cs="Times New Roman"/>
          <w:sz w:val="20"/>
          <w:szCs w:val="20"/>
          <w:highlight w:val="yellow"/>
          <w:lang w:val="en-US"/>
        </w:rPr>
        <w:t>.x is unitless. The approximation (8) is valid if the product r</w:t>
      </w:r>
      <w:r w:rsidRPr="00467CFA">
        <w:rPr>
          <w:rFonts w:ascii="Times New Roman" w:hAnsi="Times New Roman" w:cs="Times New Roman"/>
          <w:sz w:val="20"/>
          <w:szCs w:val="20"/>
          <w:highlight w:val="yellow"/>
          <w:vertAlign w:val="subscript"/>
          <w:lang w:val="en-US"/>
        </w:rPr>
        <w:t>max</w:t>
      </w:r>
      <w:r w:rsidRPr="00467CFA">
        <w:rPr>
          <w:rFonts w:ascii="Times New Roman" w:hAnsi="Times New Roman" w:cs="Times New Roman"/>
          <w:sz w:val="20"/>
          <w:szCs w:val="20"/>
          <w:highlight w:val="yellow"/>
          <w:lang w:val="en-US"/>
        </w:rPr>
        <w:t>.x is very small, relative to 1.</w:t>
      </w:r>
    </w:p>
    <w:p w:rsidR="00A4583B" w:rsidRDefault="00A4583B" w:rsidP="00A4583B">
      <w:pPr>
        <w:spacing w:after="0" w:line="240" w:lineRule="auto"/>
        <w:contextualSpacing/>
        <w:rPr>
          <w:rFonts w:ascii="Times New Roman" w:hAnsi="Times New Roman" w:cs="Times New Roman"/>
          <w:b/>
          <w:sz w:val="20"/>
          <w:szCs w:val="20"/>
          <w:lang w:val="en-US"/>
        </w:rPr>
      </w:pPr>
    </w:p>
    <w:p w:rsidR="00A4583B" w:rsidRDefault="00A4583B" w:rsidP="00A4583B">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A4583B" w:rsidRPr="002B3542" w:rsidRDefault="00A4583B" w:rsidP="00A4583B">
      <w:pPr>
        <w:spacing w:after="0" w:line="240" w:lineRule="auto"/>
        <w:contextualSpacing/>
        <w:rPr>
          <w:rFonts w:ascii="Times New Roman" w:hAnsi="Times New Roman" w:cs="Times New Roman"/>
          <w:b/>
          <w:sz w:val="20"/>
          <w:szCs w:val="20"/>
          <w:lang w:val="en-US"/>
        </w:rPr>
      </w:pP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Table 3</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Congenital malformations of the nervous system according ICD10, Chapter XVII, codes: Q00-Q07</w:t>
      </w:r>
    </w:p>
    <w:p w:rsidR="00A4583B" w:rsidRPr="002B3542" w:rsidRDefault="00A4583B" w:rsidP="00A4583B">
      <w:pPr>
        <w:spacing w:after="0" w:line="240" w:lineRule="auto"/>
        <w:contextualSpacing/>
        <w:rPr>
          <w:rFonts w:ascii="Arial" w:hAnsi="Arial" w:cs="Arial"/>
          <w:b/>
          <w:sz w:val="16"/>
          <w:szCs w:val="16"/>
          <w:lang w:val="en-US"/>
        </w:rPr>
      </w:pP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Q00 Anencephaly and similar malformations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Q00.0 Anencephaly, Acephaly, Acrania, Amyelencephaly, Hemianencephaly, Hemicephaly,</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Q00.1 Craniorachischisis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Q00.2 Iniencephaly</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 xml:space="preserve">Q01 Encephalocele, </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Incl.: encephalomyelocele, hydroencephalocele, hydromeningocele, cranial, meningocele, cerebral, meningoencephalocele, Excl.: Meckel-Gruber syndrome (Q61.9)</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Q01.0 Frontal encephalocele</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Q01.1 Nasofrontal encephalocele</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Q01.2 Occipital encephalocele</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Q01.8 Encephalocele of other sites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Q01.9 Encephalocele, unspecified</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Q02 Microcephaly</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Incl.: Hydromicrocephaly Micrencephalon Excl.: Meckel-Gruber syndrome (Q61.9)</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Q03 Congenital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Incl.</w:t>
      </w:r>
      <w:proofErr w:type="gramStart"/>
      <w:r w:rsidRPr="002B3542">
        <w:rPr>
          <w:rFonts w:ascii="Arial" w:hAnsi="Arial" w:cs="Arial"/>
          <w:sz w:val="16"/>
          <w:szCs w:val="16"/>
          <w:lang w:val="en-US"/>
        </w:rPr>
        <w:t>:hydrocephalus</w:t>
      </w:r>
      <w:proofErr w:type="gramEnd"/>
      <w:r w:rsidRPr="002B3542">
        <w:rPr>
          <w:rFonts w:ascii="Arial" w:hAnsi="Arial" w:cs="Arial"/>
          <w:sz w:val="16"/>
          <w:szCs w:val="16"/>
          <w:lang w:val="en-US"/>
        </w:rPr>
        <w:t xml:space="preserve"> in newborn Excl.: Arnold-Chiari syndrome (Q07.0), hydrocephalus: acquired NOS (G91.-), acquired, of newborn (P91.7) due to congenital toxoplasmosis (P37.1), with spina bifida (Q05.0-Q05.4)</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Q03.0 Malformations of aqueduct of Sylvius, Aqueduct of Sylvius: anomaly, obstruction, congenital stenosis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Q03.1 Atresia of foramina of Magendie and Luschka, Dandy-Walker syndrome</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Q03.8 Other congenital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Q03.9 Congenital hydrocephalus, unspecified</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 xml:space="preserve">Q04 </w:t>
      </w:r>
      <w:proofErr w:type="gramStart"/>
      <w:r w:rsidRPr="002B3542">
        <w:rPr>
          <w:rFonts w:ascii="Arial" w:hAnsi="Arial" w:cs="Arial"/>
          <w:b/>
          <w:sz w:val="16"/>
          <w:szCs w:val="16"/>
          <w:lang w:val="en-US"/>
        </w:rPr>
        <w:t>Other</w:t>
      </w:r>
      <w:proofErr w:type="gramEnd"/>
      <w:r w:rsidRPr="002B3542">
        <w:rPr>
          <w:rFonts w:ascii="Arial" w:hAnsi="Arial" w:cs="Arial"/>
          <w:b/>
          <w:sz w:val="16"/>
          <w:szCs w:val="16"/>
          <w:lang w:val="en-US"/>
        </w:rPr>
        <w:t xml:space="preserve"> congenital malformations of brain</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Excl.: cyclopia (Q87.0), macrocephaly (Q75.3)</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Q04.0 Congenital malformations of corpus callosum</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Agenesis of corpus callosum</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Q04.1 Arhinencephaly</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Q04.2 Holoprosencephaly</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Q04.3 </w:t>
      </w:r>
      <w:proofErr w:type="gramStart"/>
      <w:r w:rsidRPr="002B3542">
        <w:rPr>
          <w:rFonts w:ascii="Arial" w:hAnsi="Arial" w:cs="Arial"/>
          <w:sz w:val="16"/>
          <w:szCs w:val="16"/>
          <w:lang w:val="en-US"/>
        </w:rPr>
        <w:t>Other</w:t>
      </w:r>
      <w:proofErr w:type="gramEnd"/>
      <w:r w:rsidRPr="002B3542">
        <w:rPr>
          <w:rFonts w:ascii="Arial" w:hAnsi="Arial" w:cs="Arial"/>
          <w:sz w:val="16"/>
          <w:szCs w:val="16"/>
          <w:lang w:val="en-US"/>
        </w:rPr>
        <w:t xml:space="preserve"> reduction deformities of brain, Absence, Agenesis, Aplasia, Hypoplasia, Agyria, Hydranencephaly, Lissencephaly, Microgyria, Pachygyria, Excl.: congenital malformations of corpus callosum (Q04.0)</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Q04.4 Septo-optic dysplasia</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Q04.5 Megalencephaly</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Q04.6 Congenital cerebral cysts, Porencephaly, Schizencephaly. Excl.: acquired porencephalic cyst (G93.0)</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Q04.8 Other specified congenital malformations of brain, Macrogyria</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Q04.9 Congenital malformation of brain, unspecified, </w:t>
      </w:r>
      <w:proofErr w:type="gramStart"/>
      <w:r w:rsidRPr="002B3542">
        <w:rPr>
          <w:rFonts w:ascii="Arial" w:hAnsi="Arial" w:cs="Arial"/>
          <w:sz w:val="16"/>
          <w:szCs w:val="16"/>
          <w:lang w:val="en-US"/>
        </w:rPr>
        <w:t>Congenital</w:t>
      </w:r>
      <w:proofErr w:type="gramEnd"/>
      <w:r w:rsidRPr="002B3542">
        <w:rPr>
          <w:rFonts w:ascii="Arial" w:hAnsi="Arial" w:cs="Arial"/>
          <w:sz w:val="16"/>
          <w:szCs w:val="16"/>
          <w:lang w:val="en-US"/>
        </w:rPr>
        <w:t>: anomaly deformity disease or lesion, multiple anomalies</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Q05 Spina bifida</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Incl.: hydromeningocele (spinal), meningocele (spinal), meningomyelocele, myelocele, myelomeningocele, rachischisis, spina bifida (aperta)(cystica) , syringomyelocele, Excl.: Arnold-Chiari syndrome (Q07.0), spina bifida occulta (Q76.0)</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Q05.0 Cervical spina bifida with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Q05.1 Thoracic spina bifida with hydrocephalus, Spina bifida: dorsal, thoracolumbar</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Q05.2 Lumbar spina bifida with hydrocephalus, Lumbosacral spina bifida with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Q05.3 Sacral spina bifida with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Q05.4 Unspecified spina bifida with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Q05.5 Cervical spina bifida without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Q05.6 Thoracic spina bifida without hydrocephalus, Spina bifida: dorsal NOS, thoracolumbar NOS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Q05.7 Lumbar spina bifida without hydrocephalus, Lumbosacral spina bifida NOS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Q05.8 Sacral spina bifida without hydrocephalus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Q05.9 Spina bifida, unspecified</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 xml:space="preserve">Q06 </w:t>
      </w:r>
      <w:proofErr w:type="gramStart"/>
      <w:r w:rsidRPr="002B3542">
        <w:rPr>
          <w:rFonts w:ascii="Arial" w:hAnsi="Arial" w:cs="Arial"/>
          <w:b/>
          <w:sz w:val="16"/>
          <w:szCs w:val="16"/>
          <w:lang w:val="en-US"/>
        </w:rPr>
        <w:t>Other</w:t>
      </w:r>
      <w:proofErr w:type="gramEnd"/>
      <w:r w:rsidRPr="002B3542">
        <w:rPr>
          <w:rFonts w:ascii="Arial" w:hAnsi="Arial" w:cs="Arial"/>
          <w:b/>
          <w:sz w:val="16"/>
          <w:szCs w:val="16"/>
          <w:lang w:val="en-US"/>
        </w:rPr>
        <w:t xml:space="preserve"> congenital malformations of spinal cord</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Q06.0 Amyelia</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Q06.1 Hypoplasia and dysplasia of spinal cord, Atelomyelia, Myelatelia, Myelodysplasia of spinal cord</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Q06.2 Diastematomyelia</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Q06.3 </w:t>
      </w:r>
      <w:proofErr w:type="gramStart"/>
      <w:r w:rsidRPr="002B3542">
        <w:rPr>
          <w:rFonts w:ascii="Arial" w:hAnsi="Arial" w:cs="Arial"/>
          <w:sz w:val="16"/>
          <w:szCs w:val="16"/>
          <w:lang w:val="en-US"/>
        </w:rPr>
        <w:t>Other</w:t>
      </w:r>
      <w:proofErr w:type="gramEnd"/>
      <w:r w:rsidRPr="002B3542">
        <w:rPr>
          <w:rFonts w:ascii="Arial" w:hAnsi="Arial" w:cs="Arial"/>
          <w:sz w:val="16"/>
          <w:szCs w:val="16"/>
          <w:lang w:val="en-US"/>
        </w:rPr>
        <w:t xml:space="preserve"> congenital cauda equina malformations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Q06.4 </w:t>
      </w:r>
      <w:proofErr w:type="gramStart"/>
      <w:r w:rsidRPr="002B3542">
        <w:rPr>
          <w:rFonts w:ascii="Arial" w:hAnsi="Arial" w:cs="Arial"/>
          <w:sz w:val="16"/>
          <w:szCs w:val="16"/>
          <w:lang w:val="en-US"/>
        </w:rPr>
        <w:t>Hydromyelia ,</w:t>
      </w:r>
      <w:proofErr w:type="gramEnd"/>
      <w:r w:rsidRPr="002B3542">
        <w:rPr>
          <w:rFonts w:ascii="Arial" w:hAnsi="Arial" w:cs="Arial"/>
          <w:sz w:val="16"/>
          <w:szCs w:val="16"/>
          <w:lang w:val="en-US"/>
        </w:rPr>
        <w:t xml:space="preserve"> Hydrorachis</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Q06.8 Other specified congenital malformations of spinal cord</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Q06.9 Congenital malformation of spinal cord, unspecified, </w:t>
      </w:r>
      <w:proofErr w:type="gramStart"/>
      <w:r w:rsidRPr="002B3542">
        <w:rPr>
          <w:rFonts w:ascii="Arial" w:hAnsi="Arial" w:cs="Arial"/>
          <w:sz w:val="16"/>
          <w:szCs w:val="16"/>
          <w:lang w:val="en-US"/>
        </w:rPr>
        <w:t>Congenital</w:t>
      </w:r>
      <w:proofErr w:type="gramEnd"/>
      <w:r w:rsidRPr="002B3542">
        <w:rPr>
          <w:rFonts w:ascii="Arial" w:hAnsi="Arial" w:cs="Arial"/>
          <w:sz w:val="16"/>
          <w:szCs w:val="16"/>
          <w:lang w:val="en-US"/>
        </w:rPr>
        <w:t>: anomaly, deformity, disease or lesion</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Q07 </w:t>
      </w:r>
      <w:proofErr w:type="gramStart"/>
      <w:r w:rsidRPr="002B3542">
        <w:rPr>
          <w:rFonts w:ascii="Arial" w:hAnsi="Arial" w:cs="Arial"/>
          <w:sz w:val="16"/>
          <w:szCs w:val="16"/>
          <w:lang w:val="en-US"/>
        </w:rPr>
        <w:t>Other</w:t>
      </w:r>
      <w:proofErr w:type="gramEnd"/>
      <w:r w:rsidRPr="002B3542">
        <w:rPr>
          <w:rFonts w:ascii="Arial" w:hAnsi="Arial" w:cs="Arial"/>
          <w:sz w:val="16"/>
          <w:szCs w:val="16"/>
          <w:lang w:val="en-US"/>
        </w:rPr>
        <w:t xml:space="preserve"> congenital malformations of nervous system, </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Excl.</w:t>
      </w:r>
      <w:proofErr w:type="gramStart"/>
      <w:r w:rsidRPr="002B3542">
        <w:rPr>
          <w:rFonts w:ascii="Arial" w:hAnsi="Arial" w:cs="Arial"/>
          <w:sz w:val="16"/>
          <w:szCs w:val="16"/>
          <w:lang w:val="en-US"/>
        </w:rPr>
        <w:t>:,</w:t>
      </w:r>
      <w:proofErr w:type="gramEnd"/>
      <w:r w:rsidRPr="002B3542">
        <w:rPr>
          <w:rFonts w:ascii="Arial" w:hAnsi="Arial" w:cs="Arial"/>
          <w:sz w:val="16"/>
          <w:szCs w:val="16"/>
          <w:lang w:val="en-US"/>
        </w:rPr>
        <w:t xml:space="preserve"> familial dysautonomia [Riley-Day] (G90.1), neurofibromatosis (nonmalignant) (Q85.0)</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Q07.0 Arnold-Chiari syndrome</w:t>
      </w:r>
    </w:p>
    <w:p w:rsidR="00A4583B" w:rsidRPr="002B3542" w:rsidRDefault="00A4583B" w:rsidP="00A4583B">
      <w:pPr>
        <w:spacing w:after="0" w:line="240" w:lineRule="auto"/>
        <w:contextualSpacing/>
        <w:rPr>
          <w:rFonts w:ascii="Arial" w:hAnsi="Arial" w:cs="Arial"/>
          <w:sz w:val="16"/>
          <w:szCs w:val="16"/>
          <w:lang w:val="en-US"/>
        </w:rPr>
      </w:pPr>
      <w:r w:rsidRPr="002B3542">
        <w:rPr>
          <w:rFonts w:ascii="Arial" w:hAnsi="Arial" w:cs="Arial"/>
          <w:sz w:val="16"/>
          <w:szCs w:val="16"/>
          <w:lang w:val="en-US"/>
        </w:rPr>
        <w:t xml:space="preserve">Q07.8 Other specified congenital malformations of nervous system, Agenesis of nerve, Displacement of brachial plexus, Jaw-winking syndrome, </w:t>
      </w:r>
      <w:proofErr w:type="gramStart"/>
      <w:r w:rsidRPr="002B3542">
        <w:rPr>
          <w:rFonts w:ascii="Arial" w:hAnsi="Arial" w:cs="Arial"/>
          <w:sz w:val="16"/>
          <w:szCs w:val="16"/>
          <w:lang w:val="en-US"/>
        </w:rPr>
        <w:t>Marcus</w:t>
      </w:r>
      <w:proofErr w:type="gramEnd"/>
      <w:r w:rsidRPr="002B3542">
        <w:rPr>
          <w:rFonts w:ascii="Arial" w:hAnsi="Arial" w:cs="Arial"/>
          <w:sz w:val="16"/>
          <w:szCs w:val="16"/>
          <w:lang w:val="en-US"/>
        </w:rPr>
        <w:t xml:space="preserve"> Gunn syndrome</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 xml:space="preserve">Q07.9 Congenital malformation of nervous system, unspecified </w:t>
      </w:r>
    </w:p>
    <w:p w:rsidR="00A4583B" w:rsidRDefault="00A4583B" w:rsidP="00A4583B">
      <w:pPr>
        <w:rPr>
          <w:rFonts w:ascii="Arial" w:hAnsi="Arial" w:cs="Arial"/>
          <w:sz w:val="16"/>
          <w:szCs w:val="16"/>
          <w:lang w:val="en-US"/>
        </w:rPr>
      </w:pPr>
      <w:r>
        <w:rPr>
          <w:rFonts w:ascii="Arial" w:hAnsi="Arial" w:cs="Arial"/>
          <w:sz w:val="16"/>
          <w:szCs w:val="16"/>
          <w:lang w:val="en-US"/>
        </w:rPr>
        <w:br w:type="page"/>
      </w:r>
    </w:p>
    <w:p w:rsidR="00A4583B" w:rsidRPr="002B3542" w:rsidRDefault="00A4583B" w:rsidP="00A4583B">
      <w:pPr>
        <w:spacing w:after="0" w:line="240" w:lineRule="auto"/>
        <w:contextualSpacing/>
        <w:rPr>
          <w:rFonts w:ascii="Arial" w:hAnsi="Arial" w:cs="Arial"/>
          <w:sz w:val="16"/>
          <w:szCs w:val="16"/>
          <w:lang w:val="en-US"/>
        </w:rPr>
      </w:pP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Table 4</w:t>
      </w:r>
    </w:p>
    <w:p w:rsidR="00A4583B" w:rsidRPr="002B3542" w:rsidRDefault="00A4583B" w:rsidP="00A4583B">
      <w:pPr>
        <w:spacing w:after="0" w:line="240" w:lineRule="auto"/>
        <w:contextualSpacing/>
        <w:rPr>
          <w:rFonts w:ascii="Arial" w:hAnsi="Arial" w:cs="Arial"/>
          <w:b/>
          <w:sz w:val="16"/>
          <w:szCs w:val="16"/>
          <w:lang w:val="en-US"/>
        </w:rPr>
      </w:pPr>
      <w:r w:rsidRPr="002B3542">
        <w:rPr>
          <w:rFonts w:ascii="Arial" w:hAnsi="Arial" w:cs="Arial"/>
          <w:b/>
          <w:sz w:val="16"/>
          <w:szCs w:val="16"/>
          <w:lang w:val="en-US"/>
        </w:rPr>
        <w:t>Diseases of the nervous system according ICD10, Chapter VI, codes: G00-G99</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42"/>
        <w:gridCol w:w="875"/>
      </w:tblGrid>
      <w:tr w:rsidR="00A4583B" w:rsidRPr="002B3542" w:rsidTr="00CF179A">
        <w:tc>
          <w:tcPr>
            <w:tcW w:w="0" w:type="auto"/>
            <w:tcBorders>
              <w:bottom w:val="single" w:sz="4" w:space="0" w:color="auto"/>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Diseases of the nervous system</w:t>
            </w:r>
          </w:p>
        </w:tc>
        <w:tc>
          <w:tcPr>
            <w:tcW w:w="0" w:type="auto"/>
            <w:tcBorders>
              <w:bottom w:val="single" w:sz="4" w:space="0" w:color="auto"/>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G00-G99</w:t>
            </w:r>
          </w:p>
        </w:tc>
      </w:tr>
      <w:tr w:rsidR="00A4583B" w:rsidRPr="002B3542" w:rsidTr="00CF179A">
        <w:tc>
          <w:tcPr>
            <w:tcW w:w="0" w:type="auto"/>
            <w:tcBorders>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Inflammatory diseases of the central nervous system</w:t>
            </w:r>
          </w:p>
        </w:tc>
        <w:tc>
          <w:tcPr>
            <w:tcW w:w="0" w:type="auto"/>
            <w:tcBorders>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G00-G09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Systemic atrophies primarily affecting the central nervous system</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G10-G13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Extrapyramidal and movement disorders</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G20-G26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Other degenerative diseases of the nervous system</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G30-G32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Demyelinating diseases of the central nervous system</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G35-G37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Episodic and paroxysmal disorders</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G40-G47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Nerve, nerve root and plexus disorders</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G50-G59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Polyneuropathies and other disorders of the peripheral nervous system</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G60-G64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Diseases of myoneural junction and muscle</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G70-G73 </w:t>
            </w:r>
          </w:p>
        </w:tc>
      </w:tr>
      <w:tr w:rsidR="00A4583B" w:rsidRPr="002B3542" w:rsidTr="00CF179A">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Cerebral palsy and other paralytic syndromes</w:t>
            </w:r>
          </w:p>
        </w:tc>
        <w:tc>
          <w:tcPr>
            <w:tcW w:w="0" w:type="auto"/>
            <w:tcBorders>
              <w:top w:val="nil"/>
              <w:bottom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 xml:space="preserve">G80-G83 </w:t>
            </w:r>
          </w:p>
        </w:tc>
      </w:tr>
      <w:tr w:rsidR="00A4583B" w:rsidRPr="002B3542" w:rsidTr="00CF179A">
        <w:tc>
          <w:tcPr>
            <w:tcW w:w="0" w:type="auto"/>
            <w:tcBorders>
              <w:top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Other disorders of the nervous system</w:t>
            </w:r>
          </w:p>
        </w:tc>
        <w:tc>
          <w:tcPr>
            <w:tcW w:w="0" w:type="auto"/>
            <w:tcBorders>
              <w:top w:val="nil"/>
            </w:tcBorders>
          </w:tcPr>
          <w:p w:rsidR="00A4583B" w:rsidRPr="002B3542" w:rsidRDefault="00A4583B" w:rsidP="00CF179A">
            <w:pPr>
              <w:contextualSpacing/>
              <w:rPr>
                <w:rFonts w:ascii="Arial" w:hAnsi="Arial" w:cs="Arial"/>
                <w:sz w:val="16"/>
                <w:szCs w:val="16"/>
                <w:lang w:val="en-US"/>
              </w:rPr>
            </w:pPr>
            <w:r w:rsidRPr="002B3542">
              <w:rPr>
                <w:rFonts w:ascii="Arial" w:hAnsi="Arial" w:cs="Arial"/>
                <w:sz w:val="16"/>
                <w:szCs w:val="16"/>
                <w:lang w:val="en-US"/>
              </w:rPr>
              <w:t>G90-G99</w:t>
            </w:r>
          </w:p>
        </w:tc>
      </w:tr>
    </w:tbl>
    <w:p w:rsidR="00A4583B" w:rsidRPr="002B3542" w:rsidRDefault="00A4583B" w:rsidP="00A4583B">
      <w:pPr>
        <w:rPr>
          <w:lang w:val="en-US"/>
        </w:rPr>
      </w:pPr>
    </w:p>
    <w:p w:rsidR="00FD7665" w:rsidRDefault="00FD7665">
      <w:bookmarkStart w:id="0" w:name="_GoBack"/>
      <w:bookmarkEnd w:id="0"/>
    </w:p>
    <w:sectPr w:rsidR="00FD7665" w:rsidSect="008C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B"/>
    <w:rsid w:val="00A4583B"/>
    <w:rsid w:val="00FD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50316-C655-4E18-9785-F0203BF8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83B"/>
    <w:rPr>
      <w:rFonts w:eastAsia="MS Mincho"/>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83B"/>
    <w:pPr>
      <w:spacing w:after="0" w:line="240" w:lineRule="auto"/>
    </w:pPr>
    <w:rPr>
      <w:rFonts w:eastAsia="MS Minch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Company>PITSOLUTIONS PVT LTD</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2018-06-29T07:07:00Z</dcterms:created>
  <dcterms:modified xsi:type="dcterms:W3CDTF">2018-06-29T07:07:00Z</dcterms:modified>
</cp:coreProperties>
</file>