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E9614E" w14:textId="77777777" w:rsidR="00F721F7" w:rsidRPr="002A7446" w:rsidRDefault="00F721F7" w:rsidP="00F721F7">
      <w:pPr>
        <w:pStyle w:val="berschrift10"/>
        <w:ind w:left="357" w:firstLine="0"/>
        <w:rPr>
          <w:color w:val="auto"/>
          <w:sz w:val="44"/>
          <w:szCs w:val="44"/>
        </w:rPr>
      </w:pPr>
      <w:bookmarkStart w:id="0" w:name="_GoBack"/>
      <w:bookmarkEnd w:id="0"/>
      <w:r w:rsidRPr="002A7446">
        <w:rPr>
          <w:color w:val="auto"/>
          <w:sz w:val="44"/>
          <w:szCs w:val="44"/>
        </w:rPr>
        <w:t>Supplementary Figures</w:t>
      </w:r>
      <w:r w:rsidR="00941F08" w:rsidRPr="002A7446">
        <w:rPr>
          <w:color w:val="auto"/>
          <w:sz w:val="44"/>
          <w:szCs w:val="44"/>
        </w:rPr>
        <w:t xml:space="preserve"> and Tables</w:t>
      </w:r>
    </w:p>
    <w:p w14:paraId="0246D989" w14:textId="2C88082E" w:rsidR="007D2A02" w:rsidRPr="002A7446" w:rsidRDefault="007D2A02" w:rsidP="007D2A02">
      <w:pPr>
        <w:pStyle w:val="Titel"/>
      </w:pPr>
      <w:r w:rsidRPr="002A7446">
        <w:t xml:space="preserve">Footprints </w:t>
      </w:r>
      <w:r w:rsidR="002A5F3B" w:rsidRPr="002A7446">
        <w:t xml:space="preserve">of Sepsis framed within </w:t>
      </w:r>
      <w:r w:rsidRPr="002A7446">
        <w:t>Community Acquired Pneumonia in the blood transcriptome</w:t>
      </w:r>
    </w:p>
    <w:p w14:paraId="73141B55" w14:textId="77777777" w:rsidR="00F721F7" w:rsidRPr="002A7446" w:rsidRDefault="00F721F7" w:rsidP="00F721F7">
      <w:pPr>
        <w:pStyle w:val="Titel"/>
      </w:pPr>
    </w:p>
    <w:p w14:paraId="65697F6B" w14:textId="4D8630B2" w:rsidR="00F721F7" w:rsidRPr="002A7446" w:rsidRDefault="00F721F7" w:rsidP="00F721F7">
      <w:pPr>
        <w:pStyle w:val="Mauthor"/>
        <w:rPr>
          <w:color w:val="auto"/>
        </w:rPr>
      </w:pPr>
      <w:r w:rsidRPr="002A7446">
        <w:rPr>
          <w:color w:val="auto"/>
        </w:rPr>
        <w:t xml:space="preserve">Lydia Hopp </w:t>
      </w:r>
      <w:r w:rsidRPr="002A7446">
        <w:rPr>
          <w:color w:val="auto"/>
          <w:szCs w:val="24"/>
          <w:vertAlign w:val="superscript"/>
        </w:rPr>
        <w:t>1</w:t>
      </w:r>
      <w:r w:rsidR="00D93CF7" w:rsidRPr="002A7446">
        <w:rPr>
          <w:color w:val="auto"/>
          <w:szCs w:val="24"/>
        </w:rPr>
        <w:t>*</w:t>
      </w:r>
      <w:r w:rsidRPr="002A7446">
        <w:rPr>
          <w:color w:val="auto"/>
        </w:rPr>
        <w:t xml:space="preserve">, Henry Loeffler-Wirth </w:t>
      </w:r>
      <w:r w:rsidRPr="002A7446">
        <w:rPr>
          <w:color w:val="auto"/>
          <w:vertAlign w:val="superscript"/>
        </w:rPr>
        <w:t>1</w:t>
      </w:r>
      <w:r w:rsidRPr="002A7446">
        <w:rPr>
          <w:color w:val="auto"/>
        </w:rPr>
        <w:t xml:space="preserve">, Lilit Nersisyan </w:t>
      </w:r>
      <w:r w:rsidRPr="002A7446">
        <w:rPr>
          <w:color w:val="auto"/>
          <w:vertAlign w:val="superscript"/>
        </w:rPr>
        <w:t>2</w:t>
      </w:r>
      <w:r w:rsidRPr="002A7446">
        <w:rPr>
          <w:color w:val="auto"/>
        </w:rPr>
        <w:t xml:space="preserve">, Arsen Arakelyan </w:t>
      </w:r>
      <w:r w:rsidRPr="002A7446">
        <w:rPr>
          <w:color w:val="auto"/>
          <w:vertAlign w:val="superscript"/>
        </w:rPr>
        <w:t>2</w:t>
      </w:r>
      <w:r w:rsidRPr="002A7446">
        <w:rPr>
          <w:color w:val="auto"/>
        </w:rPr>
        <w:t xml:space="preserve">, Hans Binder </w:t>
      </w:r>
      <w:r w:rsidRPr="002A7446">
        <w:rPr>
          <w:color w:val="auto"/>
          <w:szCs w:val="24"/>
          <w:vertAlign w:val="superscript"/>
        </w:rPr>
        <w:t>1</w:t>
      </w:r>
    </w:p>
    <w:p w14:paraId="1B4A203D" w14:textId="77777777" w:rsidR="00F721F7" w:rsidRPr="002A7446" w:rsidRDefault="00F721F7" w:rsidP="00F721F7">
      <w:pPr>
        <w:pStyle w:val="Maddress"/>
        <w:numPr>
          <w:ilvl w:val="0"/>
          <w:numId w:val="28"/>
        </w:numPr>
        <w:rPr>
          <w:color w:val="auto"/>
          <w:lang w:val="it-IT"/>
        </w:rPr>
      </w:pPr>
      <w:r w:rsidRPr="002A7446">
        <w:rPr>
          <w:color w:val="auto"/>
          <w:lang w:val="it-IT"/>
        </w:rPr>
        <w:t xml:space="preserve">Interdisciplinary Centre for Bioinformatics, Universität Leipzig, Härtelstr. 16 – 18, 04107 Leipzig, Germany; E-Mails: hopp@izbi.uni-leipzig.de (L.H.); binder@izbi.uni-leipzig.de (H.B.); wirth@izbi.uni-leipzig.de (H.W.) </w:t>
      </w:r>
    </w:p>
    <w:p w14:paraId="05C37B03" w14:textId="77777777" w:rsidR="00F721F7" w:rsidRPr="002A7446" w:rsidRDefault="00F721F7" w:rsidP="00F721F7">
      <w:pPr>
        <w:pStyle w:val="Maddress"/>
        <w:numPr>
          <w:ilvl w:val="0"/>
          <w:numId w:val="28"/>
        </w:numPr>
        <w:rPr>
          <w:color w:val="auto"/>
          <w:lang w:val="it-IT"/>
        </w:rPr>
      </w:pPr>
      <w:r w:rsidRPr="002A7446">
        <w:rPr>
          <w:color w:val="auto"/>
        </w:rPr>
        <w:t>Group of Bioinformatics, Institute of Molecular Biology, National Academy of Sciences, Yerevan, Armenia</w:t>
      </w:r>
    </w:p>
    <w:p w14:paraId="3752D411" w14:textId="77777777" w:rsidR="00F721F7" w:rsidRPr="002A7446" w:rsidRDefault="00F721F7" w:rsidP="00F721F7">
      <w:pPr>
        <w:pStyle w:val="Maddress"/>
        <w:rPr>
          <w:color w:val="auto"/>
        </w:rPr>
      </w:pPr>
      <w:r w:rsidRPr="002A7446">
        <w:rPr>
          <w:b/>
          <w:color w:val="auto"/>
        </w:rPr>
        <w:t>*</w:t>
      </w:r>
      <w:r w:rsidRPr="002A7446">
        <w:rPr>
          <w:color w:val="auto"/>
        </w:rPr>
        <w:tab/>
        <w:t>Author to whom correspondence should be addressed</w:t>
      </w:r>
    </w:p>
    <w:p w14:paraId="7F9E6FEE" w14:textId="77777777" w:rsidR="000427F6" w:rsidRPr="002A7446" w:rsidRDefault="000427F6" w:rsidP="00F721F7">
      <w:pPr>
        <w:pStyle w:val="Maddress"/>
        <w:rPr>
          <w:color w:val="auto"/>
        </w:rPr>
      </w:pPr>
    </w:p>
    <w:p w14:paraId="7C3902E8" w14:textId="77777777" w:rsidR="000427F6" w:rsidRPr="002A7446" w:rsidRDefault="000427F6">
      <w:pPr>
        <w:spacing w:before="0" w:after="200" w:line="276" w:lineRule="auto"/>
        <w:rPr>
          <w:rFonts w:eastAsia="Times New Roman" w:cs="Times New Roman"/>
          <w:szCs w:val="20"/>
          <w:lang w:eastAsia="de-DE"/>
        </w:rPr>
      </w:pPr>
      <w:r w:rsidRPr="002A7446">
        <w:br w:type="page"/>
      </w:r>
    </w:p>
    <w:p w14:paraId="32316B74" w14:textId="77777777" w:rsidR="000427F6" w:rsidRPr="002A7446" w:rsidRDefault="000427F6" w:rsidP="00F721F7">
      <w:pPr>
        <w:pStyle w:val="Maddress"/>
        <w:rPr>
          <w:color w:val="auto"/>
        </w:rPr>
      </w:pPr>
    </w:p>
    <w:p w14:paraId="2CF40DA5" w14:textId="77777777" w:rsidR="00E506EA" w:rsidRPr="002A7446" w:rsidRDefault="00050D47" w:rsidP="00A755FB">
      <w:pPr>
        <w:pStyle w:val="Maddress"/>
        <w:jc w:val="center"/>
        <w:rPr>
          <w:color w:val="auto"/>
        </w:rPr>
      </w:pPr>
      <w:r w:rsidRPr="002A7446">
        <w:rPr>
          <w:noProof/>
          <w:color w:val="auto"/>
          <w:lang w:val="de-DE"/>
        </w:rPr>
        <w:drawing>
          <wp:inline distT="0" distB="0" distL="0" distR="0" wp14:anchorId="081EF505" wp14:editId="26AA70D9">
            <wp:extent cx="4329021" cy="602736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2395" cy="6032057"/>
                    </a:xfrm>
                    <a:prstGeom prst="rect">
                      <a:avLst/>
                    </a:prstGeom>
                    <a:noFill/>
                  </pic:spPr>
                </pic:pic>
              </a:graphicData>
            </a:graphic>
          </wp:inline>
        </w:drawing>
      </w:r>
    </w:p>
    <w:p w14:paraId="29BC37E1" w14:textId="77777777" w:rsidR="00A755FB" w:rsidRPr="002A7446" w:rsidRDefault="00A755FB" w:rsidP="00F721F7">
      <w:pPr>
        <w:pStyle w:val="Maddress"/>
        <w:rPr>
          <w:color w:val="auto"/>
        </w:rPr>
      </w:pPr>
    </w:p>
    <w:p w14:paraId="34B86A69" w14:textId="0B2E37D5" w:rsidR="00E506EA" w:rsidRPr="002A7446" w:rsidRDefault="00E506EA" w:rsidP="00E10F25">
      <w:pPr>
        <w:pStyle w:val="Beschriftung"/>
        <w:rPr>
          <w:b w:val="0"/>
        </w:rPr>
      </w:pPr>
      <w:bookmarkStart w:id="1" w:name="_Ref516213671"/>
      <w:r w:rsidRPr="002A7446">
        <w:t xml:space="preserve">Figure S </w:t>
      </w:r>
      <w:r w:rsidR="00683C02" w:rsidRPr="002A7446">
        <w:rPr>
          <w:noProof/>
        </w:rPr>
        <w:t>1</w:t>
      </w:r>
      <w:bookmarkEnd w:id="1"/>
      <w:r w:rsidRPr="002A7446">
        <w:t>:</w:t>
      </w:r>
      <w:r w:rsidRPr="002A7446">
        <w:rPr>
          <w:b w:val="0"/>
        </w:rPr>
        <w:t xml:space="preserve"> </w:t>
      </w:r>
      <w:r w:rsidR="00A755FB" w:rsidRPr="002A7446">
        <w:rPr>
          <w:b w:val="0"/>
        </w:rPr>
        <w:t xml:space="preserve">Schematic of the composition of the cohort data taken from </w:t>
      </w:r>
      <w:r w:rsidR="00D50C0C" w:rsidRPr="002A7446">
        <w:rPr>
          <w:b w:val="0"/>
          <w:noProof/>
        </w:rPr>
        <w:t>(</w:t>
      </w:r>
      <w:r w:rsidR="00706A63" w:rsidRPr="002A7446">
        <w:rPr>
          <w:b w:val="0"/>
          <w:noProof/>
        </w:rPr>
        <w:t>9</w:t>
      </w:r>
      <w:r w:rsidR="00D50C0C" w:rsidRPr="002A7446">
        <w:rPr>
          <w:b w:val="0"/>
          <w:noProof/>
        </w:rPr>
        <w:t xml:space="preserve">, </w:t>
      </w:r>
      <w:r w:rsidR="00706A63" w:rsidRPr="002A7446">
        <w:rPr>
          <w:b w:val="0"/>
          <w:noProof/>
        </w:rPr>
        <w:t>10</w:t>
      </w:r>
      <w:r w:rsidR="00D50C0C" w:rsidRPr="002A7446">
        <w:rPr>
          <w:b w:val="0"/>
          <w:noProof/>
        </w:rPr>
        <w:t>)</w:t>
      </w:r>
      <w:r w:rsidR="00A755FB" w:rsidRPr="002A7446">
        <w:rPr>
          <w:b w:val="0"/>
        </w:rPr>
        <w:t xml:space="preserve"> (the scheme is adapted from Figure </w:t>
      </w:r>
      <w:r w:rsidR="00C23025" w:rsidRPr="002A7446">
        <w:rPr>
          <w:b w:val="0"/>
        </w:rPr>
        <w:t xml:space="preserve">E1 in </w:t>
      </w:r>
      <w:r w:rsidR="00D50C0C" w:rsidRPr="002A7446">
        <w:rPr>
          <w:b w:val="0"/>
          <w:noProof/>
        </w:rPr>
        <w:t>(</w:t>
      </w:r>
      <w:r w:rsidR="00706A63" w:rsidRPr="002A7446">
        <w:rPr>
          <w:b w:val="0"/>
          <w:noProof/>
        </w:rPr>
        <w:t>10</w:t>
      </w:r>
      <w:r w:rsidR="00D50C0C" w:rsidRPr="002A7446">
        <w:rPr>
          <w:b w:val="0"/>
          <w:noProof/>
        </w:rPr>
        <w:t>)</w:t>
      </w:r>
      <w:r w:rsidR="002D215A" w:rsidRPr="002A7446">
        <w:rPr>
          <w:b w:val="0"/>
        </w:rPr>
        <w:t>)</w:t>
      </w:r>
      <w:r w:rsidR="00C23025" w:rsidRPr="002A7446">
        <w:rPr>
          <w:b w:val="0"/>
        </w:rPr>
        <w:t xml:space="preserve"> and of the main analysis steps performed in this work. Note that all CAP samples and the controls were analyzed together in one SOM training in order to identify all relevant expression modules (‘spots’) that constitute sets of co-expressed genes identified as described in </w:t>
      </w:r>
      <w:r w:rsidR="00D50C0C" w:rsidRPr="002A7446">
        <w:rPr>
          <w:b w:val="0"/>
          <w:noProof/>
        </w:rPr>
        <w:t>(</w:t>
      </w:r>
      <w:r w:rsidR="00706A63" w:rsidRPr="002A7446">
        <w:rPr>
          <w:b w:val="0"/>
          <w:noProof/>
        </w:rPr>
        <w:t>12</w:t>
      </w:r>
      <w:r w:rsidR="00D50C0C" w:rsidRPr="002A7446">
        <w:rPr>
          <w:b w:val="0"/>
          <w:noProof/>
        </w:rPr>
        <w:t>)</w:t>
      </w:r>
      <w:r w:rsidR="00C23025" w:rsidRPr="002A7446">
        <w:rPr>
          <w:b w:val="0"/>
        </w:rPr>
        <w:t xml:space="preserve"> and implemented in</w:t>
      </w:r>
      <w:r w:rsidR="004B2D92" w:rsidRPr="002A7446">
        <w:rPr>
          <w:b w:val="0"/>
        </w:rPr>
        <w:t xml:space="preserve"> </w:t>
      </w:r>
      <w:r w:rsidR="003C7BCF" w:rsidRPr="002A7446">
        <w:rPr>
          <w:b w:val="0"/>
          <w:noProof/>
        </w:rPr>
        <w:t>(</w:t>
      </w:r>
      <w:r w:rsidR="00706A63" w:rsidRPr="002A7446">
        <w:rPr>
          <w:b w:val="0"/>
          <w:noProof/>
        </w:rPr>
        <w:t>24</w:t>
      </w:r>
      <w:r w:rsidR="003C7BCF" w:rsidRPr="002A7446">
        <w:rPr>
          <w:b w:val="0"/>
          <w:noProof/>
        </w:rPr>
        <w:t>)</w:t>
      </w:r>
      <w:r w:rsidR="00C23025" w:rsidRPr="002A7446">
        <w:rPr>
          <w:b w:val="0"/>
        </w:rPr>
        <w:t>. The new stratification of the CAP samples makes use of the</w:t>
      </w:r>
      <w:r w:rsidR="002D215A" w:rsidRPr="002A7446">
        <w:rPr>
          <w:b w:val="0"/>
        </w:rPr>
        <w:t>se</w:t>
      </w:r>
      <w:r w:rsidR="00C23025" w:rsidRPr="002A7446">
        <w:rPr>
          <w:b w:val="0"/>
        </w:rPr>
        <w:t xml:space="preserve"> expression modules</w:t>
      </w:r>
      <w:r w:rsidR="002D215A" w:rsidRPr="002A7446">
        <w:rPr>
          <w:b w:val="0"/>
        </w:rPr>
        <w:t xml:space="preserve">. It </w:t>
      </w:r>
      <w:r w:rsidR="001C097D" w:rsidRPr="002A7446">
        <w:rPr>
          <w:b w:val="0"/>
        </w:rPr>
        <w:t>takes into account</w:t>
      </w:r>
      <w:r w:rsidR="00C23025" w:rsidRPr="002A7446">
        <w:rPr>
          <w:b w:val="0"/>
        </w:rPr>
        <w:t xml:space="preserve"> the multidimensional nature of the expression landscape.</w:t>
      </w:r>
      <w:r w:rsidR="00E10F25" w:rsidRPr="002A7446">
        <w:rPr>
          <w:b w:val="0"/>
        </w:rPr>
        <w:t xml:space="preserve"> Preprocessed gene expression data were downloaded from the ArrayExpress database under accession numbers E-MTAB-5273 for the discovery cohort and E-MTAB-5274 for the validation cohort.</w:t>
      </w:r>
      <w:r w:rsidR="00E10F25" w:rsidRPr="002A7446">
        <w:t xml:space="preserve"> </w:t>
      </w:r>
      <w:r w:rsidR="00E10F25" w:rsidRPr="002A7446">
        <w:rPr>
          <w:b w:val="0"/>
        </w:rPr>
        <w:t xml:space="preserve">Preprocessing included background signal subtraction, outlier sample removal, </w:t>
      </w:r>
      <w:r w:rsidR="00E10F25" w:rsidRPr="002A7446">
        <w:rPr>
          <w:b w:val="0"/>
        </w:rPr>
        <w:lastRenderedPageBreak/>
        <w:t xml:space="preserve">inclusion of probes exceeding a detection rate threshold and normalization using the variance stabilization and normalization method </w:t>
      </w:r>
      <w:r w:rsidR="00E10F25" w:rsidRPr="002A7446">
        <w:rPr>
          <w:b w:val="0"/>
          <w:noProof/>
        </w:rPr>
        <w:t>(</w:t>
      </w:r>
      <w:r w:rsidR="00706A63" w:rsidRPr="002A7446">
        <w:rPr>
          <w:b w:val="0"/>
          <w:noProof/>
        </w:rPr>
        <w:t>10</w:t>
      </w:r>
      <w:r w:rsidR="00E10F25" w:rsidRPr="002A7446">
        <w:rPr>
          <w:b w:val="0"/>
          <w:noProof/>
        </w:rPr>
        <w:t>)</w:t>
      </w:r>
      <w:r w:rsidR="00E10F25" w:rsidRPr="002A7446">
        <w:rPr>
          <w:b w:val="0"/>
        </w:rPr>
        <w:t>.</w:t>
      </w:r>
    </w:p>
    <w:p w14:paraId="21D7166A" w14:textId="77777777" w:rsidR="00E506EA" w:rsidRPr="002A7446" w:rsidRDefault="00E506EA" w:rsidP="00F721F7">
      <w:pPr>
        <w:pStyle w:val="Maddress"/>
        <w:rPr>
          <w:color w:val="auto"/>
        </w:rPr>
      </w:pPr>
    </w:p>
    <w:p w14:paraId="538392EF" w14:textId="77777777" w:rsidR="00F721F7" w:rsidRPr="002A7446" w:rsidRDefault="00750F11" w:rsidP="00F721F7">
      <w:pPr>
        <w:rPr>
          <w:lang w:eastAsia="tr-TR"/>
        </w:rPr>
      </w:pPr>
      <w:r w:rsidRPr="002A7446">
        <w:rPr>
          <w:noProof/>
          <w:lang w:val="de-DE" w:eastAsia="de-DE"/>
        </w:rPr>
        <w:drawing>
          <wp:inline distT="0" distB="0" distL="0" distR="0" wp14:anchorId="73B7F8DD" wp14:editId="73D333CA">
            <wp:extent cx="6208395" cy="617728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8395" cy="6177280"/>
                    </a:xfrm>
                    <a:prstGeom prst="rect">
                      <a:avLst/>
                    </a:prstGeom>
                  </pic:spPr>
                </pic:pic>
              </a:graphicData>
            </a:graphic>
          </wp:inline>
        </w:drawing>
      </w:r>
    </w:p>
    <w:p w14:paraId="79A8BE07" w14:textId="0F47814B" w:rsidR="00F721F7" w:rsidRPr="002A7446" w:rsidRDefault="00F721F7" w:rsidP="00F721F7">
      <w:pPr>
        <w:pStyle w:val="Beschriftung"/>
        <w:rPr>
          <w:b w:val="0"/>
        </w:rPr>
      </w:pPr>
      <w:bookmarkStart w:id="2" w:name="_Ref501825032"/>
      <w:r w:rsidRPr="002A7446">
        <w:t xml:space="preserve">Figure S </w:t>
      </w:r>
      <w:r w:rsidR="00683C02" w:rsidRPr="002A7446">
        <w:rPr>
          <w:noProof/>
        </w:rPr>
        <w:t>2</w:t>
      </w:r>
      <w:bookmarkEnd w:id="2"/>
      <w:r w:rsidRPr="002A7446">
        <w:t xml:space="preserve">: </w:t>
      </w:r>
      <w:r w:rsidRPr="002A7446">
        <w:rPr>
          <w:b w:val="0"/>
        </w:rPr>
        <w:t xml:space="preserve">SOM portraits of the samples studied. Samples were grouped according to the classification provided in </w:t>
      </w:r>
      <w:r w:rsidR="00AC0C3A" w:rsidRPr="002A7446">
        <w:rPr>
          <w:b w:val="0"/>
          <w:noProof/>
        </w:rPr>
        <w:t>(</w:t>
      </w:r>
      <w:r w:rsidR="00706A63" w:rsidRPr="002A7446">
        <w:rPr>
          <w:b w:val="0"/>
          <w:noProof/>
        </w:rPr>
        <w:t>9</w:t>
      </w:r>
      <w:r w:rsidR="00AC0C3A" w:rsidRPr="002A7446">
        <w:rPr>
          <w:b w:val="0"/>
          <w:noProof/>
        </w:rPr>
        <w:t xml:space="preserve">, </w:t>
      </w:r>
      <w:r w:rsidR="00706A63" w:rsidRPr="002A7446">
        <w:rPr>
          <w:b w:val="0"/>
          <w:noProof/>
        </w:rPr>
        <w:t>10</w:t>
      </w:r>
      <w:r w:rsidR="00AC0C3A" w:rsidRPr="002A7446">
        <w:rPr>
          <w:b w:val="0"/>
          <w:noProof/>
        </w:rPr>
        <w:t>)</w:t>
      </w:r>
      <w:r w:rsidR="00BC745C" w:rsidRPr="002A7446">
        <w:rPr>
          <w:b w:val="0"/>
        </w:rPr>
        <w:t xml:space="preserve"> (part A) and according </w:t>
      </w:r>
      <w:r w:rsidR="00D35C3F" w:rsidRPr="002A7446">
        <w:rPr>
          <w:b w:val="0"/>
        </w:rPr>
        <w:t xml:space="preserve">to </w:t>
      </w:r>
      <w:r w:rsidR="00BC745C" w:rsidRPr="002A7446">
        <w:rPr>
          <w:b w:val="0"/>
        </w:rPr>
        <w:t>the novel stratification scheme suggested by us (part B).</w:t>
      </w:r>
    </w:p>
    <w:p w14:paraId="598EFF43" w14:textId="77777777" w:rsidR="00F721F7" w:rsidRPr="002A7446" w:rsidRDefault="00F721F7" w:rsidP="00F721F7">
      <w:pPr>
        <w:pStyle w:val="Beschriftung"/>
      </w:pPr>
    </w:p>
    <w:p w14:paraId="5DE39CC2" w14:textId="77777777" w:rsidR="00F721F7" w:rsidRPr="002A7446" w:rsidRDefault="00F721F7" w:rsidP="00F721F7">
      <w:pPr>
        <w:rPr>
          <w:lang w:eastAsia="tr-TR"/>
        </w:rPr>
      </w:pPr>
    </w:p>
    <w:p w14:paraId="00019C24" w14:textId="77777777" w:rsidR="00F721F7" w:rsidRPr="002A7446" w:rsidRDefault="00DB459D" w:rsidP="00287A29">
      <w:pPr>
        <w:jc w:val="center"/>
        <w:rPr>
          <w:lang w:eastAsia="tr-TR"/>
        </w:rPr>
      </w:pPr>
      <w:r w:rsidRPr="002A7446">
        <w:rPr>
          <w:noProof/>
          <w:lang w:val="de-DE" w:eastAsia="de-DE"/>
        </w:rPr>
        <w:lastRenderedPageBreak/>
        <w:drawing>
          <wp:inline distT="0" distB="0" distL="0" distR="0" wp14:anchorId="0876AFD1" wp14:editId="4C4399E6">
            <wp:extent cx="6208395" cy="4400550"/>
            <wp:effectExtent l="0" t="0" r="190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g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400550"/>
                    </a:xfrm>
                    <a:prstGeom prst="rect">
                      <a:avLst/>
                    </a:prstGeom>
                  </pic:spPr>
                </pic:pic>
              </a:graphicData>
            </a:graphic>
          </wp:inline>
        </w:drawing>
      </w:r>
    </w:p>
    <w:p w14:paraId="58CFC680" w14:textId="2E03E059" w:rsidR="00F721F7" w:rsidRPr="002A7446" w:rsidRDefault="00F721F7" w:rsidP="00F721F7">
      <w:pPr>
        <w:pStyle w:val="Beschriftung"/>
      </w:pPr>
      <w:bookmarkStart w:id="3" w:name="_Ref504061073"/>
      <w:r w:rsidRPr="002A7446">
        <w:t xml:space="preserve">Figure S </w:t>
      </w:r>
      <w:r w:rsidR="00683C02" w:rsidRPr="002A7446">
        <w:rPr>
          <w:noProof/>
        </w:rPr>
        <w:t>3</w:t>
      </w:r>
      <w:bookmarkEnd w:id="3"/>
      <w:r w:rsidRPr="002A7446">
        <w:t xml:space="preserve">: </w:t>
      </w:r>
      <w:r w:rsidRPr="002A7446">
        <w:rPr>
          <w:b w:val="0"/>
        </w:rPr>
        <w:t>Independent component analysis (ICA) of the cases studied: A) The plot of the first three independent components (IC1 – IC3) shows that IC1 describes the variability along the controls and the two CAP groups and thus the severity axis, while IC2 captures the variability introduced by the two cohorts</w:t>
      </w:r>
      <w:r w:rsidR="009E7814" w:rsidRPr="002A7446">
        <w:rPr>
          <w:b w:val="0"/>
        </w:rPr>
        <w:t>,</w:t>
      </w:r>
      <w:r w:rsidRPr="002A7446">
        <w:rPr>
          <w:b w:val="0"/>
        </w:rPr>
        <w:t xml:space="preserve"> which differ by the amount of viral infections. B) The same plot as in part A</w:t>
      </w:r>
      <w:r w:rsidR="009E7814" w:rsidRPr="002A7446">
        <w:rPr>
          <w:b w:val="0"/>
        </w:rPr>
        <w:t>,</w:t>
      </w:r>
      <w:r w:rsidRPr="002A7446">
        <w:rPr>
          <w:b w:val="0"/>
        </w:rPr>
        <w:t xml:space="preserve"> where however</w:t>
      </w:r>
      <w:r w:rsidR="009E7814" w:rsidRPr="002A7446">
        <w:rPr>
          <w:b w:val="0"/>
        </w:rPr>
        <w:t>,</w:t>
      </w:r>
      <w:r w:rsidRPr="002A7446">
        <w:rPr>
          <w:b w:val="0"/>
        </w:rPr>
        <w:t xml:space="preserve"> only samples with activated spots A – L were colored in each of the plots. One sees for example that spot A is activated predominantly in the healthy controls while spot L is upregulated in group 1 severe CAP cases.</w:t>
      </w:r>
      <w:r w:rsidRPr="002A7446">
        <w:t xml:space="preserve"> </w:t>
      </w:r>
    </w:p>
    <w:p w14:paraId="35FF09E6" w14:textId="77777777" w:rsidR="00F721F7" w:rsidRPr="002A7446" w:rsidRDefault="00F721F7" w:rsidP="00F721F7">
      <w:pPr>
        <w:rPr>
          <w:lang w:eastAsia="tr-TR"/>
        </w:rPr>
      </w:pPr>
    </w:p>
    <w:p w14:paraId="142B8563" w14:textId="77777777" w:rsidR="00F721F7" w:rsidRPr="002A7446" w:rsidRDefault="009C0059" w:rsidP="00F721F7">
      <w:pPr>
        <w:rPr>
          <w:lang w:eastAsia="tr-TR"/>
        </w:rPr>
      </w:pPr>
      <w:r w:rsidRPr="002A7446">
        <w:rPr>
          <w:noProof/>
          <w:lang w:val="de-DE" w:eastAsia="de-DE"/>
        </w:rPr>
        <w:lastRenderedPageBreak/>
        <w:drawing>
          <wp:inline distT="0" distB="0" distL="0" distR="0" wp14:anchorId="5873F681" wp14:editId="73C4868E">
            <wp:extent cx="6208395" cy="489839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S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8395" cy="4898390"/>
                    </a:xfrm>
                    <a:prstGeom prst="rect">
                      <a:avLst/>
                    </a:prstGeom>
                  </pic:spPr>
                </pic:pic>
              </a:graphicData>
            </a:graphic>
          </wp:inline>
        </w:drawing>
      </w:r>
    </w:p>
    <w:p w14:paraId="64A8EFB8" w14:textId="778EDAC1" w:rsidR="00F721F7" w:rsidRPr="002A7446" w:rsidRDefault="00F721F7" w:rsidP="00F721F7">
      <w:pPr>
        <w:pStyle w:val="Beschriftung"/>
      </w:pPr>
      <w:bookmarkStart w:id="4" w:name="_Ref502533607"/>
      <w:r w:rsidRPr="002A7446">
        <w:t xml:space="preserve">Figure S </w:t>
      </w:r>
      <w:r w:rsidR="00683C02" w:rsidRPr="002A7446">
        <w:rPr>
          <w:noProof/>
        </w:rPr>
        <w:t>4</w:t>
      </w:r>
      <w:bookmarkEnd w:id="4"/>
      <w:r w:rsidRPr="002A7446">
        <w:t xml:space="preserve">: </w:t>
      </w:r>
      <w:r w:rsidRPr="002A7446">
        <w:rPr>
          <w:b w:val="0"/>
        </w:rPr>
        <w:t xml:space="preserve">GSZ-heatmap of the gene expression-modules determined in WPB in </w:t>
      </w:r>
      <w:r w:rsidR="00291753" w:rsidRPr="002A7446">
        <w:rPr>
          <w:b w:val="0"/>
          <w:noProof/>
        </w:rPr>
        <w:t>(</w:t>
      </w:r>
      <w:r w:rsidR="00706A63" w:rsidRPr="002A7446">
        <w:rPr>
          <w:b w:val="0"/>
          <w:noProof/>
        </w:rPr>
        <w:t>20</w:t>
      </w:r>
      <w:r w:rsidR="00291753" w:rsidRPr="002A7446">
        <w:rPr>
          <w:b w:val="0"/>
          <w:noProof/>
        </w:rPr>
        <w:t>)</w:t>
      </w:r>
      <w:r w:rsidRPr="002A7446">
        <w:rPr>
          <w:b w:val="0"/>
        </w:rPr>
        <w:t xml:space="preserve"> in the data set studied here. Selected gene sets were mapped into the SOM where the respective genes strongly accumulate in distinct regions of the map (right part, see red frames). These areas agree with distinct spot modules (see letters and </w:t>
      </w:r>
      <w:r w:rsidR="00683C02" w:rsidRPr="002A7446">
        <w:t>Figure 1</w:t>
      </w:r>
      <w:r w:rsidRPr="002A7446">
        <w:t>B</w:t>
      </w:r>
      <w:r w:rsidRPr="002A7446">
        <w:rPr>
          <w:b w:val="0"/>
        </w:rPr>
        <w:t xml:space="preserve">). Hence, the different branches of hierarchical clustering tree transform into different spots in the SOM. </w:t>
      </w:r>
    </w:p>
    <w:p w14:paraId="40014DFF" w14:textId="77777777" w:rsidR="00F721F7" w:rsidRPr="002A7446" w:rsidRDefault="00F721F7" w:rsidP="00F721F7">
      <w:pPr>
        <w:rPr>
          <w:lang w:eastAsia="tr-TR"/>
        </w:rPr>
      </w:pPr>
    </w:p>
    <w:p w14:paraId="0D19F58C" w14:textId="77777777" w:rsidR="00F721F7" w:rsidRPr="002A7446" w:rsidRDefault="009C0059" w:rsidP="00F721F7">
      <w:pPr>
        <w:rPr>
          <w:lang w:eastAsia="tr-TR"/>
        </w:rPr>
      </w:pPr>
      <w:r w:rsidRPr="002A7446">
        <w:rPr>
          <w:noProof/>
          <w:lang w:val="de-DE" w:eastAsia="de-DE"/>
        </w:rPr>
        <w:lastRenderedPageBreak/>
        <w:drawing>
          <wp:inline distT="0" distB="0" distL="0" distR="0" wp14:anchorId="556AF1AB" wp14:editId="02C5FF2C">
            <wp:extent cx="5038725" cy="3346287"/>
            <wp:effectExtent l="0" t="0" r="0" b="698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S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5579" cy="3350839"/>
                    </a:xfrm>
                    <a:prstGeom prst="rect">
                      <a:avLst/>
                    </a:prstGeom>
                  </pic:spPr>
                </pic:pic>
              </a:graphicData>
            </a:graphic>
          </wp:inline>
        </w:drawing>
      </w:r>
    </w:p>
    <w:p w14:paraId="37EDC165" w14:textId="40E10F61" w:rsidR="00F721F7" w:rsidRPr="002A7446" w:rsidRDefault="00F721F7" w:rsidP="00F721F7">
      <w:pPr>
        <w:pStyle w:val="Beschriftung"/>
        <w:rPr>
          <w:b w:val="0"/>
        </w:rPr>
      </w:pPr>
      <w:bookmarkStart w:id="5" w:name="_Ref502959068"/>
      <w:r w:rsidRPr="002A7446">
        <w:t xml:space="preserve">Figure S </w:t>
      </w:r>
      <w:r w:rsidR="00683C02" w:rsidRPr="002A7446">
        <w:rPr>
          <w:noProof/>
        </w:rPr>
        <w:t>5</w:t>
      </w:r>
      <w:bookmarkEnd w:id="5"/>
      <w:r w:rsidRPr="002A7446">
        <w:t xml:space="preserve">: </w:t>
      </w:r>
      <w:r w:rsidRPr="002A7446">
        <w:rPr>
          <w:b w:val="0"/>
        </w:rPr>
        <w:t>Correlation structure of the SOM: Positive and negative correlations between the spots are shown by blue and read lines, respectively. The two main dimensions o</w:t>
      </w:r>
      <w:r w:rsidR="009C0059" w:rsidRPr="002A7446">
        <w:rPr>
          <w:b w:val="0"/>
        </w:rPr>
        <w:t>f heterogeneity were characteriz</w:t>
      </w:r>
      <w:r w:rsidRPr="002A7446">
        <w:rPr>
          <w:b w:val="0"/>
        </w:rPr>
        <w:t xml:space="preserve">ed by negative correlations between the respective spots.  Correlation measures were calculated using the weighted-topology-overlap (wto) algorithm </w:t>
      </w:r>
      <w:r w:rsidR="00291753" w:rsidRPr="002A7446">
        <w:rPr>
          <w:b w:val="0"/>
          <w:noProof/>
        </w:rPr>
        <w:t>(</w:t>
      </w:r>
      <w:r w:rsidR="00706A63" w:rsidRPr="002A7446">
        <w:rPr>
          <w:b w:val="0"/>
          <w:noProof/>
        </w:rPr>
        <w:t>19</w:t>
      </w:r>
      <w:r w:rsidR="00291753" w:rsidRPr="002A7446">
        <w:rPr>
          <w:b w:val="0"/>
          <w:noProof/>
        </w:rPr>
        <w:t>)</w:t>
      </w:r>
      <w:r w:rsidRPr="002A7446">
        <w:rPr>
          <w:b w:val="0"/>
        </w:rPr>
        <w:t>.</w:t>
      </w:r>
    </w:p>
    <w:p w14:paraId="372108BF" w14:textId="77777777" w:rsidR="00F721F7" w:rsidRPr="002A7446" w:rsidRDefault="00F721F7" w:rsidP="00F721F7">
      <w:pPr>
        <w:rPr>
          <w:lang w:eastAsia="tr-TR"/>
        </w:rPr>
      </w:pPr>
    </w:p>
    <w:p w14:paraId="0959650D" w14:textId="77777777" w:rsidR="00F721F7" w:rsidRPr="002A7446" w:rsidRDefault="009C0059" w:rsidP="00F721F7">
      <w:pPr>
        <w:rPr>
          <w:lang w:eastAsia="tr-TR"/>
        </w:rPr>
      </w:pPr>
      <w:r w:rsidRPr="002A7446">
        <w:rPr>
          <w:noProof/>
          <w:lang w:val="de-DE" w:eastAsia="de-DE"/>
        </w:rPr>
        <w:lastRenderedPageBreak/>
        <w:drawing>
          <wp:inline distT="0" distB="0" distL="0" distR="0" wp14:anchorId="00DAEA7E" wp14:editId="69629D65">
            <wp:extent cx="5931922" cy="5681964"/>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S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1922" cy="5681964"/>
                    </a:xfrm>
                    <a:prstGeom prst="rect">
                      <a:avLst/>
                    </a:prstGeom>
                  </pic:spPr>
                </pic:pic>
              </a:graphicData>
            </a:graphic>
          </wp:inline>
        </w:drawing>
      </w:r>
    </w:p>
    <w:p w14:paraId="45865926" w14:textId="13DAABEF" w:rsidR="00F721F7" w:rsidRPr="002A7446" w:rsidRDefault="00F721F7" w:rsidP="00F721F7">
      <w:pPr>
        <w:pStyle w:val="Beschriftung"/>
      </w:pPr>
      <w:bookmarkStart w:id="6" w:name="_Ref502598252"/>
      <w:r w:rsidRPr="002A7446">
        <w:t xml:space="preserve">Figure S </w:t>
      </w:r>
      <w:r w:rsidR="00683C02" w:rsidRPr="002A7446">
        <w:rPr>
          <w:noProof/>
        </w:rPr>
        <w:t>6</w:t>
      </w:r>
      <w:bookmarkEnd w:id="6"/>
      <w:r w:rsidRPr="002A7446">
        <w:t xml:space="preserve">: </w:t>
      </w:r>
      <w:r w:rsidRPr="002A7446">
        <w:rPr>
          <w:b w:val="0"/>
        </w:rPr>
        <w:t xml:space="preserve">Heatmap of the expression of gene sets of the category hallmarks of cancer </w:t>
      </w:r>
      <w:r w:rsidR="003C7BCF" w:rsidRPr="002A7446">
        <w:rPr>
          <w:b w:val="0"/>
          <w:noProof/>
        </w:rPr>
        <w:t>(</w:t>
      </w:r>
      <w:r w:rsidR="00706A63" w:rsidRPr="002A7446">
        <w:rPr>
          <w:b w:val="0"/>
          <w:noProof/>
        </w:rPr>
        <w:t>27</w:t>
      </w:r>
      <w:r w:rsidR="003C7BCF" w:rsidRPr="002A7446">
        <w:rPr>
          <w:b w:val="0"/>
          <w:noProof/>
        </w:rPr>
        <w:t>)</w:t>
      </w:r>
      <w:r w:rsidRPr="002A7446">
        <w:rPr>
          <w:b w:val="0"/>
        </w:rPr>
        <w:t xml:space="preserve">.  The ‘hallmarks of cancer’ gene sets characterize dysfunctional cellular programs in general, i.e. they are applicable beyond cancer biology. Most of them gain in activity in CAP because they are linked to inflammatory processes. A smaller fraction of processes mainly related to proliferation (MYC-targets), energy metabolism (oxphos) and transcription (DNA-repair) decay in CAP. A third group shows more scattered profiles and relates to erythrocytes (heme metabolism) and viral infections (interferon response). </w:t>
      </w:r>
    </w:p>
    <w:p w14:paraId="4E16CDD6" w14:textId="77777777" w:rsidR="00F721F7" w:rsidRPr="002A7446" w:rsidRDefault="00F721F7" w:rsidP="00F721F7">
      <w:pPr>
        <w:rPr>
          <w:lang w:eastAsia="tr-TR"/>
        </w:rPr>
      </w:pPr>
    </w:p>
    <w:p w14:paraId="5BE36C13" w14:textId="77777777" w:rsidR="00065F42" w:rsidRPr="002A7446" w:rsidRDefault="00065F42" w:rsidP="00065F42">
      <w:pPr>
        <w:rPr>
          <w:lang w:eastAsia="tr-TR"/>
        </w:rPr>
      </w:pPr>
      <w:r w:rsidRPr="002A7446">
        <w:rPr>
          <w:b/>
          <w:noProof/>
          <w:lang w:val="de-DE" w:eastAsia="de-DE"/>
        </w:rPr>
        <w:drawing>
          <wp:inline distT="0" distB="0" distL="0" distR="0" wp14:anchorId="073D1051" wp14:editId="4CA7B7FC">
            <wp:extent cx="4869603" cy="5463428"/>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2465" cy="5466639"/>
                    </a:xfrm>
                    <a:prstGeom prst="rect">
                      <a:avLst/>
                    </a:prstGeom>
                    <a:noFill/>
                  </pic:spPr>
                </pic:pic>
              </a:graphicData>
            </a:graphic>
          </wp:inline>
        </w:drawing>
      </w:r>
    </w:p>
    <w:p w14:paraId="3EB5ECDE" w14:textId="492336ED" w:rsidR="00065F42" w:rsidRPr="002A7446" w:rsidRDefault="00065F42" w:rsidP="00065F42">
      <w:pPr>
        <w:pStyle w:val="Beschriftung"/>
        <w:rPr>
          <w:b w:val="0"/>
        </w:rPr>
      </w:pPr>
      <w:bookmarkStart w:id="7" w:name="_Ref516667342"/>
      <w:r w:rsidRPr="002A7446">
        <w:t xml:space="preserve">Figure S </w:t>
      </w:r>
      <w:r w:rsidR="00683C02" w:rsidRPr="002A7446">
        <w:rPr>
          <w:noProof/>
        </w:rPr>
        <w:t>7</w:t>
      </w:r>
      <w:bookmarkEnd w:id="7"/>
      <w:r w:rsidRPr="002A7446">
        <w:t xml:space="preserve">: </w:t>
      </w:r>
      <w:r w:rsidRPr="002A7446">
        <w:rPr>
          <w:b w:val="0"/>
        </w:rPr>
        <w:t>The pathway activity heatmap divides into two major clusters of pathways of decaying activity in CAP and pathways, which become activated. The heatmap shows the mean PSF-value averaged over the genes of each pathway in all samples of each group as a measure of the mean pathway activity.</w:t>
      </w:r>
    </w:p>
    <w:p w14:paraId="644CE3ED" w14:textId="77777777" w:rsidR="00F721F7" w:rsidRPr="002A7446" w:rsidRDefault="00F721F7" w:rsidP="00F721F7">
      <w:pPr>
        <w:rPr>
          <w:lang w:eastAsia="tr-TR"/>
        </w:rPr>
      </w:pPr>
    </w:p>
    <w:p w14:paraId="74D0EEC9" w14:textId="77777777" w:rsidR="00F721F7" w:rsidRPr="002A7446" w:rsidRDefault="00D35C3F" w:rsidP="00F721F7">
      <w:pPr>
        <w:jc w:val="center"/>
        <w:rPr>
          <w:lang w:eastAsia="tr-TR"/>
        </w:rPr>
      </w:pPr>
      <w:r w:rsidRPr="002A7446">
        <w:rPr>
          <w:noProof/>
          <w:lang w:val="de-DE" w:eastAsia="de-DE"/>
        </w:rPr>
        <w:drawing>
          <wp:inline distT="0" distB="0" distL="0" distR="0" wp14:anchorId="594A201A" wp14:editId="0BBE7252">
            <wp:extent cx="6208395" cy="5180965"/>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08395" cy="5180965"/>
                    </a:xfrm>
                    <a:prstGeom prst="rect">
                      <a:avLst/>
                    </a:prstGeom>
                  </pic:spPr>
                </pic:pic>
              </a:graphicData>
            </a:graphic>
          </wp:inline>
        </w:drawing>
      </w:r>
    </w:p>
    <w:p w14:paraId="0E65803F" w14:textId="24FC3656" w:rsidR="00F721F7" w:rsidRPr="002A7446" w:rsidRDefault="00F721F7" w:rsidP="00F721F7">
      <w:pPr>
        <w:pStyle w:val="Beschriftung"/>
      </w:pPr>
      <w:bookmarkStart w:id="8" w:name="_Ref503712027"/>
      <w:r w:rsidRPr="002A7446">
        <w:t xml:space="preserve">Figure S </w:t>
      </w:r>
      <w:r w:rsidR="00683C02" w:rsidRPr="002A7446">
        <w:rPr>
          <w:noProof/>
        </w:rPr>
        <w:t>8</w:t>
      </w:r>
      <w:bookmarkEnd w:id="8"/>
      <w:r w:rsidRPr="002A7446">
        <w:t xml:space="preserve">: </w:t>
      </w:r>
      <w:r w:rsidRPr="002A7446">
        <w:rPr>
          <w:b w:val="0"/>
        </w:rPr>
        <w:t>Pathway signal flow (PSF) analysis of the T-cell receptor signaling pathway (TCR). The figure shows the pathway graph, the map of the pathway genes, the mean, group-averaged maximum activity of a node as boxplot in the part above. In the part below the nodes are colored according to their PSF-activity. The genes accumulate in spot A, which reflects their deactivation in CAP. First of all the call adhesion gene CD247, the NFkappaß- and MAPK-signaling branches of the pathway are active in the controls and become deactivated in CAP.</w:t>
      </w:r>
    </w:p>
    <w:p w14:paraId="66F5A1AA" w14:textId="77777777" w:rsidR="00F721F7" w:rsidRPr="002A7446" w:rsidRDefault="00F721F7" w:rsidP="00F721F7">
      <w:pPr>
        <w:rPr>
          <w:lang w:eastAsia="tr-TR"/>
        </w:rPr>
      </w:pPr>
    </w:p>
    <w:p w14:paraId="7847DA1C" w14:textId="77777777" w:rsidR="00F721F7" w:rsidRPr="002A7446" w:rsidRDefault="002677A5" w:rsidP="00F721F7">
      <w:pPr>
        <w:rPr>
          <w:lang w:eastAsia="tr-TR"/>
        </w:rPr>
      </w:pPr>
      <w:r w:rsidRPr="002A7446">
        <w:rPr>
          <w:noProof/>
          <w:lang w:val="de-DE" w:eastAsia="de-DE"/>
        </w:rPr>
        <w:drawing>
          <wp:inline distT="0" distB="0" distL="0" distR="0" wp14:anchorId="24346458" wp14:editId="08FA526C">
            <wp:extent cx="6208395" cy="5213985"/>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08395" cy="5213985"/>
                    </a:xfrm>
                    <a:prstGeom prst="rect">
                      <a:avLst/>
                    </a:prstGeom>
                  </pic:spPr>
                </pic:pic>
              </a:graphicData>
            </a:graphic>
          </wp:inline>
        </w:drawing>
      </w:r>
    </w:p>
    <w:p w14:paraId="77875ED4" w14:textId="5C02C1B3" w:rsidR="00F721F7" w:rsidRPr="002A7446" w:rsidRDefault="00F721F7" w:rsidP="00F721F7">
      <w:pPr>
        <w:pStyle w:val="Beschriftung"/>
      </w:pPr>
      <w:bookmarkStart w:id="9" w:name="_Ref503785704"/>
      <w:r w:rsidRPr="002A7446">
        <w:t xml:space="preserve">Figure S </w:t>
      </w:r>
      <w:r w:rsidR="00683C02" w:rsidRPr="002A7446">
        <w:rPr>
          <w:noProof/>
        </w:rPr>
        <w:t>9</w:t>
      </w:r>
      <w:bookmarkEnd w:id="9"/>
      <w:r w:rsidRPr="002A7446">
        <w:t xml:space="preserve">: </w:t>
      </w:r>
      <w:r w:rsidRPr="002A7446">
        <w:rPr>
          <w:b w:val="0"/>
        </w:rPr>
        <w:t xml:space="preserve">Pathway signal flow (PSF) analysis of Fc-gamma R-mediated phagocytosis. See </w:t>
      </w:r>
      <w:r w:rsidR="00683C02" w:rsidRPr="002A7446">
        <w:t>Figure S 8</w:t>
      </w:r>
      <w:r w:rsidRPr="002A7446">
        <w:rPr>
          <w:b w:val="0"/>
        </w:rPr>
        <w:t xml:space="preserve"> for details. </w:t>
      </w:r>
    </w:p>
    <w:p w14:paraId="1F4DD232" w14:textId="77777777" w:rsidR="00F721F7" w:rsidRPr="002A7446" w:rsidRDefault="00F721F7" w:rsidP="00F721F7">
      <w:pPr>
        <w:rPr>
          <w:lang w:eastAsia="tr-TR"/>
        </w:rPr>
      </w:pPr>
    </w:p>
    <w:p w14:paraId="0785804A" w14:textId="77777777" w:rsidR="00F721F7" w:rsidRPr="002A7446" w:rsidRDefault="00F721F7" w:rsidP="00F721F7">
      <w:pPr>
        <w:rPr>
          <w:lang w:eastAsia="tr-TR"/>
        </w:rPr>
      </w:pPr>
    </w:p>
    <w:p w14:paraId="27974C3C" w14:textId="77777777" w:rsidR="00F721F7" w:rsidRPr="002A7446" w:rsidRDefault="00F721F7" w:rsidP="00F721F7">
      <w:pPr>
        <w:rPr>
          <w:lang w:eastAsia="tr-TR"/>
        </w:rPr>
      </w:pPr>
    </w:p>
    <w:p w14:paraId="725459DC" w14:textId="77777777" w:rsidR="00F721F7" w:rsidRPr="002A7446" w:rsidRDefault="002677A5" w:rsidP="00F721F7">
      <w:pPr>
        <w:rPr>
          <w:lang w:eastAsia="tr-TR"/>
        </w:rPr>
      </w:pPr>
      <w:r w:rsidRPr="002A7446">
        <w:rPr>
          <w:noProof/>
          <w:lang w:val="de-DE" w:eastAsia="de-DE"/>
        </w:rPr>
        <w:drawing>
          <wp:inline distT="0" distB="0" distL="0" distR="0" wp14:anchorId="0638B388" wp14:editId="484C2805">
            <wp:extent cx="6208395" cy="5160645"/>
            <wp:effectExtent l="0" t="0" r="190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S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5160645"/>
                    </a:xfrm>
                    <a:prstGeom prst="rect">
                      <a:avLst/>
                    </a:prstGeom>
                  </pic:spPr>
                </pic:pic>
              </a:graphicData>
            </a:graphic>
          </wp:inline>
        </w:drawing>
      </w:r>
    </w:p>
    <w:p w14:paraId="29083260" w14:textId="18359031" w:rsidR="00F721F7" w:rsidRPr="002A7446" w:rsidRDefault="00F721F7" w:rsidP="00F721F7">
      <w:pPr>
        <w:pStyle w:val="Beschriftung"/>
      </w:pPr>
      <w:bookmarkStart w:id="10" w:name="_Ref503785708"/>
      <w:r w:rsidRPr="002A7446">
        <w:t xml:space="preserve">Figure S </w:t>
      </w:r>
      <w:r w:rsidR="00683C02" w:rsidRPr="002A7446">
        <w:rPr>
          <w:noProof/>
        </w:rPr>
        <w:t>10</w:t>
      </w:r>
      <w:bookmarkEnd w:id="10"/>
      <w:r w:rsidRPr="002A7446">
        <w:t>:</w:t>
      </w:r>
      <w:r w:rsidRPr="002A7446">
        <w:rPr>
          <w:b w:val="0"/>
        </w:rPr>
        <w:t xml:space="preserve"> Pathway signal flow (PSF) analysis of GnRH signaling pathway. See </w:t>
      </w:r>
      <w:r w:rsidR="00683C02" w:rsidRPr="002A7446">
        <w:t>Figure S 8</w:t>
      </w:r>
      <w:r w:rsidRPr="002A7446">
        <w:rPr>
          <w:b w:val="0"/>
        </w:rPr>
        <w:t xml:space="preserve"> for details.</w:t>
      </w:r>
    </w:p>
    <w:p w14:paraId="3A81649E" w14:textId="77777777" w:rsidR="00F721F7" w:rsidRPr="002A7446" w:rsidRDefault="00F721F7" w:rsidP="00F721F7">
      <w:pPr>
        <w:rPr>
          <w:lang w:eastAsia="tr-TR"/>
        </w:rPr>
      </w:pPr>
    </w:p>
    <w:p w14:paraId="10FDCFC7" w14:textId="77777777" w:rsidR="00F721F7" w:rsidRPr="002A7446" w:rsidRDefault="0030427E" w:rsidP="00F721F7">
      <w:pPr>
        <w:rPr>
          <w:lang w:eastAsia="tr-TR"/>
        </w:rPr>
      </w:pPr>
      <w:r w:rsidRPr="002A7446">
        <w:rPr>
          <w:noProof/>
          <w:lang w:val="de-DE" w:eastAsia="de-DE"/>
        </w:rPr>
        <w:drawing>
          <wp:inline distT="0" distB="0" distL="0" distR="0" wp14:anchorId="2CA829D3" wp14:editId="4A594D9B">
            <wp:extent cx="6208395" cy="507873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S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08395" cy="5078730"/>
                    </a:xfrm>
                    <a:prstGeom prst="rect">
                      <a:avLst/>
                    </a:prstGeom>
                  </pic:spPr>
                </pic:pic>
              </a:graphicData>
            </a:graphic>
          </wp:inline>
        </w:drawing>
      </w:r>
    </w:p>
    <w:p w14:paraId="7418B89E" w14:textId="3788FD42" w:rsidR="00F721F7" w:rsidRPr="002A7446" w:rsidRDefault="00F721F7" w:rsidP="00F721F7">
      <w:pPr>
        <w:pStyle w:val="Beschriftung"/>
      </w:pPr>
      <w:bookmarkStart w:id="11" w:name="_Ref503789782"/>
      <w:r w:rsidRPr="002A7446">
        <w:t xml:space="preserve">Figure S </w:t>
      </w:r>
      <w:r w:rsidR="00683C02" w:rsidRPr="002A7446">
        <w:rPr>
          <w:noProof/>
        </w:rPr>
        <w:t>11</w:t>
      </w:r>
      <w:bookmarkEnd w:id="11"/>
      <w:r w:rsidRPr="002A7446">
        <w:t xml:space="preserve">: </w:t>
      </w:r>
      <w:r w:rsidRPr="002A7446">
        <w:rPr>
          <w:b w:val="0"/>
        </w:rPr>
        <w:t xml:space="preserve">Pathway signal flow (PSF) analysis of Toll-like receptor signaling pathway. See </w:t>
      </w:r>
      <w:r w:rsidR="00683C02" w:rsidRPr="002A7446">
        <w:t>Figure S 8</w:t>
      </w:r>
      <w:r w:rsidRPr="002A7446">
        <w:rPr>
          <w:b w:val="0"/>
        </w:rPr>
        <w:t xml:space="preserve"> for details. The MYD88-, Nfkappaß- and MAPK-signaling branches become activated in CAP.</w:t>
      </w:r>
    </w:p>
    <w:p w14:paraId="736F6F7E" w14:textId="77777777" w:rsidR="00F721F7" w:rsidRPr="002A7446" w:rsidRDefault="00F721F7" w:rsidP="00F721F7">
      <w:pPr>
        <w:rPr>
          <w:lang w:eastAsia="tr-TR"/>
        </w:rPr>
      </w:pPr>
    </w:p>
    <w:p w14:paraId="15153CC5" w14:textId="77777777" w:rsidR="00F721F7" w:rsidRPr="002A7446" w:rsidRDefault="00F721F7" w:rsidP="00F721F7">
      <w:pPr>
        <w:rPr>
          <w:lang w:eastAsia="tr-TR"/>
        </w:rPr>
      </w:pPr>
    </w:p>
    <w:p w14:paraId="6AC91F1D" w14:textId="77777777" w:rsidR="00F721F7" w:rsidRPr="002A7446" w:rsidRDefault="0030427E" w:rsidP="00F721F7">
      <w:pPr>
        <w:rPr>
          <w:lang w:eastAsia="tr-TR"/>
        </w:rPr>
      </w:pPr>
      <w:r w:rsidRPr="002A7446">
        <w:rPr>
          <w:noProof/>
          <w:lang w:val="de-DE" w:eastAsia="de-DE"/>
        </w:rPr>
        <w:drawing>
          <wp:inline distT="0" distB="0" distL="0" distR="0" wp14:anchorId="5F0317DC" wp14:editId="14B749FC">
            <wp:extent cx="6208395" cy="481076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S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08395" cy="4810760"/>
                    </a:xfrm>
                    <a:prstGeom prst="rect">
                      <a:avLst/>
                    </a:prstGeom>
                  </pic:spPr>
                </pic:pic>
              </a:graphicData>
            </a:graphic>
          </wp:inline>
        </w:drawing>
      </w:r>
    </w:p>
    <w:p w14:paraId="40BB9BAA" w14:textId="77182D00" w:rsidR="00F721F7" w:rsidRPr="002A7446" w:rsidRDefault="00F721F7" w:rsidP="00F721F7">
      <w:pPr>
        <w:pStyle w:val="Beschriftung"/>
      </w:pPr>
      <w:bookmarkStart w:id="12" w:name="_Ref516499250"/>
      <w:r w:rsidRPr="002A7446">
        <w:t xml:space="preserve">Figure S </w:t>
      </w:r>
      <w:r w:rsidR="00683C02" w:rsidRPr="002A7446">
        <w:rPr>
          <w:noProof/>
        </w:rPr>
        <w:t>12</w:t>
      </w:r>
      <w:bookmarkEnd w:id="12"/>
      <w:r w:rsidRPr="002A7446">
        <w:t xml:space="preserve">: </w:t>
      </w:r>
      <w:r w:rsidRPr="002A7446">
        <w:rPr>
          <w:b w:val="0"/>
        </w:rPr>
        <w:t xml:space="preserve">Pathway signal flow (PSF) analysis of the cytosolic DNA-sensing pathway. See </w:t>
      </w:r>
      <w:r w:rsidR="00683C02" w:rsidRPr="002A7446">
        <w:t>Figure S 8</w:t>
      </w:r>
      <w:r w:rsidRPr="002A7446">
        <w:rPr>
          <w:b w:val="0"/>
        </w:rPr>
        <w:t xml:space="preserve"> for details.</w:t>
      </w:r>
    </w:p>
    <w:p w14:paraId="784F939C" w14:textId="77777777" w:rsidR="00F721F7" w:rsidRPr="002A7446" w:rsidRDefault="00F721F7" w:rsidP="00F721F7">
      <w:pPr>
        <w:rPr>
          <w:lang w:eastAsia="tr-TR"/>
        </w:rPr>
      </w:pPr>
    </w:p>
    <w:p w14:paraId="1FDEB31F" w14:textId="77777777" w:rsidR="00F721F7" w:rsidRPr="002A7446" w:rsidRDefault="00F721F7" w:rsidP="00F721F7">
      <w:pPr>
        <w:rPr>
          <w:noProof/>
        </w:rPr>
      </w:pPr>
    </w:p>
    <w:p w14:paraId="3D8A7205" w14:textId="77777777" w:rsidR="00F721F7" w:rsidRPr="002A7446" w:rsidRDefault="00E806B9" w:rsidP="00F721F7">
      <w:pPr>
        <w:rPr>
          <w:lang w:eastAsia="tr-TR"/>
        </w:rPr>
      </w:pPr>
      <w:r w:rsidRPr="002A7446">
        <w:rPr>
          <w:noProof/>
          <w:lang w:val="de-DE" w:eastAsia="de-DE"/>
        </w:rPr>
        <w:drawing>
          <wp:inline distT="0" distB="0" distL="0" distR="0" wp14:anchorId="569E1413" wp14:editId="0974FA57">
            <wp:extent cx="6208395" cy="505587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S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08395" cy="5055870"/>
                    </a:xfrm>
                    <a:prstGeom prst="rect">
                      <a:avLst/>
                    </a:prstGeom>
                  </pic:spPr>
                </pic:pic>
              </a:graphicData>
            </a:graphic>
          </wp:inline>
        </w:drawing>
      </w:r>
    </w:p>
    <w:p w14:paraId="034507C8" w14:textId="383CB5F4" w:rsidR="00F721F7" w:rsidRPr="002A7446" w:rsidRDefault="00F721F7" w:rsidP="00F721F7">
      <w:pPr>
        <w:pStyle w:val="Beschriftung"/>
      </w:pPr>
      <w:bookmarkStart w:id="13" w:name="_Ref503789931"/>
      <w:r w:rsidRPr="002A7446">
        <w:t xml:space="preserve">Figure S </w:t>
      </w:r>
      <w:r w:rsidR="00683C02" w:rsidRPr="002A7446">
        <w:rPr>
          <w:noProof/>
        </w:rPr>
        <w:t>13</w:t>
      </w:r>
      <w:bookmarkEnd w:id="13"/>
      <w:r w:rsidRPr="002A7446">
        <w:t xml:space="preserve">: </w:t>
      </w:r>
      <w:r w:rsidRPr="002A7446">
        <w:rPr>
          <w:b w:val="0"/>
        </w:rPr>
        <w:t xml:space="preserve">Pathway signal flow (PSF) analysis of the B-cell receptor (BCR) pathway. See </w:t>
      </w:r>
      <w:r w:rsidR="00683C02" w:rsidRPr="002A7446">
        <w:t>Figure S 8</w:t>
      </w:r>
      <w:r w:rsidR="00DB459D" w:rsidRPr="002A7446">
        <w:t xml:space="preserve"> </w:t>
      </w:r>
      <w:r w:rsidRPr="002A7446">
        <w:rPr>
          <w:b w:val="0"/>
        </w:rPr>
        <w:t>for details.</w:t>
      </w:r>
    </w:p>
    <w:p w14:paraId="0A482E98" w14:textId="77777777" w:rsidR="00F721F7" w:rsidRPr="002A7446" w:rsidRDefault="00F721F7" w:rsidP="00F721F7">
      <w:pPr>
        <w:rPr>
          <w:lang w:eastAsia="tr-TR"/>
        </w:rPr>
      </w:pPr>
    </w:p>
    <w:p w14:paraId="0E3033C6" w14:textId="77777777" w:rsidR="00F721F7" w:rsidRPr="002A7446" w:rsidRDefault="00E806B9" w:rsidP="00F721F7">
      <w:pPr>
        <w:rPr>
          <w:lang w:eastAsia="tr-TR"/>
        </w:rPr>
      </w:pPr>
      <w:r w:rsidRPr="002A7446">
        <w:rPr>
          <w:noProof/>
          <w:lang w:val="de-DE" w:eastAsia="de-DE"/>
        </w:rPr>
        <w:drawing>
          <wp:inline distT="0" distB="0" distL="0" distR="0" wp14:anchorId="67B4A27C" wp14:editId="17CA68CF">
            <wp:extent cx="6208395" cy="4897755"/>
            <wp:effectExtent l="0" t="0" r="190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S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208395" cy="4897755"/>
                    </a:xfrm>
                    <a:prstGeom prst="rect">
                      <a:avLst/>
                    </a:prstGeom>
                  </pic:spPr>
                </pic:pic>
              </a:graphicData>
            </a:graphic>
          </wp:inline>
        </w:drawing>
      </w:r>
    </w:p>
    <w:p w14:paraId="6A3EE006" w14:textId="0F47859F" w:rsidR="00F721F7" w:rsidRPr="002A7446" w:rsidRDefault="00F721F7" w:rsidP="00F721F7">
      <w:pPr>
        <w:pStyle w:val="Beschriftung"/>
      </w:pPr>
      <w:r w:rsidRPr="002A7446">
        <w:t xml:space="preserve">Figure S </w:t>
      </w:r>
      <w:r w:rsidR="00683C02" w:rsidRPr="002A7446">
        <w:rPr>
          <w:noProof/>
        </w:rPr>
        <w:t>14</w:t>
      </w:r>
      <w:r w:rsidRPr="002A7446">
        <w:t xml:space="preserve">: </w:t>
      </w:r>
      <w:r w:rsidRPr="002A7446">
        <w:rPr>
          <w:b w:val="0"/>
        </w:rPr>
        <w:t xml:space="preserve">Pathway signal flow (PSF) analysis of the complement and coagulation cascades pathway. See </w:t>
      </w:r>
      <w:r w:rsidR="00683C02" w:rsidRPr="002A7446">
        <w:t>Figure S 8</w:t>
      </w:r>
      <w:r w:rsidR="00DB459D" w:rsidRPr="002A7446">
        <w:t xml:space="preserve"> </w:t>
      </w:r>
      <w:r w:rsidRPr="002A7446">
        <w:rPr>
          <w:b w:val="0"/>
        </w:rPr>
        <w:t>for details.</w:t>
      </w:r>
    </w:p>
    <w:p w14:paraId="0925447A" w14:textId="77777777" w:rsidR="00F721F7" w:rsidRPr="002A7446" w:rsidRDefault="00F721F7" w:rsidP="00F721F7">
      <w:pPr>
        <w:rPr>
          <w:lang w:eastAsia="tr-TR"/>
        </w:rPr>
      </w:pPr>
    </w:p>
    <w:p w14:paraId="75C0A288" w14:textId="77777777" w:rsidR="00F721F7" w:rsidRPr="002A7446" w:rsidRDefault="00E806B9" w:rsidP="00F721F7">
      <w:pPr>
        <w:rPr>
          <w:lang w:eastAsia="tr-TR"/>
        </w:rPr>
      </w:pPr>
      <w:r w:rsidRPr="002A7446">
        <w:rPr>
          <w:noProof/>
          <w:lang w:val="de-DE" w:eastAsia="de-DE"/>
        </w:rPr>
        <w:drawing>
          <wp:inline distT="0" distB="0" distL="0" distR="0" wp14:anchorId="4B23870B" wp14:editId="2D009387">
            <wp:extent cx="6208395" cy="5252085"/>
            <wp:effectExtent l="0" t="0" r="190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S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08395" cy="5252085"/>
                    </a:xfrm>
                    <a:prstGeom prst="rect">
                      <a:avLst/>
                    </a:prstGeom>
                  </pic:spPr>
                </pic:pic>
              </a:graphicData>
            </a:graphic>
          </wp:inline>
        </w:drawing>
      </w:r>
    </w:p>
    <w:p w14:paraId="7A282DAB" w14:textId="71433DDE" w:rsidR="00F721F7" w:rsidRPr="002A7446" w:rsidRDefault="00F721F7" w:rsidP="00F721F7">
      <w:pPr>
        <w:pStyle w:val="Beschriftung"/>
        <w:rPr>
          <w:b w:val="0"/>
        </w:rPr>
      </w:pPr>
      <w:bookmarkStart w:id="14" w:name="_Ref503788769"/>
      <w:r w:rsidRPr="002A7446">
        <w:t xml:space="preserve">Figure S </w:t>
      </w:r>
      <w:r w:rsidR="00683C02" w:rsidRPr="002A7446">
        <w:rPr>
          <w:noProof/>
        </w:rPr>
        <w:t>15</w:t>
      </w:r>
      <w:bookmarkEnd w:id="14"/>
      <w:r w:rsidRPr="002A7446">
        <w:t xml:space="preserve">: </w:t>
      </w:r>
      <w:r w:rsidRPr="002A7446">
        <w:rPr>
          <w:b w:val="0"/>
        </w:rPr>
        <w:t xml:space="preserve">Pathway signal flow (PSF) analysis of the HIF1 signaling pathway. See </w:t>
      </w:r>
      <w:r w:rsidR="00683C02" w:rsidRPr="002A7446">
        <w:t>Figure S 8</w:t>
      </w:r>
      <w:r w:rsidR="00DB459D" w:rsidRPr="002A7446">
        <w:t xml:space="preserve"> </w:t>
      </w:r>
      <w:r w:rsidRPr="002A7446">
        <w:rPr>
          <w:b w:val="0"/>
        </w:rPr>
        <w:t>for details.</w:t>
      </w:r>
    </w:p>
    <w:p w14:paraId="726CF978" w14:textId="77777777" w:rsidR="00F721F7" w:rsidRPr="002A7446" w:rsidRDefault="00F721F7" w:rsidP="00F721F7">
      <w:pPr>
        <w:rPr>
          <w:lang w:eastAsia="tr-TR"/>
        </w:rPr>
      </w:pPr>
    </w:p>
    <w:p w14:paraId="59AB76A4" w14:textId="77777777" w:rsidR="00F721F7" w:rsidRPr="002A7446" w:rsidRDefault="00F721F7" w:rsidP="00F721F7">
      <w:pPr>
        <w:rPr>
          <w:lang w:eastAsia="tr-TR"/>
        </w:rPr>
      </w:pPr>
    </w:p>
    <w:p w14:paraId="21F349C5" w14:textId="77777777" w:rsidR="00F721F7" w:rsidRPr="002A7446" w:rsidRDefault="00E806B9" w:rsidP="00F721F7">
      <w:pPr>
        <w:rPr>
          <w:lang w:eastAsia="tr-TR"/>
        </w:rPr>
      </w:pPr>
      <w:r w:rsidRPr="002A7446">
        <w:rPr>
          <w:noProof/>
          <w:lang w:val="de-DE" w:eastAsia="de-DE"/>
        </w:rPr>
        <w:drawing>
          <wp:inline distT="0" distB="0" distL="0" distR="0" wp14:anchorId="0A28766A" wp14:editId="4D538837">
            <wp:extent cx="6208395" cy="5451475"/>
            <wp:effectExtent l="0" t="0" r="190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gS1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208395" cy="5451475"/>
                    </a:xfrm>
                    <a:prstGeom prst="rect">
                      <a:avLst/>
                    </a:prstGeom>
                  </pic:spPr>
                </pic:pic>
              </a:graphicData>
            </a:graphic>
          </wp:inline>
        </w:drawing>
      </w:r>
    </w:p>
    <w:p w14:paraId="0D61DC64" w14:textId="27746FEC" w:rsidR="00F721F7" w:rsidRPr="002A7446" w:rsidRDefault="00F721F7" w:rsidP="00F721F7">
      <w:pPr>
        <w:pStyle w:val="Beschriftung"/>
      </w:pPr>
      <w:bookmarkStart w:id="15" w:name="_Ref503798256"/>
      <w:r w:rsidRPr="002A7446">
        <w:t xml:space="preserve">Figure S </w:t>
      </w:r>
      <w:r w:rsidR="00683C02" w:rsidRPr="002A7446">
        <w:rPr>
          <w:noProof/>
        </w:rPr>
        <w:t>16</w:t>
      </w:r>
      <w:bookmarkEnd w:id="15"/>
      <w:r w:rsidRPr="002A7446">
        <w:t xml:space="preserve">: </w:t>
      </w:r>
      <w:r w:rsidRPr="002A7446">
        <w:rPr>
          <w:b w:val="0"/>
        </w:rPr>
        <w:t>Pathway signa</w:t>
      </w:r>
      <w:r w:rsidR="00C05ACF" w:rsidRPr="002A7446">
        <w:rPr>
          <w:b w:val="0"/>
        </w:rPr>
        <w:t>l flow (PSF) analysis of the NFkappa</w:t>
      </w:r>
      <w:r w:rsidRPr="002A7446">
        <w:rPr>
          <w:b w:val="0"/>
        </w:rPr>
        <w:t xml:space="preserve">B pathway. See </w:t>
      </w:r>
      <w:r w:rsidR="00683C02" w:rsidRPr="002A7446">
        <w:t>Figure S 8</w:t>
      </w:r>
      <w:r w:rsidR="00DB459D" w:rsidRPr="002A7446">
        <w:t xml:space="preserve"> </w:t>
      </w:r>
      <w:r w:rsidRPr="002A7446">
        <w:rPr>
          <w:b w:val="0"/>
        </w:rPr>
        <w:t>for details.</w:t>
      </w:r>
    </w:p>
    <w:p w14:paraId="7E50A94A" w14:textId="77777777" w:rsidR="00F721F7" w:rsidRPr="002A7446" w:rsidRDefault="00F721F7" w:rsidP="00F721F7">
      <w:pPr>
        <w:rPr>
          <w:lang w:eastAsia="tr-TR"/>
        </w:rPr>
      </w:pPr>
    </w:p>
    <w:p w14:paraId="777B683A" w14:textId="77777777" w:rsidR="00E806B9" w:rsidRPr="002A7446" w:rsidRDefault="00E806B9" w:rsidP="00F721F7">
      <w:pPr>
        <w:rPr>
          <w:lang w:eastAsia="tr-TR"/>
        </w:rPr>
      </w:pPr>
      <w:r w:rsidRPr="002A7446">
        <w:rPr>
          <w:noProof/>
          <w:lang w:val="de-DE" w:eastAsia="de-DE"/>
        </w:rPr>
        <w:drawing>
          <wp:inline distT="0" distB="0" distL="0" distR="0" wp14:anchorId="189D794E" wp14:editId="6C435836">
            <wp:extent cx="6208395" cy="555117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igS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08395" cy="5551170"/>
                    </a:xfrm>
                    <a:prstGeom prst="rect">
                      <a:avLst/>
                    </a:prstGeom>
                  </pic:spPr>
                </pic:pic>
              </a:graphicData>
            </a:graphic>
          </wp:inline>
        </w:drawing>
      </w:r>
    </w:p>
    <w:p w14:paraId="545A6C16" w14:textId="101FB86C" w:rsidR="00AC0C3A" w:rsidRPr="002A7446" w:rsidRDefault="00F721F7" w:rsidP="000427F6">
      <w:bookmarkStart w:id="16" w:name="_Ref503718496"/>
      <w:bookmarkStart w:id="17" w:name="_Ref504630294"/>
      <w:r w:rsidRPr="002A7446">
        <w:rPr>
          <w:b/>
        </w:rPr>
        <w:t xml:space="preserve">Figure S </w:t>
      </w:r>
      <w:r w:rsidR="00683C02" w:rsidRPr="002A7446">
        <w:rPr>
          <w:b/>
          <w:noProof/>
        </w:rPr>
        <w:t>17</w:t>
      </w:r>
      <w:bookmarkEnd w:id="16"/>
      <w:bookmarkEnd w:id="17"/>
      <w:r w:rsidRPr="002A7446">
        <w:t>:</w:t>
      </w:r>
      <w:r w:rsidRPr="002A7446">
        <w:rPr>
          <w:b/>
        </w:rPr>
        <w:t xml:space="preserve"> </w:t>
      </w:r>
      <w:r w:rsidRPr="002A7446">
        <w:t xml:space="preserve">Pathway signal flow (PSF) analysis of the MAPK signaling pathway. See </w:t>
      </w:r>
      <w:r w:rsidR="00683C02" w:rsidRPr="002A7446">
        <w:rPr>
          <w:b/>
        </w:rPr>
        <w:t>Figure S 8</w:t>
      </w:r>
      <w:r w:rsidRPr="002A7446">
        <w:t xml:space="preserve"> for details.</w:t>
      </w:r>
    </w:p>
    <w:p w14:paraId="2BF15AF0" w14:textId="77777777" w:rsidR="00495386" w:rsidRPr="002A7446" w:rsidRDefault="00495386" w:rsidP="000427F6"/>
    <w:p w14:paraId="653A85F2" w14:textId="77777777" w:rsidR="00F72DF1" w:rsidRPr="002A7446" w:rsidRDefault="00031938" w:rsidP="002B7A8E">
      <w:pPr>
        <w:jc w:val="center"/>
      </w:pPr>
      <w:r w:rsidRPr="002A7446">
        <w:rPr>
          <w:noProof/>
          <w:lang w:val="de-DE" w:eastAsia="de-DE"/>
        </w:rPr>
        <w:drawing>
          <wp:inline distT="0" distB="0" distL="0" distR="0" wp14:anchorId="6E9BF644" wp14:editId="70438935">
            <wp:extent cx="3711933" cy="4919733"/>
            <wp:effectExtent l="0" t="0" r="3175"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5" cy="4923474"/>
                    </a:xfrm>
                    <a:prstGeom prst="rect">
                      <a:avLst/>
                    </a:prstGeom>
                    <a:noFill/>
                  </pic:spPr>
                </pic:pic>
              </a:graphicData>
            </a:graphic>
          </wp:inline>
        </w:drawing>
      </w:r>
    </w:p>
    <w:p w14:paraId="1131902D" w14:textId="19BD1A14" w:rsidR="00F72DF1" w:rsidRPr="002A7446" w:rsidRDefault="00F72DF1" w:rsidP="00031938">
      <w:pPr>
        <w:pStyle w:val="Beschriftung"/>
      </w:pPr>
      <w:bookmarkStart w:id="18" w:name="_Ref516482574"/>
      <w:r w:rsidRPr="002A7446">
        <w:t xml:space="preserve">Figure S </w:t>
      </w:r>
      <w:r w:rsidR="00683C02" w:rsidRPr="002A7446">
        <w:rPr>
          <w:noProof/>
        </w:rPr>
        <w:t>18</w:t>
      </w:r>
      <w:bookmarkEnd w:id="18"/>
      <w:r w:rsidRPr="002A7446">
        <w:t>:</w:t>
      </w:r>
      <w:r w:rsidRPr="002A7446">
        <w:rPr>
          <w:b w:val="0"/>
        </w:rPr>
        <w:t xml:space="preserve"> </w:t>
      </w:r>
      <w:r w:rsidR="0055233B" w:rsidRPr="002A7446">
        <w:rPr>
          <w:b w:val="0"/>
        </w:rPr>
        <w:t xml:space="preserve">Spot expression in the novel CAP groups: </w:t>
      </w:r>
      <w:r w:rsidR="002D215A" w:rsidRPr="002A7446">
        <w:rPr>
          <w:b w:val="0"/>
        </w:rPr>
        <w:t>The e</w:t>
      </w:r>
      <w:r w:rsidR="0055233B" w:rsidRPr="002A7446">
        <w:rPr>
          <w:b w:val="0"/>
        </w:rPr>
        <w:t xml:space="preserve">xpression level is coded in blue </w:t>
      </w:r>
      <w:r w:rsidR="009F172D" w:rsidRPr="002A7446">
        <w:rPr>
          <w:b w:val="0"/>
        </w:rPr>
        <w:t xml:space="preserve">(low), grey (medium) and red (high). </w:t>
      </w:r>
      <w:r w:rsidR="00C4512B" w:rsidRPr="002A7446">
        <w:rPr>
          <w:b w:val="0"/>
        </w:rPr>
        <w:t xml:space="preserve">The </w:t>
      </w:r>
      <w:r w:rsidR="00031938" w:rsidRPr="002A7446">
        <w:rPr>
          <w:b w:val="0"/>
        </w:rPr>
        <w:t>groups are characterized by upregulation of spot L (HS), A (LS), D and L (IFN HS), D only (IFN LS), H (MS) and J (BD)</w:t>
      </w:r>
      <w:r w:rsidR="002D215A" w:rsidRPr="002A7446">
        <w:rPr>
          <w:b w:val="0"/>
        </w:rPr>
        <w:t xml:space="preserve"> as indicated by the black frames</w:t>
      </w:r>
      <w:r w:rsidR="00031938" w:rsidRPr="002A7446">
        <w:rPr>
          <w:b w:val="0"/>
        </w:rPr>
        <w:t>.</w:t>
      </w:r>
    </w:p>
    <w:p w14:paraId="3574BA1B" w14:textId="77777777" w:rsidR="00F72DF1" w:rsidRPr="002A7446" w:rsidRDefault="00F72DF1" w:rsidP="00F72DF1">
      <w:pPr>
        <w:pStyle w:val="KeinLeerraum"/>
      </w:pPr>
    </w:p>
    <w:p w14:paraId="5A147AA5" w14:textId="77777777" w:rsidR="00114EB3" w:rsidRPr="002A7446" w:rsidRDefault="00A21E0A" w:rsidP="002E5172">
      <w:pPr>
        <w:pStyle w:val="KeinLeerraum"/>
        <w:jc w:val="center"/>
      </w:pPr>
      <w:r w:rsidRPr="002A7446">
        <w:rPr>
          <w:noProof/>
          <w:lang w:val="de-DE" w:eastAsia="de-DE"/>
        </w:rPr>
        <w:drawing>
          <wp:inline distT="0" distB="0" distL="0" distR="0" wp14:anchorId="69F3B5DB" wp14:editId="45947949">
            <wp:extent cx="3800839" cy="5935557"/>
            <wp:effectExtent l="0" t="0" r="9525"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05115" cy="5942235"/>
                    </a:xfrm>
                    <a:prstGeom prst="rect">
                      <a:avLst/>
                    </a:prstGeom>
                    <a:noFill/>
                  </pic:spPr>
                </pic:pic>
              </a:graphicData>
            </a:graphic>
          </wp:inline>
        </w:drawing>
      </w:r>
    </w:p>
    <w:p w14:paraId="5EB1E7CD" w14:textId="77777777" w:rsidR="00114EB3" w:rsidRPr="002A7446" w:rsidRDefault="00114EB3" w:rsidP="00F72DF1">
      <w:pPr>
        <w:pStyle w:val="KeinLeerraum"/>
      </w:pPr>
    </w:p>
    <w:p w14:paraId="6A1697D6" w14:textId="2AB48737" w:rsidR="00114EB3" w:rsidRPr="002A7446" w:rsidRDefault="00114EB3" w:rsidP="00294986">
      <w:pPr>
        <w:pStyle w:val="Beschriftung"/>
        <w:rPr>
          <w:b w:val="0"/>
        </w:rPr>
      </w:pPr>
      <w:r w:rsidRPr="002A7446">
        <w:t xml:space="preserve">Figure S </w:t>
      </w:r>
      <w:r w:rsidR="00683C02" w:rsidRPr="002A7446">
        <w:rPr>
          <w:noProof/>
        </w:rPr>
        <w:t>19</w:t>
      </w:r>
      <w:r w:rsidRPr="002A7446">
        <w:t>:</w:t>
      </w:r>
      <w:r w:rsidRPr="002A7446">
        <w:rPr>
          <w:b w:val="0"/>
        </w:rPr>
        <w:t xml:space="preserve"> Class-stability </w:t>
      </w:r>
      <w:r w:rsidR="00294986" w:rsidRPr="002A7446">
        <w:rPr>
          <w:b w:val="0"/>
        </w:rPr>
        <w:t xml:space="preserve">was estimated in terms of A) the fraction of </w:t>
      </w:r>
      <w:r w:rsidR="00A21E0A" w:rsidRPr="002A7446">
        <w:rPr>
          <w:b w:val="0"/>
        </w:rPr>
        <w:t>class-</w:t>
      </w:r>
      <w:r w:rsidR="00294986" w:rsidRPr="002A7446">
        <w:rPr>
          <w:b w:val="0"/>
        </w:rPr>
        <w:t xml:space="preserve">stable samples </w:t>
      </w:r>
      <w:r w:rsidRPr="002A7446">
        <w:rPr>
          <w:b w:val="0"/>
        </w:rPr>
        <w:t xml:space="preserve">using </w:t>
      </w:r>
      <w:r w:rsidR="00294986" w:rsidRPr="002A7446">
        <w:rPr>
          <w:b w:val="0"/>
        </w:rPr>
        <w:t xml:space="preserve">bootstrapping </w:t>
      </w:r>
      <w:r w:rsidR="00A21E0A" w:rsidRPr="002A7446">
        <w:rPr>
          <w:b w:val="0"/>
        </w:rPr>
        <w:t>(2</w:t>
      </w:r>
      <w:r w:rsidR="00294986" w:rsidRPr="002A7446">
        <w:rPr>
          <w:b w:val="0"/>
        </w:rPr>
        <w:t xml:space="preserve">0% leave out, 1000 repeats). </w:t>
      </w:r>
      <w:r w:rsidR="00A21E0A" w:rsidRPr="002A7446">
        <w:rPr>
          <w:b w:val="0"/>
        </w:rPr>
        <w:t xml:space="preserve">More than </w:t>
      </w:r>
      <w:r w:rsidR="00547D0E" w:rsidRPr="002A7446">
        <w:rPr>
          <w:b w:val="0"/>
        </w:rPr>
        <w:t>85</w:t>
      </w:r>
      <w:r w:rsidR="00A21E0A" w:rsidRPr="002A7446">
        <w:rPr>
          <w:b w:val="0"/>
        </w:rPr>
        <w:t xml:space="preserve">% of the samples </w:t>
      </w:r>
      <w:r w:rsidR="00547D0E" w:rsidRPr="002A7446">
        <w:rPr>
          <w:b w:val="0"/>
        </w:rPr>
        <w:t>keep</w:t>
      </w:r>
      <w:r w:rsidR="00A21E0A" w:rsidRPr="002A7446">
        <w:rPr>
          <w:b w:val="0"/>
        </w:rPr>
        <w:t xml:space="preserve"> their class label on the average also for leave-out rates up to 40 % (data not shown). </w:t>
      </w:r>
      <w:r w:rsidR="00294986" w:rsidRPr="002A7446">
        <w:rPr>
          <w:b w:val="0"/>
        </w:rPr>
        <w:t xml:space="preserve">B) The silhouette plot of the novel classes reveals solely positive values for all samples thus indicating adequate clustering (compare with the silhouette plot in </w:t>
      </w:r>
      <w:r w:rsidR="00683C02" w:rsidRPr="002A7446">
        <w:t>Figure 1</w:t>
      </w:r>
      <w:r w:rsidR="00294986" w:rsidRPr="002A7446">
        <w:t>D</w:t>
      </w:r>
      <w:r w:rsidR="00294986" w:rsidRPr="002A7446">
        <w:rPr>
          <w:b w:val="0"/>
        </w:rPr>
        <w:t>).</w:t>
      </w:r>
      <w:r w:rsidR="002E5172" w:rsidRPr="002A7446">
        <w:rPr>
          <w:b w:val="0"/>
        </w:rPr>
        <w:t xml:space="preserve"> Both methods reveal highest stability for LS and BD while IFN-LS shows lowest stability.</w:t>
      </w:r>
    </w:p>
    <w:p w14:paraId="7FCBC9F3" w14:textId="77777777" w:rsidR="00114EB3" w:rsidRPr="002A7446" w:rsidRDefault="00114EB3" w:rsidP="00114EB3">
      <w:pPr>
        <w:pStyle w:val="KeinLeerraum"/>
      </w:pPr>
    </w:p>
    <w:p w14:paraId="480F6DFB" w14:textId="77777777" w:rsidR="00114EB3" w:rsidRPr="002A7446" w:rsidRDefault="00114EB3" w:rsidP="00114EB3">
      <w:pPr>
        <w:pStyle w:val="KeinLeerraum"/>
      </w:pPr>
    </w:p>
    <w:p w14:paraId="12FB1605" w14:textId="77777777" w:rsidR="00C23025" w:rsidRPr="002A7446" w:rsidRDefault="00F41DC0" w:rsidP="00C23025">
      <w:pPr>
        <w:jc w:val="center"/>
      </w:pPr>
      <w:r w:rsidRPr="002A7446">
        <w:rPr>
          <w:noProof/>
          <w:lang w:val="de-DE" w:eastAsia="de-DE"/>
        </w:rPr>
        <w:drawing>
          <wp:inline distT="0" distB="0" distL="0" distR="0" wp14:anchorId="6BFDC07B" wp14:editId="00CE1C28">
            <wp:extent cx="4010483" cy="4637052"/>
            <wp:effectExtent l="0" t="0" r="952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16201" cy="4643663"/>
                    </a:xfrm>
                    <a:prstGeom prst="rect">
                      <a:avLst/>
                    </a:prstGeom>
                    <a:noFill/>
                  </pic:spPr>
                </pic:pic>
              </a:graphicData>
            </a:graphic>
          </wp:inline>
        </w:drawing>
      </w:r>
    </w:p>
    <w:p w14:paraId="45887D81" w14:textId="77777777" w:rsidR="00C23025" w:rsidRPr="002A7446" w:rsidRDefault="00C23025" w:rsidP="000427F6"/>
    <w:p w14:paraId="2043A6D7" w14:textId="0CF18B9B" w:rsidR="00C23025" w:rsidRPr="002A7446" w:rsidRDefault="00C23025" w:rsidP="00C07473">
      <w:pPr>
        <w:pStyle w:val="Beschriftung"/>
        <w:rPr>
          <w:b w:val="0"/>
        </w:rPr>
      </w:pPr>
      <w:bookmarkStart w:id="19" w:name="_Ref517091225"/>
      <w:r w:rsidRPr="002A7446">
        <w:t xml:space="preserve">Figure S </w:t>
      </w:r>
      <w:r w:rsidR="00683C02" w:rsidRPr="002A7446">
        <w:rPr>
          <w:noProof/>
        </w:rPr>
        <w:t>20</w:t>
      </w:r>
      <w:bookmarkEnd w:id="19"/>
      <w:r w:rsidRPr="002A7446">
        <w:t>:</w:t>
      </w:r>
      <w:r w:rsidR="00F14071" w:rsidRPr="002A7446">
        <w:t xml:space="preserve"> </w:t>
      </w:r>
      <w:r w:rsidR="00F14071" w:rsidRPr="002A7446">
        <w:rPr>
          <w:b w:val="0"/>
        </w:rPr>
        <w:t>Dynamics of gene expression of sepsis due to CAP of patients with serial samples collected at day 1, 3 and 5 after admission to ICU: A) Individual transcriptome portraits of selected serial samples and time courses of their transcriptomic severity, IFN-response and erythrocyte scores. The severity of CAP decays in most cases while the erythrocyte score increases in part of the samples possibly because of enhanced oxygen requirements. B) Mean SOM portraits of samples measured at day 1, 3 and 5 indicate high expression of the IFN- and high severity-related spots D and L at day 1, of spots A (low severity), E and K at day 3 and of spot J (erythrocytes) at day 5. C) Flow (Sankey-) plot of the class composition of serial samples at day 1, 3 and 5. The amount of patients increases in the low severity classes LS and IFN-LS at day 5 indicating partial recovery from sepsis while the number of patients in BD gains at day 3 and 5 possibly due to respiratory problems. D) The distribution of samples in the sample similarity net shows no clear trend except the accumulation near the low severity end at day 5. Note that time course data of the same patient are collected only in the discovery cohort that occupies mostly the right part of the network.</w:t>
      </w:r>
    </w:p>
    <w:p w14:paraId="5E644BF0" w14:textId="77777777" w:rsidR="000E148D" w:rsidRPr="002A7446" w:rsidRDefault="000E148D">
      <w:pPr>
        <w:spacing w:before="0" w:after="200" w:line="276" w:lineRule="auto"/>
      </w:pPr>
      <w:r w:rsidRPr="002A7446">
        <w:br w:type="page"/>
      </w:r>
    </w:p>
    <w:p w14:paraId="48C21B1E" w14:textId="2A4127D8" w:rsidR="00C07473" w:rsidRPr="002A7446" w:rsidRDefault="00C07473" w:rsidP="00C07473">
      <w:pPr>
        <w:pStyle w:val="Beschriftung"/>
      </w:pPr>
      <w:bookmarkStart w:id="20" w:name="_Ref516223157"/>
      <w:bookmarkStart w:id="21" w:name="_Ref504629868"/>
      <w:r w:rsidRPr="002A7446">
        <w:t xml:space="preserve">Table S </w:t>
      </w:r>
      <w:r w:rsidR="00683C02" w:rsidRPr="002A7446">
        <w:rPr>
          <w:noProof/>
        </w:rPr>
        <w:t>1</w:t>
      </w:r>
      <w:bookmarkEnd w:id="20"/>
      <w:r w:rsidRPr="002A7446">
        <w:t>: Gene sets of different functional categories used in this publication</w:t>
      </w:r>
    </w:p>
    <w:p w14:paraId="59971B13" w14:textId="77777777" w:rsidR="00C07473" w:rsidRPr="002A7446" w:rsidRDefault="00C07473" w:rsidP="00C07473">
      <w:r w:rsidRPr="002A7446">
        <w:t>Attached as Excel table.</w:t>
      </w:r>
    </w:p>
    <w:p w14:paraId="14F68531" w14:textId="77777777" w:rsidR="00C07473" w:rsidRPr="002A7446" w:rsidRDefault="00C07473" w:rsidP="00C07473"/>
    <w:p w14:paraId="506061BF" w14:textId="3AA989DA" w:rsidR="00941F08" w:rsidRPr="002A7446" w:rsidRDefault="00941F08" w:rsidP="00941F08">
      <w:pPr>
        <w:pStyle w:val="Beschriftung"/>
      </w:pPr>
      <w:bookmarkStart w:id="22" w:name="_Ref516670219"/>
      <w:r w:rsidRPr="002A7446">
        <w:t xml:space="preserve">Table S </w:t>
      </w:r>
      <w:r w:rsidR="00683C02" w:rsidRPr="002A7446">
        <w:rPr>
          <w:noProof/>
        </w:rPr>
        <w:t>2</w:t>
      </w:r>
      <w:bookmarkEnd w:id="21"/>
      <w:bookmarkEnd w:id="22"/>
      <w:r w:rsidRPr="002A7446">
        <w:t>: Lists of genes of spot-modules A – L</w:t>
      </w:r>
    </w:p>
    <w:p w14:paraId="1C92B807" w14:textId="77777777" w:rsidR="00941F08" w:rsidRPr="002A7446" w:rsidRDefault="00941F08" w:rsidP="00941F08">
      <w:r w:rsidRPr="002A7446">
        <w:t>Attached as Excel table</w:t>
      </w:r>
      <w:r w:rsidR="00C07473" w:rsidRPr="002A7446">
        <w:t>.</w:t>
      </w:r>
    </w:p>
    <w:p w14:paraId="43AA9DA3" w14:textId="77777777" w:rsidR="00941F08" w:rsidRPr="002A7446" w:rsidRDefault="00941F08" w:rsidP="00941F08">
      <w:pPr>
        <w:rPr>
          <w:highlight w:val="cyan"/>
        </w:rPr>
      </w:pPr>
    </w:p>
    <w:p w14:paraId="036E5FCB" w14:textId="64463339" w:rsidR="00FB4477" w:rsidRPr="002A7446" w:rsidRDefault="00FB4477" w:rsidP="00FB4477">
      <w:pPr>
        <w:pStyle w:val="Beschriftung"/>
        <w:rPr>
          <w:highlight w:val="cyan"/>
        </w:rPr>
      </w:pPr>
      <w:bookmarkStart w:id="23" w:name="_Ref516670053"/>
      <w:r w:rsidRPr="002A7446">
        <w:t xml:space="preserve">Table S </w:t>
      </w:r>
      <w:r w:rsidR="00683C02" w:rsidRPr="002A7446">
        <w:rPr>
          <w:noProof/>
        </w:rPr>
        <w:t>3</w:t>
      </w:r>
      <w:bookmarkEnd w:id="23"/>
      <w:r w:rsidRPr="002A7446">
        <w:t>: Stratification of patient characteristics according to the novel CAP groups</w:t>
      </w:r>
    </w:p>
    <w:tbl>
      <w:tblPr>
        <w:tblStyle w:val="Tabellenraster"/>
        <w:tblW w:w="5582" w:type="dxa"/>
        <w:tblLayout w:type="fixed"/>
        <w:tblLook w:val="04A0" w:firstRow="1" w:lastRow="0" w:firstColumn="1" w:lastColumn="0" w:noHBand="0" w:noVBand="1"/>
      </w:tblPr>
      <w:tblGrid>
        <w:gridCol w:w="1414"/>
        <w:gridCol w:w="1092"/>
        <w:gridCol w:w="1092"/>
        <w:gridCol w:w="850"/>
        <w:gridCol w:w="567"/>
        <w:gridCol w:w="567"/>
      </w:tblGrid>
      <w:tr w:rsidR="002A7446" w:rsidRPr="002A7446" w14:paraId="796BF4B3" w14:textId="77777777" w:rsidTr="00E70AE0">
        <w:tc>
          <w:tcPr>
            <w:tcW w:w="1414" w:type="dxa"/>
          </w:tcPr>
          <w:p w14:paraId="3C5D9F9A" w14:textId="77777777" w:rsidR="003E17BC" w:rsidRPr="002A7446" w:rsidRDefault="003E17BC" w:rsidP="003E17BC">
            <w:pPr>
              <w:rPr>
                <w:b/>
              </w:rPr>
            </w:pPr>
            <w:r w:rsidRPr="002A7446">
              <w:rPr>
                <w:b/>
              </w:rPr>
              <w:t>group</w:t>
            </w:r>
          </w:p>
        </w:tc>
        <w:tc>
          <w:tcPr>
            <w:tcW w:w="1092" w:type="dxa"/>
            <w:tcBorders>
              <w:bottom w:val="single" w:sz="4" w:space="0" w:color="auto"/>
            </w:tcBorders>
          </w:tcPr>
          <w:p w14:paraId="6EC09AE7" w14:textId="77777777" w:rsidR="003E17BC" w:rsidRPr="002A7446" w:rsidRDefault="003E17BC" w:rsidP="003E17BC">
            <w:pPr>
              <w:jc w:val="center"/>
              <w:rPr>
                <w:b/>
                <w:szCs w:val="28"/>
              </w:rPr>
            </w:pPr>
            <w:r w:rsidRPr="002A7446">
              <w:rPr>
                <w:b/>
                <w:szCs w:val="28"/>
              </w:rPr>
              <w:t>Number of samples</w:t>
            </w:r>
          </w:p>
        </w:tc>
        <w:tc>
          <w:tcPr>
            <w:tcW w:w="1092" w:type="dxa"/>
          </w:tcPr>
          <w:p w14:paraId="6E038674" w14:textId="77777777" w:rsidR="003E17BC" w:rsidRPr="002A7446" w:rsidRDefault="003E17BC" w:rsidP="003E17BC">
            <w:pPr>
              <w:jc w:val="center"/>
              <w:rPr>
                <w:b/>
                <w:szCs w:val="28"/>
              </w:rPr>
            </w:pPr>
            <w:r w:rsidRPr="002A7446">
              <w:rPr>
                <w:b/>
                <w:szCs w:val="28"/>
              </w:rPr>
              <w:t xml:space="preserve">28-days survival, % </w:t>
            </w:r>
            <w:r w:rsidRPr="002A7446">
              <w:rPr>
                <w:b/>
                <w:szCs w:val="28"/>
                <w:vertAlign w:val="superscript"/>
              </w:rPr>
              <w:t>a</w:t>
            </w:r>
          </w:p>
        </w:tc>
        <w:tc>
          <w:tcPr>
            <w:tcW w:w="850" w:type="dxa"/>
          </w:tcPr>
          <w:p w14:paraId="1849F7C5" w14:textId="77777777" w:rsidR="003E17BC" w:rsidRPr="002A7446" w:rsidRDefault="003E17BC" w:rsidP="003E17BC">
            <w:pPr>
              <w:jc w:val="center"/>
              <w:rPr>
                <w:b/>
                <w:szCs w:val="28"/>
              </w:rPr>
            </w:pPr>
            <w:r w:rsidRPr="002A7446">
              <w:rPr>
                <w:b/>
                <w:szCs w:val="28"/>
              </w:rPr>
              <w:t xml:space="preserve">Age </w:t>
            </w:r>
            <w:r w:rsidRPr="002A7446">
              <w:rPr>
                <w:b/>
                <w:szCs w:val="28"/>
                <w:vertAlign w:val="superscript"/>
              </w:rPr>
              <w:t>a</w:t>
            </w:r>
          </w:p>
        </w:tc>
        <w:tc>
          <w:tcPr>
            <w:tcW w:w="1134" w:type="dxa"/>
            <w:gridSpan w:val="2"/>
          </w:tcPr>
          <w:p w14:paraId="68B2FC22" w14:textId="77777777" w:rsidR="003E17BC" w:rsidRPr="002A7446" w:rsidRDefault="003E17BC" w:rsidP="003E17BC">
            <w:pPr>
              <w:jc w:val="center"/>
              <w:rPr>
                <w:b/>
                <w:szCs w:val="28"/>
              </w:rPr>
            </w:pPr>
            <w:r w:rsidRPr="002A7446">
              <w:rPr>
                <w:b/>
                <w:szCs w:val="28"/>
              </w:rPr>
              <w:t xml:space="preserve">Sex </w:t>
            </w:r>
            <w:r w:rsidRPr="002A7446">
              <w:rPr>
                <w:b/>
                <w:szCs w:val="28"/>
                <w:vertAlign w:val="superscript"/>
              </w:rPr>
              <w:t>b</w:t>
            </w:r>
          </w:p>
          <w:p w14:paraId="357F8DB4" w14:textId="77777777" w:rsidR="003E17BC" w:rsidRPr="002A7446" w:rsidRDefault="003E17BC" w:rsidP="003E17BC">
            <w:pPr>
              <w:jc w:val="center"/>
              <w:rPr>
                <w:b/>
                <w:szCs w:val="28"/>
              </w:rPr>
            </w:pPr>
            <w:r w:rsidRPr="002A7446">
              <w:rPr>
                <w:b/>
                <w:szCs w:val="28"/>
              </w:rPr>
              <w:t>f       m</w:t>
            </w:r>
          </w:p>
        </w:tc>
      </w:tr>
      <w:tr w:rsidR="002A7446" w:rsidRPr="002A7446" w14:paraId="1BB853B1" w14:textId="77777777" w:rsidTr="00E70AE0">
        <w:tc>
          <w:tcPr>
            <w:tcW w:w="1414" w:type="dxa"/>
          </w:tcPr>
          <w:p w14:paraId="3D976DB7" w14:textId="77777777" w:rsidR="003E17BC" w:rsidRPr="002A7446" w:rsidRDefault="003E17BC" w:rsidP="003E17BC">
            <w:pPr>
              <w:rPr>
                <w:b/>
              </w:rPr>
            </w:pPr>
            <w:r w:rsidRPr="002A7446">
              <w:rPr>
                <w:b/>
              </w:rPr>
              <w:t>Low severity LS</w:t>
            </w:r>
          </w:p>
        </w:tc>
        <w:tc>
          <w:tcPr>
            <w:tcW w:w="1092" w:type="dxa"/>
            <w:shd w:val="clear" w:color="auto" w:fill="auto"/>
          </w:tcPr>
          <w:p w14:paraId="7558D487" w14:textId="77777777" w:rsidR="003E17BC" w:rsidRPr="002A7446" w:rsidRDefault="003E17BC" w:rsidP="003E17BC">
            <w:pPr>
              <w:jc w:val="center"/>
              <w:rPr>
                <w:szCs w:val="28"/>
              </w:rPr>
            </w:pPr>
            <w:r w:rsidRPr="002A7446">
              <w:rPr>
                <w:szCs w:val="28"/>
              </w:rPr>
              <w:t>46</w:t>
            </w:r>
          </w:p>
        </w:tc>
        <w:tc>
          <w:tcPr>
            <w:tcW w:w="1092" w:type="dxa"/>
            <w:shd w:val="clear" w:color="auto" w:fill="D9D9D9" w:themeFill="background1" w:themeFillShade="D9"/>
          </w:tcPr>
          <w:p w14:paraId="6BDE3115" w14:textId="77777777" w:rsidR="003E17BC" w:rsidRPr="002A7446" w:rsidRDefault="003E17BC" w:rsidP="003E17BC">
            <w:pPr>
              <w:jc w:val="center"/>
              <w:rPr>
                <w:szCs w:val="28"/>
              </w:rPr>
            </w:pPr>
            <w:r w:rsidRPr="002A7446">
              <w:rPr>
                <w:szCs w:val="28"/>
              </w:rPr>
              <w:t>89</w:t>
            </w:r>
          </w:p>
        </w:tc>
        <w:tc>
          <w:tcPr>
            <w:tcW w:w="850" w:type="dxa"/>
            <w:shd w:val="clear" w:color="auto" w:fill="D99594" w:themeFill="accent2" w:themeFillTint="99"/>
          </w:tcPr>
          <w:p w14:paraId="460DDE27" w14:textId="77777777" w:rsidR="003E17BC" w:rsidRPr="002A7446" w:rsidRDefault="003E17BC" w:rsidP="003E17BC">
            <w:pPr>
              <w:jc w:val="center"/>
              <w:rPr>
                <w:szCs w:val="28"/>
              </w:rPr>
            </w:pPr>
            <w:r w:rsidRPr="002A7446">
              <w:rPr>
                <w:szCs w:val="28"/>
              </w:rPr>
              <w:t>59</w:t>
            </w:r>
            <w:r w:rsidRPr="002A7446">
              <w:rPr>
                <w:rFonts w:ascii="Cambria Math" w:hAnsi="Cambria Math"/>
                <w:szCs w:val="28"/>
              </w:rPr>
              <w:t>±</w:t>
            </w:r>
            <w:r w:rsidRPr="002A7446">
              <w:rPr>
                <w:szCs w:val="28"/>
              </w:rPr>
              <w:t>17</w:t>
            </w:r>
          </w:p>
        </w:tc>
        <w:tc>
          <w:tcPr>
            <w:tcW w:w="567" w:type="dxa"/>
          </w:tcPr>
          <w:p w14:paraId="1D104AD2" w14:textId="77777777" w:rsidR="003E17BC" w:rsidRPr="002A7446" w:rsidRDefault="003E17BC" w:rsidP="003E17BC">
            <w:pPr>
              <w:jc w:val="center"/>
              <w:rPr>
                <w:szCs w:val="28"/>
              </w:rPr>
            </w:pPr>
            <w:r w:rsidRPr="002A7446">
              <w:rPr>
                <w:szCs w:val="28"/>
              </w:rPr>
              <w:t>18</w:t>
            </w:r>
          </w:p>
        </w:tc>
        <w:tc>
          <w:tcPr>
            <w:tcW w:w="567" w:type="dxa"/>
          </w:tcPr>
          <w:p w14:paraId="15132D2A" w14:textId="77777777" w:rsidR="003E17BC" w:rsidRPr="002A7446" w:rsidRDefault="003E17BC" w:rsidP="003E17BC">
            <w:pPr>
              <w:jc w:val="center"/>
              <w:rPr>
                <w:szCs w:val="28"/>
              </w:rPr>
            </w:pPr>
            <w:r w:rsidRPr="002A7446">
              <w:rPr>
                <w:szCs w:val="28"/>
              </w:rPr>
              <w:t>28</w:t>
            </w:r>
          </w:p>
        </w:tc>
      </w:tr>
      <w:tr w:rsidR="002A7446" w:rsidRPr="002A7446" w14:paraId="27D3EA0F" w14:textId="77777777" w:rsidTr="00E70AE0">
        <w:tc>
          <w:tcPr>
            <w:tcW w:w="1414" w:type="dxa"/>
          </w:tcPr>
          <w:p w14:paraId="096F5FF5" w14:textId="77777777" w:rsidR="003E17BC" w:rsidRPr="002A7446" w:rsidRDefault="003E17BC" w:rsidP="003E17BC">
            <w:pPr>
              <w:rPr>
                <w:b/>
              </w:rPr>
            </w:pPr>
            <w:r w:rsidRPr="002A7446">
              <w:rPr>
                <w:b/>
              </w:rPr>
              <w:t>Medium severity MS</w:t>
            </w:r>
          </w:p>
        </w:tc>
        <w:tc>
          <w:tcPr>
            <w:tcW w:w="1092" w:type="dxa"/>
            <w:shd w:val="clear" w:color="auto" w:fill="auto"/>
          </w:tcPr>
          <w:p w14:paraId="10C0E564" w14:textId="77777777" w:rsidR="003E17BC" w:rsidRPr="002A7446" w:rsidRDefault="003E17BC" w:rsidP="003E17BC">
            <w:pPr>
              <w:jc w:val="center"/>
              <w:rPr>
                <w:szCs w:val="28"/>
              </w:rPr>
            </w:pPr>
            <w:r w:rsidRPr="002A7446">
              <w:rPr>
                <w:szCs w:val="28"/>
              </w:rPr>
              <w:t>23</w:t>
            </w:r>
          </w:p>
        </w:tc>
        <w:tc>
          <w:tcPr>
            <w:tcW w:w="1092" w:type="dxa"/>
          </w:tcPr>
          <w:p w14:paraId="532CE752" w14:textId="77777777" w:rsidR="003E17BC" w:rsidRPr="002A7446" w:rsidRDefault="003E17BC" w:rsidP="003E17BC">
            <w:pPr>
              <w:jc w:val="center"/>
              <w:rPr>
                <w:szCs w:val="28"/>
              </w:rPr>
            </w:pPr>
            <w:r w:rsidRPr="002A7446">
              <w:rPr>
                <w:szCs w:val="28"/>
              </w:rPr>
              <w:t>78</w:t>
            </w:r>
          </w:p>
        </w:tc>
        <w:tc>
          <w:tcPr>
            <w:tcW w:w="850" w:type="dxa"/>
          </w:tcPr>
          <w:p w14:paraId="7CB32541" w14:textId="77777777" w:rsidR="003E17BC" w:rsidRPr="002A7446" w:rsidRDefault="003E17BC" w:rsidP="003E17BC">
            <w:pPr>
              <w:jc w:val="center"/>
              <w:rPr>
                <w:szCs w:val="28"/>
              </w:rPr>
            </w:pPr>
            <w:r w:rsidRPr="002A7446">
              <w:rPr>
                <w:szCs w:val="28"/>
              </w:rPr>
              <w:t>67</w:t>
            </w:r>
            <w:r w:rsidRPr="002A7446">
              <w:rPr>
                <w:rFonts w:ascii="Cambria Math" w:hAnsi="Cambria Math"/>
                <w:szCs w:val="28"/>
              </w:rPr>
              <w:t>±</w:t>
            </w:r>
            <w:r w:rsidRPr="002A7446">
              <w:rPr>
                <w:szCs w:val="28"/>
              </w:rPr>
              <w:t>13</w:t>
            </w:r>
          </w:p>
        </w:tc>
        <w:tc>
          <w:tcPr>
            <w:tcW w:w="567" w:type="dxa"/>
            <w:shd w:val="clear" w:color="auto" w:fill="D99594" w:themeFill="accent2" w:themeFillTint="99"/>
          </w:tcPr>
          <w:p w14:paraId="7FA9211A" w14:textId="77777777" w:rsidR="003E17BC" w:rsidRPr="002A7446" w:rsidRDefault="003E17BC" w:rsidP="003E17BC">
            <w:pPr>
              <w:jc w:val="center"/>
              <w:rPr>
                <w:szCs w:val="28"/>
              </w:rPr>
            </w:pPr>
            <w:r w:rsidRPr="002A7446">
              <w:rPr>
                <w:szCs w:val="28"/>
              </w:rPr>
              <w:t>4</w:t>
            </w:r>
          </w:p>
        </w:tc>
        <w:tc>
          <w:tcPr>
            <w:tcW w:w="567" w:type="dxa"/>
            <w:shd w:val="clear" w:color="auto" w:fill="D99594" w:themeFill="accent2" w:themeFillTint="99"/>
          </w:tcPr>
          <w:p w14:paraId="1667D144" w14:textId="77777777" w:rsidR="003E17BC" w:rsidRPr="002A7446" w:rsidRDefault="003E17BC" w:rsidP="003E17BC">
            <w:pPr>
              <w:jc w:val="center"/>
              <w:rPr>
                <w:szCs w:val="28"/>
              </w:rPr>
            </w:pPr>
            <w:r w:rsidRPr="002A7446">
              <w:rPr>
                <w:szCs w:val="28"/>
              </w:rPr>
              <w:t>19</w:t>
            </w:r>
          </w:p>
        </w:tc>
      </w:tr>
      <w:tr w:rsidR="002A7446" w:rsidRPr="002A7446" w14:paraId="37784B89" w14:textId="77777777" w:rsidTr="00E70AE0">
        <w:tc>
          <w:tcPr>
            <w:tcW w:w="1414" w:type="dxa"/>
          </w:tcPr>
          <w:p w14:paraId="07C6F873" w14:textId="77777777" w:rsidR="003E17BC" w:rsidRPr="002A7446" w:rsidRDefault="003E17BC" w:rsidP="003E17BC">
            <w:pPr>
              <w:rPr>
                <w:b/>
              </w:rPr>
            </w:pPr>
            <w:r w:rsidRPr="002A7446">
              <w:rPr>
                <w:b/>
              </w:rPr>
              <w:t>High severity HS</w:t>
            </w:r>
          </w:p>
        </w:tc>
        <w:tc>
          <w:tcPr>
            <w:tcW w:w="1092" w:type="dxa"/>
            <w:shd w:val="clear" w:color="auto" w:fill="auto"/>
          </w:tcPr>
          <w:p w14:paraId="773613B0" w14:textId="77777777" w:rsidR="003E17BC" w:rsidRPr="002A7446" w:rsidRDefault="003E17BC" w:rsidP="003E17BC">
            <w:pPr>
              <w:jc w:val="center"/>
              <w:rPr>
                <w:szCs w:val="28"/>
              </w:rPr>
            </w:pPr>
            <w:r w:rsidRPr="002A7446">
              <w:rPr>
                <w:szCs w:val="28"/>
              </w:rPr>
              <w:t>59</w:t>
            </w:r>
          </w:p>
        </w:tc>
        <w:tc>
          <w:tcPr>
            <w:tcW w:w="1092" w:type="dxa"/>
          </w:tcPr>
          <w:p w14:paraId="709E44D0" w14:textId="77777777" w:rsidR="003E17BC" w:rsidRPr="002A7446" w:rsidRDefault="003E17BC" w:rsidP="003E17BC">
            <w:pPr>
              <w:jc w:val="center"/>
              <w:rPr>
                <w:szCs w:val="28"/>
              </w:rPr>
            </w:pPr>
            <w:r w:rsidRPr="002A7446">
              <w:rPr>
                <w:szCs w:val="28"/>
              </w:rPr>
              <w:t>76</w:t>
            </w:r>
          </w:p>
        </w:tc>
        <w:tc>
          <w:tcPr>
            <w:tcW w:w="850" w:type="dxa"/>
          </w:tcPr>
          <w:p w14:paraId="02C2E5C3" w14:textId="77777777" w:rsidR="003E17BC" w:rsidRPr="002A7446" w:rsidRDefault="003E17BC" w:rsidP="003E17BC">
            <w:pPr>
              <w:jc w:val="center"/>
              <w:rPr>
                <w:szCs w:val="28"/>
              </w:rPr>
            </w:pPr>
            <w:r w:rsidRPr="002A7446">
              <w:rPr>
                <w:szCs w:val="28"/>
              </w:rPr>
              <w:t>65</w:t>
            </w:r>
            <w:r w:rsidRPr="002A7446">
              <w:rPr>
                <w:rFonts w:ascii="Cambria Math" w:hAnsi="Cambria Math"/>
                <w:szCs w:val="28"/>
              </w:rPr>
              <w:t>±</w:t>
            </w:r>
            <w:r w:rsidRPr="002A7446">
              <w:rPr>
                <w:szCs w:val="28"/>
              </w:rPr>
              <w:t>12</w:t>
            </w:r>
          </w:p>
        </w:tc>
        <w:tc>
          <w:tcPr>
            <w:tcW w:w="567" w:type="dxa"/>
          </w:tcPr>
          <w:p w14:paraId="09F5299C" w14:textId="77777777" w:rsidR="003E17BC" w:rsidRPr="002A7446" w:rsidRDefault="003E17BC" w:rsidP="003E17BC">
            <w:pPr>
              <w:jc w:val="center"/>
              <w:rPr>
                <w:szCs w:val="28"/>
              </w:rPr>
            </w:pPr>
            <w:r w:rsidRPr="002A7446">
              <w:rPr>
                <w:szCs w:val="28"/>
              </w:rPr>
              <w:t>30</w:t>
            </w:r>
          </w:p>
        </w:tc>
        <w:tc>
          <w:tcPr>
            <w:tcW w:w="567" w:type="dxa"/>
          </w:tcPr>
          <w:p w14:paraId="1D49E8E5" w14:textId="77777777" w:rsidR="003E17BC" w:rsidRPr="002A7446" w:rsidRDefault="003E17BC" w:rsidP="003E17BC">
            <w:pPr>
              <w:jc w:val="center"/>
              <w:rPr>
                <w:szCs w:val="28"/>
              </w:rPr>
            </w:pPr>
            <w:r w:rsidRPr="002A7446">
              <w:rPr>
                <w:szCs w:val="28"/>
              </w:rPr>
              <w:t>29</w:t>
            </w:r>
          </w:p>
        </w:tc>
      </w:tr>
      <w:tr w:rsidR="002A7446" w:rsidRPr="002A7446" w14:paraId="0AD99B8A" w14:textId="77777777" w:rsidTr="00E70AE0">
        <w:tc>
          <w:tcPr>
            <w:tcW w:w="1414" w:type="dxa"/>
          </w:tcPr>
          <w:p w14:paraId="1CF693C3" w14:textId="77777777" w:rsidR="003E17BC" w:rsidRPr="002A7446" w:rsidRDefault="003E17BC" w:rsidP="003E17BC">
            <w:pPr>
              <w:rPr>
                <w:b/>
              </w:rPr>
            </w:pPr>
            <w:r w:rsidRPr="002A7446">
              <w:rPr>
                <w:b/>
              </w:rPr>
              <w:t>Blood disturbances BD</w:t>
            </w:r>
          </w:p>
        </w:tc>
        <w:tc>
          <w:tcPr>
            <w:tcW w:w="1092" w:type="dxa"/>
            <w:shd w:val="clear" w:color="auto" w:fill="auto"/>
          </w:tcPr>
          <w:p w14:paraId="3A8F587C" w14:textId="77777777" w:rsidR="003E17BC" w:rsidRPr="002A7446" w:rsidRDefault="003E17BC" w:rsidP="003E17BC">
            <w:pPr>
              <w:jc w:val="center"/>
              <w:rPr>
                <w:szCs w:val="28"/>
              </w:rPr>
            </w:pPr>
            <w:r w:rsidRPr="002A7446">
              <w:rPr>
                <w:szCs w:val="28"/>
              </w:rPr>
              <w:t>20</w:t>
            </w:r>
          </w:p>
        </w:tc>
        <w:tc>
          <w:tcPr>
            <w:tcW w:w="1092" w:type="dxa"/>
          </w:tcPr>
          <w:p w14:paraId="2842732D" w14:textId="77777777" w:rsidR="003E17BC" w:rsidRPr="002A7446" w:rsidRDefault="003E17BC" w:rsidP="003E17BC">
            <w:pPr>
              <w:jc w:val="center"/>
              <w:rPr>
                <w:szCs w:val="28"/>
              </w:rPr>
            </w:pPr>
            <w:r w:rsidRPr="002A7446">
              <w:rPr>
                <w:szCs w:val="28"/>
              </w:rPr>
              <w:t>80</w:t>
            </w:r>
          </w:p>
        </w:tc>
        <w:tc>
          <w:tcPr>
            <w:tcW w:w="850" w:type="dxa"/>
          </w:tcPr>
          <w:p w14:paraId="18494EEE" w14:textId="77777777" w:rsidR="003E17BC" w:rsidRPr="002A7446" w:rsidRDefault="003E17BC" w:rsidP="003E17BC">
            <w:pPr>
              <w:jc w:val="center"/>
              <w:rPr>
                <w:szCs w:val="28"/>
              </w:rPr>
            </w:pPr>
            <w:r w:rsidRPr="002A7446">
              <w:rPr>
                <w:szCs w:val="28"/>
              </w:rPr>
              <w:t>68</w:t>
            </w:r>
            <w:r w:rsidRPr="002A7446">
              <w:rPr>
                <w:rFonts w:ascii="Cambria Math" w:hAnsi="Cambria Math"/>
                <w:szCs w:val="28"/>
              </w:rPr>
              <w:t>±</w:t>
            </w:r>
            <w:r w:rsidRPr="002A7446">
              <w:rPr>
                <w:szCs w:val="28"/>
              </w:rPr>
              <w:t>17</w:t>
            </w:r>
          </w:p>
        </w:tc>
        <w:tc>
          <w:tcPr>
            <w:tcW w:w="567" w:type="dxa"/>
          </w:tcPr>
          <w:p w14:paraId="4F65C22C" w14:textId="77777777" w:rsidR="003E17BC" w:rsidRPr="002A7446" w:rsidRDefault="003E17BC" w:rsidP="003E17BC">
            <w:pPr>
              <w:jc w:val="center"/>
              <w:rPr>
                <w:szCs w:val="28"/>
              </w:rPr>
            </w:pPr>
            <w:r w:rsidRPr="002A7446">
              <w:rPr>
                <w:szCs w:val="28"/>
              </w:rPr>
              <w:t>9</w:t>
            </w:r>
          </w:p>
        </w:tc>
        <w:tc>
          <w:tcPr>
            <w:tcW w:w="567" w:type="dxa"/>
          </w:tcPr>
          <w:p w14:paraId="0DD6F74A" w14:textId="77777777" w:rsidR="003E17BC" w:rsidRPr="002A7446" w:rsidRDefault="003E17BC" w:rsidP="003E17BC">
            <w:pPr>
              <w:jc w:val="center"/>
              <w:rPr>
                <w:szCs w:val="28"/>
              </w:rPr>
            </w:pPr>
            <w:r w:rsidRPr="002A7446">
              <w:rPr>
                <w:szCs w:val="28"/>
              </w:rPr>
              <w:t>11</w:t>
            </w:r>
          </w:p>
        </w:tc>
      </w:tr>
      <w:tr w:rsidR="002A7446" w:rsidRPr="002A7446" w14:paraId="120F7332" w14:textId="77777777" w:rsidTr="00E70AE0">
        <w:tc>
          <w:tcPr>
            <w:tcW w:w="1414" w:type="dxa"/>
          </w:tcPr>
          <w:p w14:paraId="5930C5D0" w14:textId="77777777" w:rsidR="003E17BC" w:rsidRPr="002A7446" w:rsidRDefault="003E17BC" w:rsidP="003E17BC">
            <w:pPr>
              <w:rPr>
                <w:b/>
              </w:rPr>
            </w:pPr>
            <w:r w:rsidRPr="002A7446">
              <w:rPr>
                <w:b/>
              </w:rPr>
              <w:t>IFN LS</w:t>
            </w:r>
          </w:p>
        </w:tc>
        <w:tc>
          <w:tcPr>
            <w:tcW w:w="1092" w:type="dxa"/>
            <w:shd w:val="clear" w:color="auto" w:fill="auto"/>
          </w:tcPr>
          <w:p w14:paraId="3F219DBF" w14:textId="77777777" w:rsidR="003E17BC" w:rsidRPr="002A7446" w:rsidRDefault="003E17BC" w:rsidP="003E17BC">
            <w:pPr>
              <w:jc w:val="center"/>
              <w:rPr>
                <w:szCs w:val="28"/>
              </w:rPr>
            </w:pPr>
            <w:r w:rsidRPr="002A7446">
              <w:rPr>
                <w:szCs w:val="28"/>
              </w:rPr>
              <w:t>11</w:t>
            </w:r>
          </w:p>
        </w:tc>
        <w:tc>
          <w:tcPr>
            <w:tcW w:w="1092" w:type="dxa"/>
            <w:shd w:val="clear" w:color="auto" w:fill="D9D9D9" w:themeFill="background1" w:themeFillShade="D9"/>
          </w:tcPr>
          <w:p w14:paraId="07AD726B" w14:textId="77777777" w:rsidR="003E17BC" w:rsidRPr="002A7446" w:rsidRDefault="003E17BC" w:rsidP="003E17BC">
            <w:pPr>
              <w:jc w:val="center"/>
              <w:rPr>
                <w:szCs w:val="28"/>
              </w:rPr>
            </w:pPr>
            <w:r w:rsidRPr="002A7446">
              <w:rPr>
                <w:szCs w:val="28"/>
              </w:rPr>
              <w:t>100</w:t>
            </w:r>
          </w:p>
        </w:tc>
        <w:tc>
          <w:tcPr>
            <w:tcW w:w="850" w:type="dxa"/>
            <w:shd w:val="clear" w:color="auto" w:fill="D9D9D9" w:themeFill="background1" w:themeFillShade="D9"/>
          </w:tcPr>
          <w:p w14:paraId="240B3808" w14:textId="77777777" w:rsidR="003E17BC" w:rsidRPr="002A7446" w:rsidRDefault="003E17BC" w:rsidP="003E17BC">
            <w:pPr>
              <w:jc w:val="center"/>
              <w:rPr>
                <w:szCs w:val="28"/>
              </w:rPr>
            </w:pPr>
            <w:r w:rsidRPr="002A7446">
              <w:rPr>
                <w:szCs w:val="28"/>
              </w:rPr>
              <w:t>71</w:t>
            </w:r>
            <w:r w:rsidRPr="002A7446">
              <w:rPr>
                <w:rFonts w:ascii="Cambria Math" w:hAnsi="Cambria Math"/>
                <w:szCs w:val="28"/>
              </w:rPr>
              <w:t>±</w:t>
            </w:r>
            <w:r w:rsidRPr="002A7446">
              <w:rPr>
                <w:szCs w:val="28"/>
              </w:rPr>
              <w:t>15</w:t>
            </w:r>
          </w:p>
        </w:tc>
        <w:tc>
          <w:tcPr>
            <w:tcW w:w="567" w:type="dxa"/>
          </w:tcPr>
          <w:p w14:paraId="5D71577B" w14:textId="77777777" w:rsidR="003E17BC" w:rsidRPr="002A7446" w:rsidRDefault="003E17BC" w:rsidP="003E17BC">
            <w:pPr>
              <w:jc w:val="center"/>
              <w:rPr>
                <w:szCs w:val="28"/>
              </w:rPr>
            </w:pPr>
            <w:r w:rsidRPr="002A7446">
              <w:rPr>
                <w:szCs w:val="28"/>
              </w:rPr>
              <w:t>5</w:t>
            </w:r>
          </w:p>
        </w:tc>
        <w:tc>
          <w:tcPr>
            <w:tcW w:w="567" w:type="dxa"/>
          </w:tcPr>
          <w:p w14:paraId="6035FBF3" w14:textId="77777777" w:rsidR="003E17BC" w:rsidRPr="002A7446" w:rsidRDefault="003E17BC" w:rsidP="003E17BC">
            <w:pPr>
              <w:jc w:val="center"/>
              <w:rPr>
                <w:szCs w:val="28"/>
              </w:rPr>
            </w:pPr>
            <w:r w:rsidRPr="002A7446">
              <w:rPr>
                <w:szCs w:val="28"/>
              </w:rPr>
              <w:t>6</w:t>
            </w:r>
          </w:p>
        </w:tc>
      </w:tr>
      <w:tr w:rsidR="002A7446" w:rsidRPr="002A7446" w14:paraId="4F0C3C87" w14:textId="77777777" w:rsidTr="00E70AE0">
        <w:tc>
          <w:tcPr>
            <w:tcW w:w="1414" w:type="dxa"/>
          </w:tcPr>
          <w:p w14:paraId="75C2F770" w14:textId="77777777" w:rsidR="003E17BC" w:rsidRPr="002A7446" w:rsidRDefault="003E17BC" w:rsidP="003E17BC">
            <w:pPr>
              <w:rPr>
                <w:b/>
              </w:rPr>
            </w:pPr>
            <w:r w:rsidRPr="002A7446">
              <w:rPr>
                <w:b/>
              </w:rPr>
              <w:t>IFN HS</w:t>
            </w:r>
          </w:p>
        </w:tc>
        <w:tc>
          <w:tcPr>
            <w:tcW w:w="1092" w:type="dxa"/>
            <w:shd w:val="clear" w:color="auto" w:fill="auto"/>
          </w:tcPr>
          <w:p w14:paraId="539B7F51" w14:textId="77777777" w:rsidR="003E17BC" w:rsidRPr="002A7446" w:rsidRDefault="003E17BC" w:rsidP="003E17BC">
            <w:pPr>
              <w:jc w:val="center"/>
              <w:rPr>
                <w:szCs w:val="28"/>
              </w:rPr>
            </w:pPr>
            <w:r w:rsidRPr="002A7446">
              <w:rPr>
                <w:szCs w:val="28"/>
              </w:rPr>
              <w:t>21</w:t>
            </w:r>
          </w:p>
        </w:tc>
        <w:tc>
          <w:tcPr>
            <w:tcW w:w="1092" w:type="dxa"/>
            <w:shd w:val="clear" w:color="auto" w:fill="D99594" w:themeFill="accent2" w:themeFillTint="99"/>
          </w:tcPr>
          <w:p w14:paraId="0F703B8B" w14:textId="77777777" w:rsidR="003E17BC" w:rsidRPr="002A7446" w:rsidRDefault="003E17BC" w:rsidP="003E17BC">
            <w:pPr>
              <w:jc w:val="center"/>
              <w:rPr>
                <w:szCs w:val="28"/>
              </w:rPr>
            </w:pPr>
            <w:r w:rsidRPr="002A7446">
              <w:rPr>
                <w:szCs w:val="28"/>
              </w:rPr>
              <w:t>62</w:t>
            </w:r>
          </w:p>
        </w:tc>
        <w:tc>
          <w:tcPr>
            <w:tcW w:w="850" w:type="dxa"/>
          </w:tcPr>
          <w:p w14:paraId="5FA8F34C" w14:textId="77777777" w:rsidR="003E17BC" w:rsidRPr="002A7446" w:rsidRDefault="003E17BC" w:rsidP="003E17BC">
            <w:pPr>
              <w:jc w:val="center"/>
              <w:rPr>
                <w:szCs w:val="28"/>
              </w:rPr>
            </w:pPr>
            <w:r w:rsidRPr="002A7446">
              <w:rPr>
                <w:szCs w:val="28"/>
              </w:rPr>
              <w:t>58</w:t>
            </w:r>
            <w:r w:rsidRPr="002A7446">
              <w:rPr>
                <w:rFonts w:ascii="Cambria Math" w:hAnsi="Cambria Math"/>
                <w:szCs w:val="28"/>
              </w:rPr>
              <w:t>±</w:t>
            </w:r>
            <w:r w:rsidRPr="002A7446">
              <w:rPr>
                <w:szCs w:val="28"/>
              </w:rPr>
              <w:t>19</w:t>
            </w:r>
          </w:p>
        </w:tc>
        <w:tc>
          <w:tcPr>
            <w:tcW w:w="567" w:type="dxa"/>
          </w:tcPr>
          <w:p w14:paraId="6F8AA677" w14:textId="77777777" w:rsidR="003E17BC" w:rsidRPr="002A7446" w:rsidRDefault="003E17BC" w:rsidP="003E17BC">
            <w:pPr>
              <w:jc w:val="center"/>
              <w:rPr>
                <w:szCs w:val="28"/>
              </w:rPr>
            </w:pPr>
            <w:r w:rsidRPr="002A7446">
              <w:rPr>
                <w:szCs w:val="28"/>
              </w:rPr>
              <w:t>13</w:t>
            </w:r>
          </w:p>
        </w:tc>
        <w:tc>
          <w:tcPr>
            <w:tcW w:w="567" w:type="dxa"/>
          </w:tcPr>
          <w:p w14:paraId="352106BC" w14:textId="77777777" w:rsidR="003E17BC" w:rsidRPr="002A7446" w:rsidRDefault="003E17BC" w:rsidP="003E17BC">
            <w:pPr>
              <w:jc w:val="center"/>
              <w:rPr>
                <w:szCs w:val="28"/>
              </w:rPr>
            </w:pPr>
            <w:r w:rsidRPr="002A7446">
              <w:rPr>
                <w:szCs w:val="28"/>
              </w:rPr>
              <w:t>8</w:t>
            </w:r>
          </w:p>
        </w:tc>
      </w:tr>
    </w:tbl>
    <w:p w14:paraId="237AE5E7" w14:textId="77777777" w:rsidR="003E17BC" w:rsidRPr="002A7446" w:rsidRDefault="003E17BC" w:rsidP="003E17BC"/>
    <w:p w14:paraId="3CD2A71C" w14:textId="77777777" w:rsidR="003E17BC" w:rsidRPr="002A7446" w:rsidRDefault="00E70AE0" w:rsidP="003E17BC">
      <w:pPr>
        <w:spacing w:before="0" w:after="0"/>
      </w:pPr>
      <w:r w:rsidRPr="002A7446">
        <w:rPr>
          <w:b/>
        </w:rPr>
        <w:t>e</w:t>
      </w:r>
      <w:r w:rsidR="003E17BC" w:rsidRPr="002A7446">
        <w:rPr>
          <w:b/>
        </w:rPr>
        <w:t xml:space="preserve">nrichment analysis (red arrays: </w:t>
      </w:r>
      <w:r w:rsidR="003E17BC" w:rsidRPr="002A7446">
        <w:rPr>
          <w:b/>
          <w:i/>
        </w:rPr>
        <w:t>p</w:t>
      </w:r>
      <w:r w:rsidR="003E17BC" w:rsidRPr="002A7446">
        <w:rPr>
          <w:b/>
        </w:rPr>
        <w:t xml:space="preserve"> &lt; 0.05, grey arrays: 0.05 &lt;</w:t>
      </w:r>
      <w:r w:rsidR="003E17BC" w:rsidRPr="002A7446">
        <w:rPr>
          <w:b/>
          <w:i/>
        </w:rPr>
        <w:t xml:space="preserve"> p</w:t>
      </w:r>
      <w:r w:rsidR="003E17BC" w:rsidRPr="002A7446">
        <w:rPr>
          <w:b/>
        </w:rPr>
        <w:t xml:space="preserve"> &lt; 0.1)</w:t>
      </w:r>
      <w:r w:rsidR="003E17BC" w:rsidRPr="002A7446">
        <w:t>:</w:t>
      </w:r>
    </w:p>
    <w:p w14:paraId="7861AEFE" w14:textId="77777777" w:rsidR="003E17BC" w:rsidRPr="002A7446" w:rsidRDefault="003E17BC" w:rsidP="003E17BC">
      <w:pPr>
        <w:spacing w:before="0" w:after="0"/>
      </w:pPr>
      <w:r w:rsidRPr="002A7446">
        <w:rPr>
          <w:vertAlign w:val="superscript"/>
        </w:rPr>
        <w:t>a</w:t>
      </w:r>
      <w:r w:rsidRPr="002A7446">
        <w:tab/>
        <w:t xml:space="preserve">survival and age: two-sided Wilcoxon test </w:t>
      </w:r>
    </w:p>
    <w:p w14:paraId="56832D99" w14:textId="77777777" w:rsidR="003E17BC" w:rsidRPr="002A7446" w:rsidRDefault="003E17BC" w:rsidP="003E17BC">
      <w:pPr>
        <w:spacing w:before="0" w:after="0"/>
      </w:pPr>
      <w:r w:rsidRPr="002A7446">
        <w:rPr>
          <w:vertAlign w:val="superscript"/>
        </w:rPr>
        <w:t>b</w:t>
      </w:r>
      <w:r w:rsidRPr="002A7446">
        <w:tab/>
        <w:t xml:space="preserve">sex (f/m…female/male): Fisher’s exact test </w:t>
      </w:r>
    </w:p>
    <w:p w14:paraId="01793302" w14:textId="77777777" w:rsidR="00FB4477" w:rsidRPr="002A7446" w:rsidRDefault="00FB4477" w:rsidP="00941F08">
      <w:pPr>
        <w:rPr>
          <w:highlight w:val="green"/>
        </w:rPr>
      </w:pPr>
    </w:p>
    <w:p w14:paraId="21A680D6" w14:textId="77777777" w:rsidR="00FB4477" w:rsidRPr="002A7446" w:rsidRDefault="00FB4477" w:rsidP="00941F08">
      <w:pPr>
        <w:rPr>
          <w:highlight w:val="cyan"/>
        </w:rPr>
      </w:pPr>
    </w:p>
    <w:p w14:paraId="0BA9528F" w14:textId="4EFBCE6C" w:rsidR="000E148D" w:rsidRPr="002A7446" w:rsidRDefault="00941F08" w:rsidP="00FB4477">
      <w:pPr>
        <w:pStyle w:val="Beschriftung"/>
      </w:pPr>
      <w:bookmarkStart w:id="24" w:name="_Ref512062763"/>
      <w:r w:rsidRPr="002A7446">
        <w:t xml:space="preserve">Table S </w:t>
      </w:r>
      <w:r w:rsidR="00683C02" w:rsidRPr="002A7446">
        <w:rPr>
          <w:noProof/>
        </w:rPr>
        <w:t>4</w:t>
      </w:r>
      <w:bookmarkEnd w:id="24"/>
      <w:r w:rsidRPr="002A7446">
        <w:t>: S</w:t>
      </w:r>
      <w:r w:rsidR="005D54E6" w:rsidRPr="002A7446">
        <w:t>t</w:t>
      </w:r>
      <w:r w:rsidRPr="002A7446">
        <w:t xml:space="preserve">ratification of the 28-days survival rate and of the number of samples </w:t>
      </w:r>
      <w:r w:rsidR="004D68E4" w:rsidRPr="002A7446">
        <w:t>of the</w:t>
      </w:r>
      <w:r w:rsidRPr="002A7446">
        <w:t xml:space="preserve"> novel CAP groups </w:t>
      </w:r>
      <w:r w:rsidR="004D68E4" w:rsidRPr="002A7446">
        <w:t>with respect to the discovery and validation cohorts</w:t>
      </w:r>
      <w:r w:rsidR="00FB4477" w:rsidRPr="002A7446">
        <w:t>.</w:t>
      </w:r>
    </w:p>
    <w:p w14:paraId="79D0FB7E" w14:textId="77777777" w:rsidR="00FB4477" w:rsidRPr="002A7446" w:rsidRDefault="00FB4477" w:rsidP="00FB4477">
      <w:pPr>
        <w:pStyle w:val="KeinLeerraum"/>
      </w:pPr>
    </w:p>
    <w:tbl>
      <w:tblPr>
        <w:tblStyle w:val="Tabellenraster"/>
        <w:tblW w:w="0" w:type="auto"/>
        <w:tblLook w:val="04A0" w:firstRow="1" w:lastRow="0" w:firstColumn="1" w:lastColumn="0" w:noHBand="0" w:noVBand="1"/>
      </w:tblPr>
      <w:tblGrid>
        <w:gridCol w:w="1953"/>
        <w:gridCol w:w="1953"/>
        <w:gridCol w:w="1953"/>
        <w:gridCol w:w="1954"/>
        <w:gridCol w:w="1954"/>
      </w:tblGrid>
      <w:tr w:rsidR="002A7446" w:rsidRPr="002A7446" w14:paraId="31EB712C" w14:textId="77777777" w:rsidTr="006A3561">
        <w:tc>
          <w:tcPr>
            <w:tcW w:w="1953" w:type="dxa"/>
          </w:tcPr>
          <w:p w14:paraId="614D1A87" w14:textId="77777777" w:rsidR="000E148D" w:rsidRPr="002A7446" w:rsidRDefault="000E148D" w:rsidP="000427F6">
            <w:pPr>
              <w:rPr>
                <w:b/>
              </w:rPr>
            </w:pPr>
            <w:r w:rsidRPr="002A7446">
              <w:rPr>
                <w:b/>
              </w:rPr>
              <w:t>Cohort</w:t>
            </w:r>
          </w:p>
        </w:tc>
        <w:tc>
          <w:tcPr>
            <w:tcW w:w="3906" w:type="dxa"/>
            <w:gridSpan w:val="2"/>
          </w:tcPr>
          <w:p w14:paraId="65FF981D" w14:textId="77777777" w:rsidR="000E148D" w:rsidRPr="002A7446" w:rsidRDefault="000E148D" w:rsidP="000E148D">
            <w:pPr>
              <w:jc w:val="center"/>
              <w:rPr>
                <w:b/>
              </w:rPr>
            </w:pPr>
            <w:r w:rsidRPr="002A7446">
              <w:rPr>
                <w:b/>
              </w:rPr>
              <w:t>Discovery</w:t>
            </w:r>
          </w:p>
        </w:tc>
        <w:tc>
          <w:tcPr>
            <w:tcW w:w="3908" w:type="dxa"/>
            <w:gridSpan w:val="2"/>
          </w:tcPr>
          <w:p w14:paraId="197B8008" w14:textId="77777777" w:rsidR="000E148D" w:rsidRPr="002A7446" w:rsidRDefault="000E148D" w:rsidP="000E148D">
            <w:pPr>
              <w:jc w:val="center"/>
              <w:rPr>
                <w:b/>
              </w:rPr>
            </w:pPr>
            <w:r w:rsidRPr="002A7446">
              <w:rPr>
                <w:b/>
              </w:rPr>
              <w:t>Validation</w:t>
            </w:r>
          </w:p>
        </w:tc>
      </w:tr>
      <w:tr w:rsidR="002A7446" w:rsidRPr="002A7446" w14:paraId="5395BE35" w14:textId="77777777" w:rsidTr="00495386">
        <w:tc>
          <w:tcPr>
            <w:tcW w:w="1953" w:type="dxa"/>
          </w:tcPr>
          <w:p w14:paraId="30617CA7" w14:textId="77777777" w:rsidR="00495386" w:rsidRPr="002A7446" w:rsidRDefault="00941F08" w:rsidP="000427F6">
            <w:pPr>
              <w:rPr>
                <w:b/>
              </w:rPr>
            </w:pPr>
            <w:r w:rsidRPr="002A7446">
              <w:rPr>
                <w:b/>
              </w:rPr>
              <w:t>group</w:t>
            </w:r>
          </w:p>
        </w:tc>
        <w:tc>
          <w:tcPr>
            <w:tcW w:w="1953" w:type="dxa"/>
          </w:tcPr>
          <w:p w14:paraId="26F7DA14" w14:textId="77777777" w:rsidR="00495386" w:rsidRPr="002A7446" w:rsidRDefault="000E148D" w:rsidP="000E148D">
            <w:pPr>
              <w:jc w:val="center"/>
              <w:rPr>
                <w:b/>
                <w:sz w:val="28"/>
                <w:szCs w:val="28"/>
              </w:rPr>
            </w:pPr>
            <w:r w:rsidRPr="002A7446">
              <w:rPr>
                <w:b/>
                <w:sz w:val="28"/>
                <w:szCs w:val="28"/>
              </w:rPr>
              <w:t xml:space="preserve">28-days survival, </w:t>
            </w:r>
            <w:r w:rsidR="00495386" w:rsidRPr="002A7446">
              <w:rPr>
                <w:b/>
                <w:sz w:val="28"/>
                <w:szCs w:val="28"/>
              </w:rPr>
              <w:t>%</w:t>
            </w:r>
          </w:p>
        </w:tc>
        <w:tc>
          <w:tcPr>
            <w:tcW w:w="1953" w:type="dxa"/>
          </w:tcPr>
          <w:p w14:paraId="0D75E8B7" w14:textId="77777777" w:rsidR="00495386" w:rsidRPr="002A7446" w:rsidRDefault="000E148D" w:rsidP="000E148D">
            <w:pPr>
              <w:jc w:val="center"/>
              <w:rPr>
                <w:sz w:val="28"/>
                <w:szCs w:val="28"/>
              </w:rPr>
            </w:pPr>
            <w:r w:rsidRPr="002A7446">
              <w:rPr>
                <w:sz w:val="28"/>
                <w:szCs w:val="28"/>
              </w:rPr>
              <w:t>Number of samples</w:t>
            </w:r>
          </w:p>
        </w:tc>
        <w:tc>
          <w:tcPr>
            <w:tcW w:w="1954" w:type="dxa"/>
          </w:tcPr>
          <w:p w14:paraId="7F6D77D6" w14:textId="77777777" w:rsidR="00495386" w:rsidRPr="002A7446" w:rsidRDefault="000E148D" w:rsidP="000E148D">
            <w:pPr>
              <w:jc w:val="center"/>
              <w:rPr>
                <w:b/>
                <w:sz w:val="28"/>
                <w:szCs w:val="28"/>
              </w:rPr>
            </w:pPr>
            <w:r w:rsidRPr="002A7446">
              <w:rPr>
                <w:b/>
                <w:sz w:val="28"/>
                <w:szCs w:val="28"/>
              </w:rPr>
              <w:t xml:space="preserve">28-days survival, </w:t>
            </w:r>
            <w:r w:rsidR="00495386" w:rsidRPr="002A7446">
              <w:rPr>
                <w:b/>
                <w:sz w:val="28"/>
                <w:szCs w:val="28"/>
              </w:rPr>
              <w:t>%</w:t>
            </w:r>
          </w:p>
        </w:tc>
        <w:tc>
          <w:tcPr>
            <w:tcW w:w="1954" w:type="dxa"/>
          </w:tcPr>
          <w:p w14:paraId="259B5843" w14:textId="77777777" w:rsidR="00495386" w:rsidRPr="002A7446" w:rsidRDefault="00495386" w:rsidP="000E148D">
            <w:pPr>
              <w:jc w:val="center"/>
              <w:rPr>
                <w:sz w:val="28"/>
                <w:szCs w:val="28"/>
              </w:rPr>
            </w:pPr>
            <w:r w:rsidRPr="002A7446">
              <w:rPr>
                <w:sz w:val="28"/>
                <w:szCs w:val="28"/>
              </w:rPr>
              <w:t>N</w:t>
            </w:r>
            <w:r w:rsidR="000E148D" w:rsidRPr="002A7446">
              <w:rPr>
                <w:sz w:val="28"/>
                <w:szCs w:val="28"/>
              </w:rPr>
              <w:t>umber of samples</w:t>
            </w:r>
          </w:p>
        </w:tc>
      </w:tr>
      <w:tr w:rsidR="002A7446" w:rsidRPr="002A7446" w14:paraId="53D4AAF4" w14:textId="77777777" w:rsidTr="00495386">
        <w:tc>
          <w:tcPr>
            <w:tcW w:w="1953" w:type="dxa"/>
          </w:tcPr>
          <w:p w14:paraId="32AED61D" w14:textId="77777777" w:rsidR="00495386" w:rsidRPr="002A7446" w:rsidRDefault="00495386" w:rsidP="000427F6">
            <w:pPr>
              <w:rPr>
                <w:b/>
              </w:rPr>
            </w:pPr>
            <w:r w:rsidRPr="002A7446">
              <w:rPr>
                <w:b/>
              </w:rPr>
              <w:t>Low severity LS</w:t>
            </w:r>
          </w:p>
        </w:tc>
        <w:tc>
          <w:tcPr>
            <w:tcW w:w="1953" w:type="dxa"/>
          </w:tcPr>
          <w:p w14:paraId="7858EEB9" w14:textId="77777777" w:rsidR="00495386" w:rsidRPr="002A7446" w:rsidRDefault="00495386" w:rsidP="000E148D">
            <w:pPr>
              <w:jc w:val="center"/>
              <w:rPr>
                <w:b/>
                <w:sz w:val="28"/>
                <w:szCs w:val="28"/>
              </w:rPr>
            </w:pPr>
            <w:r w:rsidRPr="002A7446">
              <w:rPr>
                <w:b/>
                <w:sz w:val="28"/>
                <w:szCs w:val="28"/>
              </w:rPr>
              <w:t>87</w:t>
            </w:r>
          </w:p>
        </w:tc>
        <w:tc>
          <w:tcPr>
            <w:tcW w:w="1953" w:type="dxa"/>
          </w:tcPr>
          <w:p w14:paraId="06CB2765" w14:textId="77777777" w:rsidR="00495386" w:rsidRPr="002A7446" w:rsidRDefault="000E148D" w:rsidP="000E148D">
            <w:pPr>
              <w:jc w:val="center"/>
              <w:rPr>
                <w:sz w:val="28"/>
                <w:szCs w:val="28"/>
              </w:rPr>
            </w:pPr>
            <w:r w:rsidRPr="002A7446">
              <w:rPr>
                <w:sz w:val="28"/>
                <w:szCs w:val="28"/>
              </w:rPr>
              <w:t>39</w:t>
            </w:r>
          </w:p>
        </w:tc>
        <w:tc>
          <w:tcPr>
            <w:tcW w:w="1954" w:type="dxa"/>
          </w:tcPr>
          <w:p w14:paraId="3AB30EA8" w14:textId="77777777" w:rsidR="00495386" w:rsidRPr="002A7446" w:rsidRDefault="000E148D" w:rsidP="000E148D">
            <w:pPr>
              <w:jc w:val="center"/>
              <w:rPr>
                <w:b/>
                <w:sz w:val="28"/>
                <w:szCs w:val="28"/>
              </w:rPr>
            </w:pPr>
            <w:r w:rsidRPr="002A7446">
              <w:rPr>
                <w:b/>
                <w:sz w:val="28"/>
                <w:szCs w:val="28"/>
              </w:rPr>
              <w:t>100</w:t>
            </w:r>
          </w:p>
        </w:tc>
        <w:tc>
          <w:tcPr>
            <w:tcW w:w="1954" w:type="dxa"/>
          </w:tcPr>
          <w:p w14:paraId="02460905" w14:textId="77777777" w:rsidR="00495386" w:rsidRPr="002A7446" w:rsidRDefault="000E148D" w:rsidP="000E148D">
            <w:pPr>
              <w:jc w:val="center"/>
              <w:rPr>
                <w:sz w:val="28"/>
                <w:szCs w:val="28"/>
              </w:rPr>
            </w:pPr>
            <w:r w:rsidRPr="002A7446">
              <w:rPr>
                <w:sz w:val="28"/>
                <w:szCs w:val="28"/>
              </w:rPr>
              <w:t>7</w:t>
            </w:r>
          </w:p>
        </w:tc>
      </w:tr>
      <w:tr w:rsidR="002A7446" w:rsidRPr="002A7446" w14:paraId="01080C41" w14:textId="77777777" w:rsidTr="00495386">
        <w:tc>
          <w:tcPr>
            <w:tcW w:w="1953" w:type="dxa"/>
          </w:tcPr>
          <w:p w14:paraId="20AF3DF1" w14:textId="77777777" w:rsidR="00495386" w:rsidRPr="002A7446" w:rsidRDefault="00495386" w:rsidP="000427F6">
            <w:pPr>
              <w:rPr>
                <w:b/>
              </w:rPr>
            </w:pPr>
            <w:r w:rsidRPr="002A7446">
              <w:rPr>
                <w:b/>
              </w:rPr>
              <w:t>Medium severity MS</w:t>
            </w:r>
          </w:p>
        </w:tc>
        <w:tc>
          <w:tcPr>
            <w:tcW w:w="1953" w:type="dxa"/>
          </w:tcPr>
          <w:p w14:paraId="7DE81539" w14:textId="77777777" w:rsidR="00495386" w:rsidRPr="002A7446" w:rsidRDefault="00495386" w:rsidP="000E148D">
            <w:pPr>
              <w:jc w:val="center"/>
              <w:rPr>
                <w:b/>
                <w:sz w:val="28"/>
                <w:szCs w:val="28"/>
              </w:rPr>
            </w:pPr>
            <w:r w:rsidRPr="002A7446">
              <w:rPr>
                <w:b/>
                <w:sz w:val="28"/>
                <w:szCs w:val="28"/>
              </w:rPr>
              <w:t>56</w:t>
            </w:r>
          </w:p>
        </w:tc>
        <w:tc>
          <w:tcPr>
            <w:tcW w:w="1953" w:type="dxa"/>
          </w:tcPr>
          <w:p w14:paraId="4B832145" w14:textId="77777777" w:rsidR="00495386" w:rsidRPr="002A7446" w:rsidRDefault="000E148D" w:rsidP="000E148D">
            <w:pPr>
              <w:jc w:val="center"/>
              <w:rPr>
                <w:sz w:val="28"/>
                <w:szCs w:val="28"/>
              </w:rPr>
            </w:pPr>
            <w:r w:rsidRPr="002A7446">
              <w:rPr>
                <w:sz w:val="28"/>
                <w:szCs w:val="28"/>
              </w:rPr>
              <w:t>9</w:t>
            </w:r>
          </w:p>
        </w:tc>
        <w:tc>
          <w:tcPr>
            <w:tcW w:w="1954" w:type="dxa"/>
          </w:tcPr>
          <w:p w14:paraId="00A02DC2" w14:textId="77777777" w:rsidR="00495386" w:rsidRPr="002A7446" w:rsidRDefault="000E148D" w:rsidP="000E148D">
            <w:pPr>
              <w:jc w:val="center"/>
              <w:rPr>
                <w:b/>
                <w:sz w:val="28"/>
                <w:szCs w:val="28"/>
              </w:rPr>
            </w:pPr>
            <w:r w:rsidRPr="002A7446">
              <w:rPr>
                <w:b/>
                <w:sz w:val="28"/>
                <w:szCs w:val="28"/>
              </w:rPr>
              <w:t>93</w:t>
            </w:r>
          </w:p>
        </w:tc>
        <w:tc>
          <w:tcPr>
            <w:tcW w:w="1954" w:type="dxa"/>
          </w:tcPr>
          <w:p w14:paraId="1C082F37" w14:textId="77777777" w:rsidR="00495386" w:rsidRPr="002A7446" w:rsidRDefault="000E148D" w:rsidP="000E148D">
            <w:pPr>
              <w:jc w:val="center"/>
              <w:rPr>
                <w:sz w:val="28"/>
                <w:szCs w:val="28"/>
              </w:rPr>
            </w:pPr>
            <w:r w:rsidRPr="002A7446">
              <w:rPr>
                <w:sz w:val="28"/>
                <w:szCs w:val="28"/>
              </w:rPr>
              <w:t>14</w:t>
            </w:r>
          </w:p>
        </w:tc>
      </w:tr>
      <w:tr w:rsidR="002A7446" w:rsidRPr="002A7446" w14:paraId="684B36E3" w14:textId="77777777" w:rsidTr="00495386">
        <w:tc>
          <w:tcPr>
            <w:tcW w:w="1953" w:type="dxa"/>
          </w:tcPr>
          <w:p w14:paraId="2CCACC3B" w14:textId="77777777" w:rsidR="00495386" w:rsidRPr="002A7446" w:rsidRDefault="00495386" w:rsidP="000427F6">
            <w:pPr>
              <w:rPr>
                <w:b/>
              </w:rPr>
            </w:pPr>
            <w:r w:rsidRPr="002A7446">
              <w:rPr>
                <w:b/>
              </w:rPr>
              <w:t>High severity HS</w:t>
            </w:r>
          </w:p>
        </w:tc>
        <w:tc>
          <w:tcPr>
            <w:tcW w:w="1953" w:type="dxa"/>
          </w:tcPr>
          <w:p w14:paraId="7B09AE83" w14:textId="77777777" w:rsidR="00495386" w:rsidRPr="002A7446" w:rsidRDefault="00495386" w:rsidP="000E148D">
            <w:pPr>
              <w:jc w:val="center"/>
              <w:rPr>
                <w:b/>
                <w:sz w:val="28"/>
                <w:szCs w:val="28"/>
              </w:rPr>
            </w:pPr>
            <w:r w:rsidRPr="002A7446">
              <w:rPr>
                <w:b/>
                <w:sz w:val="28"/>
                <w:szCs w:val="28"/>
              </w:rPr>
              <w:t>69</w:t>
            </w:r>
          </w:p>
        </w:tc>
        <w:tc>
          <w:tcPr>
            <w:tcW w:w="1953" w:type="dxa"/>
          </w:tcPr>
          <w:p w14:paraId="3D78D8B1" w14:textId="77777777" w:rsidR="00495386" w:rsidRPr="002A7446" w:rsidRDefault="000E148D" w:rsidP="000E148D">
            <w:pPr>
              <w:jc w:val="center"/>
              <w:rPr>
                <w:sz w:val="28"/>
                <w:szCs w:val="28"/>
              </w:rPr>
            </w:pPr>
            <w:r w:rsidRPr="002A7446">
              <w:rPr>
                <w:sz w:val="28"/>
                <w:szCs w:val="28"/>
              </w:rPr>
              <w:t>39</w:t>
            </w:r>
          </w:p>
        </w:tc>
        <w:tc>
          <w:tcPr>
            <w:tcW w:w="1954" w:type="dxa"/>
          </w:tcPr>
          <w:p w14:paraId="601DD6F0" w14:textId="77777777" w:rsidR="00495386" w:rsidRPr="002A7446" w:rsidRDefault="000E148D" w:rsidP="000E148D">
            <w:pPr>
              <w:jc w:val="center"/>
              <w:rPr>
                <w:b/>
                <w:sz w:val="28"/>
                <w:szCs w:val="28"/>
              </w:rPr>
            </w:pPr>
            <w:r w:rsidRPr="002A7446">
              <w:rPr>
                <w:b/>
                <w:sz w:val="28"/>
                <w:szCs w:val="28"/>
              </w:rPr>
              <w:t>90</w:t>
            </w:r>
          </w:p>
        </w:tc>
        <w:tc>
          <w:tcPr>
            <w:tcW w:w="1954" w:type="dxa"/>
          </w:tcPr>
          <w:p w14:paraId="73CBB0D1" w14:textId="77777777" w:rsidR="00495386" w:rsidRPr="002A7446" w:rsidRDefault="000E148D" w:rsidP="000E148D">
            <w:pPr>
              <w:jc w:val="center"/>
              <w:rPr>
                <w:sz w:val="28"/>
                <w:szCs w:val="28"/>
              </w:rPr>
            </w:pPr>
            <w:r w:rsidRPr="002A7446">
              <w:rPr>
                <w:sz w:val="28"/>
                <w:szCs w:val="28"/>
              </w:rPr>
              <w:t>20</w:t>
            </w:r>
          </w:p>
        </w:tc>
      </w:tr>
      <w:tr w:rsidR="002A7446" w:rsidRPr="002A7446" w14:paraId="5249F935" w14:textId="77777777" w:rsidTr="00495386">
        <w:tc>
          <w:tcPr>
            <w:tcW w:w="1953" w:type="dxa"/>
          </w:tcPr>
          <w:p w14:paraId="28859123" w14:textId="77777777" w:rsidR="00495386" w:rsidRPr="002A7446" w:rsidRDefault="00495386" w:rsidP="000427F6">
            <w:pPr>
              <w:rPr>
                <w:b/>
              </w:rPr>
            </w:pPr>
            <w:r w:rsidRPr="002A7446">
              <w:rPr>
                <w:b/>
              </w:rPr>
              <w:t>Blood disturbances BD</w:t>
            </w:r>
          </w:p>
        </w:tc>
        <w:tc>
          <w:tcPr>
            <w:tcW w:w="1953" w:type="dxa"/>
          </w:tcPr>
          <w:p w14:paraId="271DAA0F" w14:textId="77777777" w:rsidR="00495386" w:rsidRPr="002A7446" w:rsidRDefault="00495386" w:rsidP="000E148D">
            <w:pPr>
              <w:jc w:val="center"/>
              <w:rPr>
                <w:b/>
                <w:sz w:val="28"/>
                <w:szCs w:val="28"/>
              </w:rPr>
            </w:pPr>
            <w:r w:rsidRPr="002A7446">
              <w:rPr>
                <w:b/>
                <w:sz w:val="28"/>
                <w:szCs w:val="28"/>
              </w:rPr>
              <w:t>80</w:t>
            </w:r>
          </w:p>
        </w:tc>
        <w:tc>
          <w:tcPr>
            <w:tcW w:w="1953" w:type="dxa"/>
          </w:tcPr>
          <w:p w14:paraId="3811B9B9" w14:textId="77777777" w:rsidR="00495386" w:rsidRPr="002A7446" w:rsidRDefault="000E148D" w:rsidP="000E148D">
            <w:pPr>
              <w:jc w:val="center"/>
              <w:rPr>
                <w:sz w:val="28"/>
                <w:szCs w:val="28"/>
              </w:rPr>
            </w:pPr>
            <w:r w:rsidRPr="002A7446">
              <w:rPr>
                <w:sz w:val="28"/>
                <w:szCs w:val="28"/>
              </w:rPr>
              <w:t>15</w:t>
            </w:r>
          </w:p>
        </w:tc>
        <w:tc>
          <w:tcPr>
            <w:tcW w:w="1954" w:type="dxa"/>
          </w:tcPr>
          <w:p w14:paraId="1B0EB17F" w14:textId="77777777" w:rsidR="00495386" w:rsidRPr="002A7446" w:rsidRDefault="000E148D" w:rsidP="000E148D">
            <w:pPr>
              <w:jc w:val="center"/>
              <w:rPr>
                <w:b/>
                <w:sz w:val="28"/>
                <w:szCs w:val="28"/>
              </w:rPr>
            </w:pPr>
            <w:r w:rsidRPr="002A7446">
              <w:rPr>
                <w:b/>
                <w:sz w:val="28"/>
                <w:szCs w:val="28"/>
              </w:rPr>
              <w:t>80</w:t>
            </w:r>
          </w:p>
        </w:tc>
        <w:tc>
          <w:tcPr>
            <w:tcW w:w="1954" w:type="dxa"/>
          </w:tcPr>
          <w:p w14:paraId="1DBC0CF6" w14:textId="77777777" w:rsidR="00495386" w:rsidRPr="002A7446" w:rsidRDefault="000E148D" w:rsidP="000E148D">
            <w:pPr>
              <w:jc w:val="center"/>
              <w:rPr>
                <w:sz w:val="28"/>
                <w:szCs w:val="28"/>
              </w:rPr>
            </w:pPr>
            <w:r w:rsidRPr="002A7446">
              <w:rPr>
                <w:sz w:val="28"/>
                <w:szCs w:val="28"/>
              </w:rPr>
              <w:t>5</w:t>
            </w:r>
          </w:p>
        </w:tc>
      </w:tr>
      <w:tr w:rsidR="002A7446" w:rsidRPr="002A7446" w14:paraId="4CAB233B" w14:textId="77777777" w:rsidTr="00495386">
        <w:tc>
          <w:tcPr>
            <w:tcW w:w="1953" w:type="dxa"/>
          </w:tcPr>
          <w:p w14:paraId="7AEA36CC" w14:textId="77777777" w:rsidR="00495386" w:rsidRPr="002A7446" w:rsidRDefault="00495386" w:rsidP="000427F6">
            <w:pPr>
              <w:rPr>
                <w:b/>
              </w:rPr>
            </w:pPr>
            <w:r w:rsidRPr="002A7446">
              <w:rPr>
                <w:b/>
              </w:rPr>
              <w:t>IFN LS</w:t>
            </w:r>
          </w:p>
        </w:tc>
        <w:tc>
          <w:tcPr>
            <w:tcW w:w="1953" w:type="dxa"/>
          </w:tcPr>
          <w:p w14:paraId="06453A6E" w14:textId="77777777" w:rsidR="00495386" w:rsidRPr="002A7446" w:rsidRDefault="000E148D" w:rsidP="000E148D">
            <w:pPr>
              <w:jc w:val="center"/>
              <w:rPr>
                <w:b/>
                <w:sz w:val="28"/>
                <w:szCs w:val="28"/>
              </w:rPr>
            </w:pPr>
            <w:r w:rsidRPr="002A7446">
              <w:rPr>
                <w:b/>
                <w:sz w:val="28"/>
                <w:szCs w:val="28"/>
              </w:rPr>
              <w:t>100</w:t>
            </w:r>
          </w:p>
        </w:tc>
        <w:tc>
          <w:tcPr>
            <w:tcW w:w="1953" w:type="dxa"/>
          </w:tcPr>
          <w:p w14:paraId="28DF4D6D" w14:textId="77777777" w:rsidR="00495386" w:rsidRPr="002A7446" w:rsidRDefault="000E148D" w:rsidP="000E148D">
            <w:pPr>
              <w:jc w:val="center"/>
              <w:rPr>
                <w:sz w:val="28"/>
                <w:szCs w:val="28"/>
              </w:rPr>
            </w:pPr>
            <w:r w:rsidRPr="002A7446">
              <w:rPr>
                <w:sz w:val="28"/>
                <w:szCs w:val="28"/>
              </w:rPr>
              <w:t>10</w:t>
            </w:r>
          </w:p>
        </w:tc>
        <w:tc>
          <w:tcPr>
            <w:tcW w:w="1954" w:type="dxa"/>
          </w:tcPr>
          <w:p w14:paraId="19AA22AB" w14:textId="77777777" w:rsidR="00495386" w:rsidRPr="002A7446" w:rsidRDefault="000E148D" w:rsidP="000E148D">
            <w:pPr>
              <w:jc w:val="center"/>
              <w:rPr>
                <w:b/>
                <w:sz w:val="28"/>
                <w:szCs w:val="28"/>
              </w:rPr>
            </w:pPr>
            <w:r w:rsidRPr="002A7446">
              <w:rPr>
                <w:b/>
                <w:sz w:val="28"/>
                <w:szCs w:val="28"/>
              </w:rPr>
              <w:t>100</w:t>
            </w:r>
          </w:p>
        </w:tc>
        <w:tc>
          <w:tcPr>
            <w:tcW w:w="1954" w:type="dxa"/>
          </w:tcPr>
          <w:p w14:paraId="2F00CC52" w14:textId="77777777" w:rsidR="00495386" w:rsidRPr="002A7446" w:rsidRDefault="000E148D" w:rsidP="000E148D">
            <w:pPr>
              <w:jc w:val="center"/>
              <w:rPr>
                <w:sz w:val="28"/>
                <w:szCs w:val="28"/>
              </w:rPr>
            </w:pPr>
            <w:r w:rsidRPr="002A7446">
              <w:rPr>
                <w:sz w:val="28"/>
                <w:szCs w:val="28"/>
              </w:rPr>
              <w:t>1</w:t>
            </w:r>
          </w:p>
        </w:tc>
      </w:tr>
      <w:tr w:rsidR="00495386" w:rsidRPr="002A7446" w14:paraId="6F2B946D" w14:textId="77777777" w:rsidTr="00495386">
        <w:tc>
          <w:tcPr>
            <w:tcW w:w="1953" w:type="dxa"/>
          </w:tcPr>
          <w:p w14:paraId="5C73662C" w14:textId="77777777" w:rsidR="00495386" w:rsidRPr="002A7446" w:rsidRDefault="00495386" w:rsidP="000427F6">
            <w:pPr>
              <w:rPr>
                <w:b/>
              </w:rPr>
            </w:pPr>
            <w:r w:rsidRPr="002A7446">
              <w:rPr>
                <w:b/>
              </w:rPr>
              <w:t>IFN HS</w:t>
            </w:r>
          </w:p>
        </w:tc>
        <w:tc>
          <w:tcPr>
            <w:tcW w:w="1953" w:type="dxa"/>
          </w:tcPr>
          <w:p w14:paraId="52239AB9" w14:textId="77777777" w:rsidR="00495386" w:rsidRPr="002A7446" w:rsidRDefault="000E148D" w:rsidP="000E148D">
            <w:pPr>
              <w:jc w:val="center"/>
              <w:rPr>
                <w:b/>
                <w:sz w:val="28"/>
                <w:szCs w:val="28"/>
              </w:rPr>
            </w:pPr>
            <w:r w:rsidRPr="002A7446">
              <w:rPr>
                <w:b/>
                <w:sz w:val="28"/>
                <w:szCs w:val="28"/>
              </w:rPr>
              <w:t>67</w:t>
            </w:r>
          </w:p>
        </w:tc>
        <w:tc>
          <w:tcPr>
            <w:tcW w:w="1953" w:type="dxa"/>
          </w:tcPr>
          <w:p w14:paraId="3AF384E6" w14:textId="77777777" w:rsidR="00495386" w:rsidRPr="002A7446" w:rsidRDefault="000E148D" w:rsidP="000E148D">
            <w:pPr>
              <w:jc w:val="center"/>
              <w:rPr>
                <w:sz w:val="28"/>
                <w:szCs w:val="28"/>
              </w:rPr>
            </w:pPr>
            <w:r w:rsidRPr="002A7446">
              <w:rPr>
                <w:sz w:val="28"/>
                <w:szCs w:val="28"/>
              </w:rPr>
              <w:t>15</w:t>
            </w:r>
          </w:p>
        </w:tc>
        <w:tc>
          <w:tcPr>
            <w:tcW w:w="1954" w:type="dxa"/>
          </w:tcPr>
          <w:p w14:paraId="2B3E2F4B" w14:textId="77777777" w:rsidR="00495386" w:rsidRPr="002A7446" w:rsidRDefault="000E148D" w:rsidP="000E148D">
            <w:pPr>
              <w:jc w:val="center"/>
              <w:rPr>
                <w:b/>
                <w:sz w:val="28"/>
                <w:szCs w:val="28"/>
              </w:rPr>
            </w:pPr>
            <w:r w:rsidRPr="002A7446">
              <w:rPr>
                <w:b/>
                <w:sz w:val="28"/>
                <w:szCs w:val="28"/>
              </w:rPr>
              <w:t>50</w:t>
            </w:r>
          </w:p>
        </w:tc>
        <w:tc>
          <w:tcPr>
            <w:tcW w:w="1954" w:type="dxa"/>
          </w:tcPr>
          <w:p w14:paraId="0BA90B85" w14:textId="77777777" w:rsidR="00495386" w:rsidRPr="002A7446" w:rsidRDefault="000E148D" w:rsidP="000E148D">
            <w:pPr>
              <w:jc w:val="center"/>
              <w:rPr>
                <w:sz w:val="28"/>
                <w:szCs w:val="28"/>
              </w:rPr>
            </w:pPr>
            <w:r w:rsidRPr="002A7446">
              <w:rPr>
                <w:sz w:val="28"/>
                <w:szCs w:val="28"/>
              </w:rPr>
              <w:t>6</w:t>
            </w:r>
          </w:p>
        </w:tc>
      </w:tr>
    </w:tbl>
    <w:p w14:paraId="5CF2370A" w14:textId="77777777" w:rsidR="00706A63" w:rsidRPr="002A7446" w:rsidRDefault="00706A63" w:rsidP="00DE1978">
      <w:pPr>
        <w:spacing w:before="0" w:after="200" w:line="276" w:lineRule="auto"/>
      </w:pPr>
    </w:p>
    <w:p w14:paraId="67928946" w14:textId="77777777" w:rsidR="00706A63" w:rsidRPr="002A7446" w:rsidRDefault="00706A63" w:rsidP="00DE1978">
      <w:pPr>
        <w:spacing w:before="0" w:after="200" w:line="276" w:lineRule="auto"/>
      </w:pPr>
    </w:p>
    <w:p w14:paraId="7151D460" w14:textId="70A4E060" w:rsidR="00706A63" w:rsidRPr="002A7446" w:rsidRDefault="00706A63" w:rsidP="00706A63">
      <w:pPr>
        <w:pStyle w:val="EndNoteBibliography"/>
        <w:spacing w:after="0"/>
      </w:pPr>
      <w:bookmarkStart w:id="25" w:name="_ENREF_1"/>
      <w:r w:rsidRPr="002A7446">
        <w:t>1.</w:t>
      </w:r>
      <w:r w:rsidRPr="002A7446">
        <w:tab/>
        <w:t xml:space="preserve">Morgan AJ, Glossop AJ. Severe community-acquired pneumonia. </w:t>
      </w:r>
      <w:r w:rsidRPr="002A7446">
        <w:rPr>
          <w:i/>
        </w:rPr>
        <w:t>BJA Education</w:t>
      </w:r>
      <w:r w:rsidRPr="002A7446">
        <w:t xml:space="preserve"> (2016) 16(5):167-72. doi: 10.1093/bjaed/mkv052.</w:t>
      </w:r>
      <w:bookmarkEnd w:id="25"/>
    </w:p>
    <w:p w14:paraId="6BA82F2D" w14:textId="77777777" w:rsidR="00706A63" w:rsidRPr="002A7446" w:rsidRDefault="00706A63" w:rsidP="00706A63">
      <w:pPr>
        <w:pStyle w:val="EndNoteBibliography"/>
        <w:spacing w:after="0"/>
      </w:pPr>
      <w:bookmarkStart w:id="26" w:name="_ENREF_2"/>
      <w:r w:rsidRPr="002A7446">
        <w:t>2.</w:t>
      </w:r>
      <w:r w:rsidRPr="002A7446">
        <w:tab/>
        <w:t xml:space="preserve">Pereira JM, Paiva JA, Rello J. Severe sepsis in community-acquired pneumonia &amp;#x2014; Early recognition and treatment. </w:t>
      </w:r>
      <w:r w:rsidRPr="002A7446">
        <w:rPr>
          <w:i/>
        </w:rPr>
        <w:t>European Journal of Internal Medicine</w:t>
      </w:r>
      <w:r w:rsidRPr="002A7446">
        <w:t xml:space="preserve"> (2012) 23(5):412-9. doi: 10.1016/j.ejim.2012.04.016.</w:t>
      </w:r>
      <w:bookmarkEnd w:id="26"/>
    </w:p>
    <w:p w14:paraId="5C740F1C" w14:textId="77777777" w:rsidR="00706A63" w:rsidRPr="002A7446" w:rsidRDefault="00706A63" w:rsidP="00706A63">
      <w:pPr>
        <w:pStyle w:val="EndNoteBibliography"/>
        <w:spacing w:after="0"/>
      </w:pPr>
      <w:bookmarkStart w:id="27" w:name="_ENREF_3"/>
      <w:r w:rsidRPr="002A7446">
        <w:t>3.</w:t>
      </w:r>
      <w:r w:rsidRPr="002A7446">
        <w:tab/>
        <w:t xml:space="preserve">Seligman R, Ramos-Lima LF, do Amaral Oliveira V, Sanvicente C, Pacheco EF, Rosa KD. Biomarkers in community-acquired pneumonia: A state-of-the-art review. </w:t>
      </w:r>
      <w:r w:rsidRPr="002A7446">
        <w:rPr>
          <w:i/>
        </w:rPr>
        <w:t>Clinics</w:t>
      </w:r>
      <w:r w:rsidRPr="002A7446">
        <w:t xml:space="preserve"> (2012) 67(11):1321-5. doi: 10.6061/clinics/2012(11)17. PubMed PMID: PMC3488993.</w:t>
      </w:r>
      <w:bookmarkEnd w:id="27"/>
    </w:p>
    <w:p w14:paraId="30F9E137" w14:textId="77777777" w:rsidR="00706A63" w:rsidRPr="002A7446" w:rsidRDefault="00706A63" w:rsidP="00706A63">
      <w:pPr>
        <w:pStyle w:val="EndNoteBibliography"/>
        <w:spacing w:after="0"/>
      </w:pPr>
      <w:bookmarkStart w:id="28" w:name="_ENREF_4"/>
      <w:r w:rsidRPr="002A7446">
        <w:t>4.</w:t>
      </w:r>
      <w:r w:rsidRPr="002A7446">
        <w:tab/>
        <w:t xml:space="preserve">Marti C, Garin N, Grosgurin O, Poncet A, Combescure C, Carballo S, et al. Prediction of severe community-acquired pneumonia: a systematic review and meta-analysis. </w:t>
      </w:r>
      <w:r w:rsidRPr="002A7446">
        <w:rPr>
          <w:i/>
        </w:rPr>
        <w:t>Critical Care</w:t>
      </w:r>
      <w:r w:rsidRPr="002A7446">
        <w:t xml:space="preserve"> (2012) 16(4):R141. doi: 10.1186/cc11447.</w:t>
      </w:r>
      <w:bookmarkEnd w:id="28"/>
    </w:p>
    <w:p w14:paraId="6CFFD094" w14:textId="77777777" w:rsidR="00706A63" w:rsidRPr="002A7446" w:rsidRDefault="00706A63" w:rsidP="00706A63">
      <w:pPr>
        <w:pStyle w:val="EndNoteBibliography"/>
        <w:spacing w:after="0"/>
      </w:pPr>
      <w:bookmarkStart w:id="29" w:name="_ENREF_5"/>
      <w:r w:rsidRPr="002A7446">
        <w:t>5.</w:t>
      </w:r>
      <w:r w:rsidRPr="002A7446">
        <w:tab/>
        <w:t xml:space="preserve">Viasus D, Simonetti A, Garcia-Vidal C, Carratalà J. Prediction of prognosis by markers in community-acquired pneumonia. </w:t>
      </w:r>
      <w:r w:rsidRPr="002A7446">
        <w:rPr>
          <w:i/>
        </w:rPr>
        <w:t>Expert Review of Anti-infective Therapy</w:t>
      </w:r>
      <w:r w:rsidRPr="002A7446">
        <w:t xml:space="preserve"> (2013) 11(9):917-29. doi: 10.1586/14787210.2013.825442.</w:t>
      </w:r>
      <w:bookmarkEnd w:id="29"/>
    </w:p>
    <w:p w14:paraId="4DC76ACF" w14:textId="77777777" w:rsidR="00706A63" w:rsidRPr="002A7446" w:rsidRDefault="00706A63" w:rsidP="00706A63">
      <w:pPr>
        <w:pStyle w:val="EndNoteBibliography"/>
        <w:spacing w:after="0"/>
      </w:pPr>
      <w:bookmarkStart w:id="30" w:name="_ENREF_6"/>
      <w:r w:rsidRPr="002A7446">
        <w:t>6.</w:t>
      </w:r>
      <w:r w:rsidRPr="002A7446">
        <w:tab/>
        <w:t xml:space="preserve">Khan F, Owens MB, Restrepo M, Povoa P, Martin-Loeches I. Tools for outcome prediction in patients with community acquired pneumonia. </w:t>
      </w:r>
      <w:r w:rsidRPr="002A7446">
        <w:rPr>
          <w:i/>
        </w:rPr>
        <w:t>Expert Review of Clinical Pharmacology</w:t>
      </w:r>
      <w:r w:rsidRPr="002A7446">
        <w:t xml:space="preserve"> (2017) 10(2):201-11. doi: 10.1080/17512433.2017.1268051.</w:t>
      </w:r>
      <w:bookmarkEnd w:id="30"/>
    </w:p>
    <w:p w14:paraId="00A14F89" w14:textId="77777777" w:rsidR="00706A63" w:rsidRPr="002A7446" w:rsidRDefault="00706A63" w:rsidP="00706A63">
      <w:pPr>
        <w:pStyle w:val="EndNoteBibliography"/>
        <w:spacing w:after="0"/>
      </w:pPr>
      <w:bookmarkStart w:id="31" w:name="_ENREF_7"/>
      <w:r w:rsidRPr="002A7446">
        <w:t>7.</w:t>
      </w:r>
      <w:r w:rsidRPr="002A7446">
        <w:tab/>
        <w:t xml:space="preserve">Uhlén M, Hallström BM, Lindskog C, Mardinoglu A, Pontén F, Nielsen J. Transcriptomics resources of human tissues and organs. </w:t>
      </w:r>
      <w:r w:rsidRPr="002A7446">
        <w:rPr>
          <w:i/>
        </w:rPr>
        <w:t>Molecular Systems Biology</w:t>
      </w:r>
      <w:r w:rsidRPr="002A7446">
        <w:t xml:space="preserve"> (2016) 12(4):862-n/a. doi: 10.15252/msb.20155865.</w:t>
      </w:r>
      <w:bookmarkEnd w:id="31"/>
    </w:p>
    <w:p w14:paraId="67E93C41" w14:textId="77777777" w:rsidR="00706A63" w:rsidRPr="002A7446" w:rsidRDefault="00706A63" w:rsidP="00706A63">
      <w:pPr>
        <w:pStyle w:val="EndNoteBibliography"/>
        <w:spacing w:after="0"/>
      </w:pPr>
      <w:bookmarkStart w:id="32" w:name="_ENREF_8"/>
      <w:r w:rsidRPr="002A7446">
        <w:t>8.</w:t>
      </w:r>
      <w:r w:rsidRPr="002A7446">
        <w:tab/>
        <w:t xml:space="preserve">Mohr S, Liew C-C. The peripheral-blood transcriptome: new insights into disease and risk assessment. </w:t>
      </w:r>
      <w:r w:rsidRPr="002A7446">
        <w:rPr>
          <w:i/>
        </w:rPr>
        <w:t>Trends in Molecular Medicine</w:t>
      </w:r>
      <w:r w:rsidRPr="002A7446">
        <w:t xml:space="preserve"> (2007) 13(10):422-32. doi: 10.1016/j.molmed.2007.08.003.</w:t>
      </w:r>
      <w:bookmarkEnd w:id="32"/>
    </w:p>
    <w:p w14:paraId="224670ED" w14:textId="77777777" w:rsidR="00706A63" w:rsidRPr="002A7446" w:rsidRDefault="00706A63" w:rsidP="00706A63">
      <w:pPr>
        <w:pStyle w:val="EndNoteBibliography"/>
        <w:spacing w:after="0"/>
      </w:pPr>
      <w:bookmarkStart w:id="33" w:name="_ENREF_9"/>
      <w:r w:rsidRPr="002A7446">
        <w:t>9.</w:t>
      </w:r>
      <w:r w:rsidRPr="002A7446">
        <w:tab/>
        <w:t xml:space="preserve">Davenport EE, Burnham KL, Radhakrishnan J, Humburg P, Hutton P, Mills TC, et al. Genomic landscape of the individual host response and outcomes in sepsis: a prospective cohort study. </w:t>
      </w:r>
      <w:r w:rsidRPr="002A7446">
        <w:rPr>
          <w:i/>
        </w:rPr>
        <w:t>The Lancet Respiratory Medicine</w:t>
      </w:r>
      <w:r w:rsidRPr="002A7446">
        <w:t xml:space="preserve"> (2016) 4(4):259-71. doi: 10.1016/s2213-2600(16)00046-1.</w:t>
      </w:r>
      <w:bookmarkEnd w:id="33"/>
    </w:p>
    <w:p w14:paraId="54B6F9FA" w14:textId="77777777" w:rsidR="00706A63" w:rsidRPr="002A7446" w:rsidRDefault="00706A63" w:rsidP="00706A63">
      <w:pPr>
        <w:pStyle w:val="EndNoteBibliography"/>
        <w:spacing w:after="0"/>
      </w:pPr>
      <w:bookmarkStart w:id="34" w:name="_ENREF_10"/>
      <w:r w:rsidRPr="002A7446">
        <w:t>10.</w:t>
      </w:r>
      <w:r w:rsidRPr="002A7446">
        <w:tab/>
        <w:t xml:space="preserve">Burnham KL, Davenport EE, Radhakrishnan J, Humburg P, Gordon AC, Hutton P, et al. Shared and Distinct Aspects of the Sepsis Transcriptomic Response to Fecal Peritonitis and Pneumonia. </w:t>
      </w:r>
      <w:r w:rsidRPr="002A7446">
        <w:rPr>
          <w:i/>
        </w:rPr>
        <w:t>American Journal of Respiratory and Critical Care Medicine</w:t>
      </w:r>
      <w:r w:rsidRPr="002A7446">
        <w:t xml:space="preserve"> (2017) 196(3):328-39. doi: 10.1164/rccm.201608-1685OC. PubMed PMID: 28036233.</w:t>
      </w:r>
      <w:bookmarkEnd w:id="34"/>
    </w:p>
    <w:p w14:paraId="413170E3" w14:textId="77777777" w:rsidR="00706A63" w:rsidRPr="002A7446" w:rsidRDefault="00706A63" w:rsidP="00706A63">
      <w:pPr>
        <w:pStyle w:val="EndNoteBibliography"/>
        <w:spacing w:after="0"/>
      </w:pPr>
      <w:bookmarkStart w:id="35" w:name="_ENREF_11"/>
      <w:r w:rsidRPr="002A7446">
        <w:t>11.</w:t>
      </w:r>
      <w:r w:rsidRPr="002A7446">
        <w:tab/>
        <w:t xml:space="preserve">Scicluna BP, van Vught LA, Zwinderman AH, Wiewel MA, Davenport EE, Burnham KL, et al. Classification of patients with sepsis according to blood genomic endotype: a prospective cohort study. </w:t>
      </w:r>
      <w:r w:rsidRPr="002A7446">
        <w:rPr>
          <w:i/>
        </w:rPr>
        <w:t>The Lancet Respiratory Medicine</w:t>
      </w:r>
      <w:r w:rsidRPr="002A7446">
        <w:t xml:space="preserve"> (2017) 5(10):816-26. doi: 10.1016/s2213-2600(17)30294-1.</w:t>
      </w:r>
      <w:bookmarkEnd w:id="35"/>
    </w:p>
    <w:p w14:paraId="08B0D3A3" w14:textId="77777777" w:rsidR="00706A63" w:rsidRPr="002A7446" w:rsidRDefault="00706A63" w:rsidP="00706A63">
      <w:pPr>
        <w:pStyle w:val="EndNoteBibliography"/>
        <w:spacing w:after="0"/>
      </w:pPr>
      <w:bookmarkStart w:id="36" w:name="_ENREF_12"/>
      <w:r w:rsidRPr="002A7446">
        <w:t>12.</w:t>
      </w:r>
      <w:r w:rsidRPr="002A7446">
        <w:tab/>
        <w:t xml:space="preserve">Wirth H, Löffler M, von Bergen M, Binder H. Expression cartography of human tissues using self organizing maps. </w:t>
      </w:r>
      <w:r w:rsidRPr="002A7446">
        <w:rPr>
          <w:i/>
        </w:rPr>
        <w:t>BMC Bioinformatics</w:t>
      </w:r>
      <w:r w:rsidRPr="002A7446">
        <w:t xml:space="preserve"> (2011) 12(1):306. doi: 10.1186/1471-2105-12-306.</w:t>
      </w:r>
      <w:bookmarkEnd w:id="36"/>
    </w:p>
    <w:p w14:paraId="2B39B262" w14:textId="77777777" w:rsidR="00706A63" w:rsidRPr="002A7446" w:rsidRDefault="00706A63" w:rsidP="00706A63">
      <w:pPr>
        <w:pStyle w:val="EndNoteBibliography"/>
        <w:spacing w:after="0"/>
        <w:rPr>
          <w:lang w:val="de-DE"/>
        </w:rPr>
      </w:pPr>
      <w:bookmarkStart w:id="37" w:name="_ENREF_13"/>
      <w:r w:rsidRPr="002A7446">
        <w:t>13.</w:t>
      </w:r>
      <w:r w:rsidRPr="002A7446">
        <w:tab/>
        <w:t xml:space="preserve">Binder H, Wirth H. Analysis of large-scale OMIC data using Self Organizing Maps. (2014. In: </w:t>
      </w:r>
      <w:r w:rsidRPr="002A7446">
        <w:rPr>
          <w:i/>
        </w:rPr>
        <w:t>Encyclopedia of Information Science and Technology Third Edition</w:t>
      </w:r>
      <w:r w:rsidRPr="002A7446">
        <w:t xml:space="preserve"> [Internet]. </w:t>
      </w:r>
      <w:r w:rsidRPr="002A7446">
        <w:rPr>
          <w:lang w:val="de-DE"/>
        </w:rPr>
        <w:t>IGI global; [1642-54].</w:t>
      </w:r>
      <w:bookmarkEnd w:id="37"/>
    </w:p>
    <w:p w14:paraId="7229DD9F" w14:textId="77777777" w:rsidR="00706A63" w:rsidRPr="002A7446" w:rsidRDefault="00706A63" w:rsidP="00706A63">
      <w:pPr>
        <w:pStyle w:val="EndNoteBibliography"/>
      </w:pPr>
      <w:bookmarkStart w:id="38" w:name="_ENREF_14"/>
      <w:r w:rsidRPr="002A7446">
        <w:rPr>
          <w:lang w:val="de-DE"/>
        </w:rPr>
        <w:t>14.</w:t>
      </w:r>
      <w:r w:rsidRPr="002A7446">
        <w:rPr>
          <w:lang w:val="de-DE"/>
        </w:rPr>
        <w:tab/>
        <w:t xml:space="preserve">Camp JG, Sekine K, Gerber T, Loeffler-Wirth H, Binder H, Gac M, et al. </w:t>
      </w:r>
      <w:r w:rsidRPr="002A7446">
        <w:t xml:space="preserve">Multilineage communication regulates human liver bud development from pluripotency. </w:t>
      </w:r>
      <w:r w:rsidRPr="002A7446">
        <w:rPr>
          <w:i/>
        </w:rPr>
        <w:t>Nature</w:t>
      </w:r>
      <w:r w:rsidRPr="002A7446">
        <w:t xml:space="preserve"> (2017) 546(7659):533-8. doi: 10.1038/nature22796</w:t>
      </w:r>
    </w:p>
    <w:p w14:paraId="5AC13A83" w14:textId="01456B45" w:rsidR="00706A63" w:rsidRPr="002A7446" w:rsidRDefault="00706A63" w:rsidP="00706A63">
      <w:pPr>
        <w:pStyle w:val="EndNoteBibliography"/>
        <w:spacing w:after="0"/>
      </w:pPr>
      <w:r w:rsidRPr="002A7446">
        <w:t>http://www.nature.com/nature/journal/v546/n7659/abs/nature22796.html#supplementary-information.</w:t>
      </w:r>
      <w:bookmarkEnd w:id="38"/>
    </w:p>
    <w:p w14:paraId="6971978A" w14:textId="77777777" w:rsidR="00706A63" w:rsidRPr="002A7446" w:rsidRDefault="00706A63" w:rsidP="00706A63">
      <w:pPr>
        <w:pStyle w:val="EndNoteBibliography"/>
        <w:spacing w:after="0"/>
      </w:pPr>
      <w:bookmarkStart w:id="39" w:name="_ENREF_15"/>
      <w:r w:rsidRPr="002A7446">
        <w:rPr>
          <w:lang w:val="de-DE"/>
        </w:rPr>
        <w:t>15.</w:t>
      </w:r>
      <w:r w:rsidRPr="002A7446">
        <w:rPr>
          <w:lang w:val="de-DE"/>
        </w:rPr>
        <w:tab/>
        <w:t xml:space="preserve">Binder H, Hopp L, Schweiger MR, Hoffmann S, Jühling F, Kerick M, et al. </w:t>
      </w:r>
      <w:r w:rsidRPr="002A7446">
        <w:t xml:space="preserve">Genomic and transcriptomic heterogeneity of colorectal tumours arising in Lynch syndrome. </w:t>
      </w:r>
      <w:r w:rsidRPr="002A7446">
        <w:rPr>
          <w:i/>
        </w:rPr>
        <w:t>The Journal of Pathology</w:t>
      </w:r>
      <w:r w:rsidRPr="002A7446">
        <w:t xml:space="preserve"> (2017) 243(2):242-54. doi: 10.1002/path.4948.</w:t>
      </w:r>
      <w:bookmarkEnd w:id="39"/>
    </w:p>
    <w:p w14:paraId="4F02E8D1" w14:textId="77777777" w:rsidR="00706A63" w:rsidRPr="002A7446" w:rsidRDefault="00706A63" w:rsidP="00706A63">
      <w:pPr>
        <w:pStyle w:val="EndNoteBibliography"/>
        <w:spacing w:after="0"/>
      </w:pPr>
      <w:bookmarkStart w:id="40" w:name="_ENREF_16"/>
      <w:r w:rsidRPr="002A7446">
        <w:t>16.</w:t>
      </w:r>
      <w:r w:rsidRPr="002A7446">
        <w:tab/>
        <w:t xml:space="preserve">Gerber T, Willscher E, Loeffler-Wirth H, Hopp L, Schadendorf D, Schartl M, et al. Mapping heterogeneity in patient-derived melanoma cultures by single-cell RNA-seq. </w:t>
      </w:r>
      <w:r w:rsidRPr="002A7446">
        <w:rPr>
          <w:i/>
        </w:rPr>
        <w:t>Oncotarget</w:t>
      </w:r>
      <w:r w:rsidRPr="002A7446">
        <w:t xml:space="preserve"> (2016) 8(1):846-62.</w:t>
      </w:r>
      <w:bookmarkEnd w:id="40"/>
    </w:p>
    <w:p w14:paraId="413F1FE9" w14:textId="0C05541D" w:rsidR="00706A63" w:rsidRPr="002A7446" w:rsidRDefault="00706A63" w:rsidP="00706A63">
      <w:pPr>
        <w:pStyle w:val="EndNoteBibliography"/>
        <w:spacing w:after="0"/>
      </w:pPr>
      <w:bookmarkStart w:id="41" w:name="_ENREF_17"/>
      <w:r w:rsidRPr="002A7446">
        <w:t>17.</w:t>
      </w:r>
      <w:r w:rsidRPr="002A7446">
        <w:tab/>
        <w:t xml:space="preserve">Hopp L, Willscher E, Wirth-Loeffler H, Binder H. Function Shapes Content: DNA-Methylation Marker Genes and their Impact for Molecular Mechanisms of Glioma. </w:t>
      </w:r>
      <w:r w:rsidRPr="002A7446">
        <w:rPr>
          <w:i/>
        </w:rPr>
        <w:t>Journal of Cancer Research Updates</w:t>
      </w:r>
      <w:r w:rsidRPr="002A7446">
        <w:t xml:space="preserve"> (2015) 4(4):127-48. doi: http://dx.doi.org/10.6000/1929-2279.2015.04.04.1.</w:t>
      </w:r>
      <w:bookmarkEnd w:id="41"/>
    </w:p>
    <w:p w14:paraId="1650F6E5" w14:textId="77777777" w:rsidR="00706A63" w:rsidRPr="002A7446" w:rsidRDefault="00706A63" w:rsidP="00706A63">
      <w:pPr>
        <w:pStyle w:val="EndNoteBibliography"/>
        <w:spacing w:after="0"/>
      </w:pPr>
      <w:bookmarkStart w:id="42" w:name="_ENREF_18"/>
      <w:r w:rsidRPr="002A7446">
        <w:t>18.</w:t>
      </w:r>
      <w:r w:rsidRPr="002A7446">
        <w:tab/>
        <w:t xml:space="preserve">Binder H, Hopp L, Lembcke K, Wirth H. Personalized Disease Phenotypes from Massive OMICs Data. In: Baoying W, Ruowang L, William P, editors. </w:t>
      </w:r>
      <w:r w:rsidRPr="002A7446">
        <w:rPr>
          <w:i/>
        </w:rPr>
        <w:t>Big Data Analytics in Bioinformatics and Healthcare</w:t>
      </w:r>
      <w:r w:rsidRPr="002A7446">
        <w:t>. Hershey, PA, USA: IGI Global (2015). p. 359-78.</w:t>
      </w:r>
      <w:bookmarkEnd w:id="42"/>
    </w:p>
    <w:p w14:paraId="4FAD1B60" w14:textId="77777777" w:rsidR="00706A63" w:rsidRPr="002A7446" w:rsidRDefault="00706A63" w:rsidP="00706A63">
      <w:pPr>
        <w:pStyle w:val="EndNoteBibliography"/>
        <w:spacing w:after="0"/>
      </w:pPr>
      <w:bookmarkStart w:id="43" w:name="_ENREF_19"/>
      <w:r w:rsidRPr="002A7446">
        <w:t>19.</w:t>
      </w:r>
      <w:r w:rsidRPr="002A7446">
        <w:tab/>
        <w:t xml:space="preserve">Hopp L, Wirth H, Fasold M, Binder H. Portraying the expression landscapes of cancer subtypes: A glioblastoma multiforme and prostate cancer case study. </w:t>
      </w:r>
      <w:r w:rsidRPr="002A7446">
        <w:rPr>
          <w:i/>
        </w:rPr>
        <w:t>Systems Biomedicine</w:t>
      </w:r>
      <w:r w:rsidRPr="002A7446">
        <w:t xml:space="preserve"> (2013) 1(2):99-121.</w:t>
      </w:r>
      <w:bookmarkEnd w:id="43"/>
    </w:p>
    <w:p w14:paraId="184029AF" w14:textId="77777777" w:rsidR="00706A63" w:rsidRPr="002A7446" w:rsidRDefault="00706A63" w:rsidP="00706A63">
      <w:pPr>
        <w:pStyle w:val="EndNoteBibliography"/>
        <w:spacing w:after="0"/>
      </w:pPr>
      <w:bookmarkStart w:id="44" w:name="_ENREF_20"/>
      <w:r w:rsidRPr="002A7446">
        <w:t>20.</w:t>
      </w:r>
      <w:r w:rsidRPr="002A7446">
        <w:tab/>
        <w:t xml:space="preserve">Chaussabel D, Quinn C, Shen J, Patel P, Glaser C, Baldwin N, et al. A Modular Analysis Framework for Blood Genomics Studies: Application to Systemic Lupus Erythematosus. </w:t>
      </w:r>
      <w:r w:rsidRPr="002A7446">
        <w:rPr>
          <w:i/>
        </w:rPr>
        <w:t>Immunity</w:t>
      </w:r>
      <w:r w:rsidRPr="002A7446">
        <w:t xml:space="preserve"> (2008) 29(1):150-64. doi: 10.1016/j.immuni.2008.05.012.</w:t>
      </w:r>
      <w:bookmarkEnd w:id="44"/>
    </w:p>
    <w:p w14:paraId="437E1AEC" w14:textId="77777777" w:rsidR="00706A63" w:rsidRPr="002A7446" w:rsidRDefault="00706A63" w:rsidP="00706A63">
      <w:pPr>
        <w:pStyle w:val="EndNoteBibliography"/>
        <w:spacing w:after="0"/>
      </w:pPr>
      <w:bookmarkStart w:id="45" w:name="_ENREF_21"/>
      <w:r w:rsidRPr="002A7446">
        <w:t>21.</w:t>
      </w:r>
      <w:r w:rsidRPr="002A7446">
        <w:tab/>
        <w:t xml:space="preserve">Gimenez JLG, Carbonell NE, Mateo CR, López EG, Palacios L, Chova LP, et al. Epigenetics As The Driving Force In Long-Term Immunosuppression. </w:t>
      </w:r>
      <w:r w:rsidRPr="002A7446">
        <w:rPr>
          <w:i/>
        </w:rPr>
        <w:t>J of Clinical Epigenetics</w:t>
      </w:r>
      <w:r w:rsidRPr="002A7446">
        <w:t xml:space="preserve"> (2016) 2(2).</w:t>
      </w:r>
      <w:bookmarkEnd w:id="45"/>
    </w:p>
    <w:p w14:paraId="122CDB2D" w14:textId="77777777" w:rsidR="00706A63" w:rsidRPr="002A7446" w:rsidRDefault="00706A63" w:rsidP="00706A63">
      <w:pPr>
        <w:pStyle w:val="EndNoteBibliography"/>
        <w:spacing w:after="0"/>
      </w:pPr>
      <w:bookmarkStart w:id="46" w:name="_ENREF_22"/>
      <w:r w:rsidRPr="002A7446">
        <w:t>22.</w:t>
      </w:r>
      <w:r w:rsidRPr="002A7446">
        <w:tab/>
        <w:t xml:space="preserve">Vucic EA, Thu KL, Robison K, Rybaczyk LA, Chari R, Alvarez CE, et al. Translating cancer ‘omics’ to improved outcomes. </w:t>
      </w:r>
      <w:r w:rsidRPr="002A7446">
        <w:rPr>
          <w:i/>
        </w:rPr>
        <w:t>Genome Res</w:t>
      </w:r>
      <w:r w:rsidRPr="002A7446">
        <w:t xml:space="preserve"> (2012) 22(2):188-95. doi: 10.1101/gr.124354.111.</w:t>
      </w:r>
      <w:bookmarkEnd w:id="46"/>
    </w:p>
    <w:p w14:paraId="091942DF" w14:textId="77777777" w:rsidR="00706A63" w:rsidRPr="002A7446" w:rsidRDefault="00706A63" w:rsidP="00706A63">
      <w:pPr>
        <w:pStyle w:val="EndNoteBibliography"/>
        <w:spacing w:after="0"/>
      </w:pPr>
      <w:bookmarkStart w:id="47" w:name="_ENREF_23"/>
      <w:r w:rsidRPr="002A7446">
        <w:t>23.</w:t>
      </w:r>
      <w:r w:rsidRPr="002A7446">
        <w:tab/>
        <w:t xml:space="preserve">Wirth H, von Bergen M, Binder H. Mining SOM expression portraits: Feature selection and integrating concepts of molecular function </w:t>
      </w:r>
      <w:r w:rsidRPr="002A7446">
        <w:rPr>
          <w:i/>
        </w:rPr>
        <w:t>BioData Mining</w:t>
      </w:r>
      <w:r w:rsidRPr="002A7446">
        <w:t xml:space="preserve"> (2012) 5:18.</w:t>
      </w:r>
      <w:bookmarkEnd w:id="47"/>
    </w:p>
    <w:p w14:paraId="32EB299D" w14:textId="77777777" w:rsidR="00706A63" w:rsidRPr="002A7446" w:rsidRDefault="00706A63" w:rsidP="00706A63">
      <w:pPr>
        <w:pStyle w:val="EndNoteBibliography"/>
        <w:spacing w:after="0"/>
      </w:pPr>
      <w:bookmarkStart w:id="48" w:name="_ENREF_24"/>
      <w:r w:rsidRPr="002A7446">
        <w:t>24.</w:t>
      </w:r>
      <w:r w:rsidRPr="002A7446">
        <w:tab/>
        <w:t xml:space="preserve">Löffler-Wirth H, Kalcher M, Binder H. oposSOM: R-package for high-dimensional portraying of genome-wide expression landscapes on bioconductor. </w:t>
      </w:r>
      <w:r w:rsidRPr="002A7446">
        <w:rPr>
          <w:i/>
        </w:rPr>
        <w:t>Bioinformatics</w:t>
      </w:r>
      <w:r w:rsidRPr="002A7446">
        <w:t xml:space="preserve"> (2015) 31(19):3225-7. doi: 10.1093/bioinformatics/btv342.</w:t>
      </w:r>
      <w:bookmarkEnd w:id="48"/>
    </w:p>
    <w:p w14:paraId="0C0C19DF" w14:textId="77777777" w:rsidR="00706A63" w:rsidRPr="002A7446" w:rsidRDefault="00706A63" w:rsidP="00706A63">
      <w:pPr>
        <w:pStyle w:val="EndNoteBibliography"/>
        <w:spacing w:after="0"/>
      </w:pPr>
      <w:bookmarkStart w:id="49" w:name="_ENREF_25"/>
      <w:r w:rsidRPr="002A7446">
        <w:t>25.</w:t>
      </w:r>
      <w:r w:rsidRPr="002A7446">
        <w:tab/>
        <w:t xml:space="preserve">Toronen P, Ojala P, Marttinen P, Holm L. Robust extraction of functional signals from gene set analysis using a generalized threshold free scoring function. </w:t>
      </w:r>
      <w:r w:rsidRPr="002A7446">
        <w:rPr>
          <w:i/>
        </w:rPr>
        <w:t>BMC Bioinformatics</w:t>
      </w:r>
      <w:r w:rsidRPr="002A7446">
        <w:t xml:space="preserve"> (2009) 10(1):307. PubMed PMID: doi:10.1186/1471-2105-10-307.</w:t>
      </w:r>
      <w:bookmarkEnd w:id="49"/>
    </w:p>
    <w:p w14:paraId="3B627DD6" w14:textId="77777777" w:rsidR="00706A63" w:rsidRPr="002A7446" w:rsidRDefault="00706A63" w:rsidP="00706A63">
      <w:pPr>
        <w:pStyle w:val="EndNoteBibliography"/>
        <w:spacing w:after="0"/>
      </w:pPr>
      <w:bookmarkStart w:id="50" w:name="_ENREF_26"/>
      <w:r w:rsidRPr="002A7446">
        <w:t>26.</w:t>
      </w:r>
      <w:r w:rsidRPr="002A7446">
        <w:tab/>
        <w:t xml:space="preserve">Subramanian A, Tamayo P, Mootha VK, Mukherjee S, Ebert BL, Gillette MA, et al. Gene set enrichment analysis: A knowledge-based approach for interpreting genome-wide expression profiles. </w:t>
      </w:r>
      <w:r w:rsidRPr="002A7446">
        <w:rPr>
          <w:i/>
        </w:rPr>
        <w:t>Proceedings Of The National Academy Of Sciences Of The United States Of America</w:t>
      </w:r>
      <w:r w:rsidRPr="002A7446">
        <w:t xml:space="preserve"> (2005) 102(43):15545-50.</w:t>
      </w:r>
      <w:bookmarkEnd w:id="50"/>
    </w:p>
    <w:p w14:paraId="3E5E3087" w14:textId="77777777" w:rsidR="00706A63" w:rsidRPr="002A7446" w:rsidRDefault="00706A63" w:rsidP="00706A63">
      <w:pPr>
        <w:pStyle w:val="EndNoteBibliography"/>
        <w:spacing w:after="0"/>
      </w:pPr>
      <w:bookmarkStart w:id="51" w:name="_ENREF_27"/>
      <w:r w:rsidRPr="002A7446">
        <w:t>27.</w:t>
      </w:r>
      <w:r w:rsidRPr="002A7446">
        <w:tab/>
        <w:t xml:space="preserve">Liberzon A, Birger C, Thorvaldsdóttir H, Ghandi M, Mesirov Jill P, Tamayo P. The Molecular Signatures Database Hallmark Gene Set Collection. </w:t>
      </w:r>
      <w:r w:rsidRPr="002A7446">
        <w:rPr>
          <w:i/>
        </w:rPr>
        <w:t>Cell Systems</w:t>
      </w:r>
      <w:r w:rsidRPr="002A7446">
        <w:t xml:space="preserve"> (2015) 1(6):417-25.</w:t>
      </w:r>
      <w:bookmarkEnd w:id="51"/>
    </w:p>
    <w:p w14:paraId="03379029" w14:textId="77777777" w:rsidR="00706A63" w:rsidRPr="002A7446" w:rsidRDefault="00706A63" w:rsidP="00706A63">
      <w:pPr>
        <w:pStyle w:val="EndNoteBibliography"/>
      </w:pPr>
      <w:bookmarkStart w:id="52" w:name="_ENREF_28"/>
      <w:r w:rsidRPr="002A7446">
        <w:t>28.</w:t>
      </w:r>
      <w:r w:rsidRPr="002A7446">
        <w:tab/>
        <w:t xml:space="preserve">Roadmap Epigenomics Consortium, Kundaje A, Meuleman W, Ernst J, Bilenky M, Yen A, et al. Integrative analysis of 111 reference human epigenomes. </w:t>
      </w:r>
      <w:r w:rsidRPr="002A7446">
        <w:rPr>
          <w:i/>
        </w:rPr>
        <w:t>Nature</w:t>
      </w:r>
      <w:r w:rsidRPr="002A7446">
        <w:t xml:space="preserve"> (2015) 518(7539):317-30. doi: 10.1038/nature14248</w:t>
      </w:r>
    </w:p>
    <w:p w14:paraId="410C0F9F" w14:textId="256DFB96" w:rsidR="00706A63" w:rsidRPr="002A7446" w:rsidRDefault="00706A63" w:rsidP="00706A63">
      <w:pPr>
        <w:pStyle w:val="EndNoteBibliography"/>
        <w:spacing w:after="0"/>
      </w:pPr>
      <w:r w:rsidRPr="002A7446">
        <w:t>http://www.nature.com/nature/journal/v518/n7539/abs/nature14248.html#supplementary-information.</w:t>
      </w:r>
      <w:bookmarkEnd w:id="52"/>
    </w:p>
    <w:p w14:paraId="1322ABF5" w14:textId="77777777" w:rsidR="00706A63" w:rsidRPr="002A7446" w:rsidRDefault="00706A63" w:rsidP="00706A63">
      <w:pPr>
        <w:pStyle w:val="EndNoteBibliography"/>
        <w:spacing w:after="0"/>
      </w:pPr>
      <w:bookmarkStart w:id="53" w:name="_ENREF_29"/>
      <w:r w:rsidRPr="002A7446">
        <w:rPr>
          <w:lang w:val="de-DE"/>
        </w:rPr>
        <w:t>29.</w:t>
      </w:r>
      <w:r w:rsidRPr="002A7446">
        <w:rPr>
          <w:lang w:val="de-DE"/>
        </w:rPr>
        <w:tab/>
        <w:t xml:space="preserve">Kunz M, Löffler-Wirth H, Dannemann M, Willscher E, Dose G, Kelso J, et al. </w:t>
      </w:r>
      <w:r w:rsidRPr="002A7446">
        <w:t xml:space="preserve">RNA-seq analysis identifies different transcriptomic types and developmental trajectories of primary melanomas. </w:t>
      </w:r>
      <w:r w:rsidRPr="002A7446">
        <w:rPr>
          <w:i/>
        </w:rPr>
        <w:t>Oncogene</w:t>
      </w:r>
      <w:r w:rsidRPr="002A7446">
        <w:t xml:space="preserve"> (2017) under review.</w:t>
      </w:r>
      <w:bookmarkEnd w:id="53"/>
    </w:p>
    <w:p w14:paraId="7BC3A957" w14:textId="77777777" w:rsidR="00706A63" w:rsidRPr="002A7446" w:rsidRDefault="00706A63" w:rsidP="00706A63">
      <w:pPr>
        <w:pStyle w:val="EndNoteBibliography"/>
        <w:spacing w:after="0"/>
      </w:pPr>
      <w:bookmarkStart w:id="54" w:name="_ENREF_30"/>
      <w:r w:rsidRPr="002A7446">
        <w:t>30.</w:t>
      </w:r>
      <w:r w:rsidRPr="002A7446">
        <w:tab/>
        <w:t xml:space="preserve">Nersisyan L, Loeffler-Wirth H, Arakelyan A, Binder H. Gene set- and pathway- centered knowledge discovery assigns transcriptional activation patterns in brain, blood and colon cancer - A bioinformatics perspective. </w:t>
      </w:r>
      <w:r w:rsidRPr="002A7446">
        <w:rPr>
          <w:i/>
        </w:rPr>
        <w:t>Journal of Bioinformatics Knowledge Mining</w:t>
      </w:r>
      <w:r w:rsidRPr="002A7446">
        <w:t xml:space="preserve"> (2016) 4(2):46-70.</w:t>
      </w:r>
      <w:bookmarkEnd w:id="54"/>
    </w:p>
    <w:p w14:paraId="4AC526AD" w14:textId="77777777" w:rsidR="00706A63" w:rsidRPr="002A7446" w:rsidRDefault="00706A63" w:rsidP="00706A63">
      <w:pPr>
        <w:pStyle w:val="EndNoteBibliography"/>
        <w:spacing w:after="0"/>
      </w:pPr>
      <w:bookmarkStart w:id="55" w:name="_ENREF_31"/>
      <w:r w:rsidRPr="002A7446">
        <w:t>31.</w:t>
      </w:r>
      <w:r w:rsidRPr="002A7446">
        <w:tab/>
        <w:t xml:space="preserve">Jongeneel CV, Delorenzi M, Iseli C, Zhou D, Haudenschild CD, Khrebtukova I, et al. An atlas of human gene expression from massively parallel signature sequencing (MPSS). </w:t>
      </w:r>
      <w:r w:rsidRPr="002A7446">
        <w:rPr>
          <w:i/>
        </w:rPr>
        <w:t>Genome Res</w:t>
      </w:r>
      <w:r w:rsidRPr="002A7446">
        <w:t xml:space="preserve"> (2005) 15(7):1007-14. doi: 10.1101/gr.4041005. PubMed PMID: PMC1172045.</w:t>
      </w:r>
      <w:bookmarkEnd w:id="55"/>
    </w:p>
    <w:p w14:paraId="42B2C9F8" w14:textId="02F62F8E" w:rsidR="00706A63" w:rsidRPr="002A7446" w:rsidRDefault="00706A63" w:rsidP="00706A63">
      <w:pPr>
        <w:pStyle w:val="EndNoteBibliography"/>
        <w:spacing w:after="0"/>
        <w:rPr>
          <w:lang w:val="de-DE"/>
        </w:rPr>
      </w:pPr>
      <w:bookmarkStart w:id="56" w:name="_ENREF_32"/>
      <w:r w:rsidRPr="002A7446">
        <w:t>32.</w:t>
      </w:r>
      <w:r w:rsidRPr="002A7446">
        <w:tab/>
        <w:t xml:space="preserve">Ben-Porath I, Thomson MW, Carey VJ, Ge R, Bell GW, Regev A, et al. An embryonic stem cell-like gene expression signature in poorly differentiated aggressive human tumors. </w:t>
      </w:r>
      <w:r w:rsidRPr="002A7446">
        <w:rPr>
          <w:i/>
          <w:lang w:val="de-DE"/>
        </w:rPr>
        <w:t>Nat Genet</w:t>
      </w:r>
      <w:r w:rsidRPr="002A7446">
        <w:rPr>
          <w:lang w:val="de-DE"/>
        </w:rPr>
        <w:t xml:space="preserve"> (2008) 40(5):499-507. doi: http://www.nature.com/ng/journal/v40/n5/suppinfo/ng.127_S1.html.</w:t>
      </w:r>
      <w:bookmarkEnd w:id="56"/>
    </w:p>
    <w:p w14:paraId="3C9E09FB" w14:textId="77777777" w:rsidR="00706A63" w:rsidRPr="002A7446" w:rsidRDefault="00706A63" w:rsidP="00706A63">
      <w:pPr>
        <w:pStyle w:val="EndNoteBibliography"/>
        <w:spacing w:after="0"/>
      </w:pPr>
      <w:bookmarkStart w:id="57" w:name="_ENREF_33"/>
      <w:r w:rsidRPr="002A7446">
        <w:rPr>
          <w:lang w:val="de-DE"/>
        </w:rPr>
        <w:t>33.</w:t>
      </w:r>
      <w:r w:rsidRPr="002A7446">
        <w:rPr>
          <w:lang w:val="de-DE"/>
        </w:rPr>
        <w:tab/>
        <w:t xml:space="preserve">Lu C, Han HD, Mangala LS, Ali-Fehmi R, Newton CS, Ozbun L, et al. </w:t>
      </w:r>
      <w:r w:rsidRPr="002A7446">
        <w:t xml:space="preserve">Regulation of Tumor Angiogenesis by EZH2. </w:t>
      </w:r>
      <w:r w:rsidRPr="002A7446">
        <w:rPr>
          <w:i/>
        </w:rPr>
        <w:t>Cancer Cell</w:t>
      </w:r>
      <w:r w:rsidRPr="002A7446">
        <w:t xml:space="preserve"> (2010) 18(2):185-97. doi: 10.1016/j.ccr.2010.06.016.</w:t>
      </w:r>
      <w:bookmarkEnd w:id="57"/>
    </w:p>
    <w:p w14:paraId="14C2204C" w14:textId="77777777" w:rsidR="00706A63" w:rsidRPr="002A7446" w:rsidRDefault="00706A63" w:rsidP="00706A63">
      <w:pPr>
        <w:pStyle w:val="EndNoteBibliography"/>
        <w:spacing w:after="0"/>
      </w:pPr>
      <w:bookmarkStart w:id="58" w:name="_ENREF_34"/>
      <w:r w:rsidRPr="002A7446">
        <w:t>34.</w:t>
      </w:r>
      <w:r w:rsidRPr="002A7446">
        <w:tab/>
        <w:t xml:space="preserve">Cheng S-C, Quintin J, Cramer RA, Shepardson KM, Saeed S, Kumar V, et al. mTOR/HIF1α-mediated aerobic glycolysis as metabolic basis for trained immunity. </w:t>
      </w:r>
      <w:r w:rsidRPr="002A7446">
        <w:rPr>
          <w:i/>
        </w:rPr>
        <w:t>Science (New York, NY)</w:t>
      </w:r>
      <w:r w:rsidRPr="002A7446">
        <w:t xml:space="preserve"> (2014) 345(6204):1250684-. doi: 10.1126/science.1250684. PubMed PMID: PMC4226238.</w:t>
      </w:r>
      <w:bookmarkEnd w:id="58"/>
    </w:p>
    <w:p w14:paraId="0A4EC7BF" w14:textId="77777777" w:rsidR="00706A63" w:rsidRPr="002A7446" w:rsidRDefault="00706A63" w:rsidP="00706A63">
      <w:pPr>
        <w:pStyle w:val="EndNoteBibliography"/>
        <w:spacing w:after="0"/>
      </w:pPr>
      <w:bookmarkStart w:id="59" w:name="_ENREF_35"/>
      <w:r w:rsidRPr="002A7446">
        <w:t>35.</w:t>
      </w:r>
      <w:r w:rsidRPr="002A7446">
        <w:tab/>
        <w:t xml:space="preserve">Mantovani A, Sica A, Sozzani S, Allavena P, Vecchi A, Locati M. The chemokine system in diverse forms of macrophage activation and polarization. </w:t>
      </w:r>
      <w:r w:rsidRPr="002A7446">
        <w:rPr>
          <w:i/>
        </w:rPr>
        <w:t>Trends in Immunology</w:t>
      </w:r>
      <w:r w:rsidRPr="002A7446">
        <w:t xml:space="preserve"> (2004) 25(12):677-86. doi: 10.1016/j.it.2004.09.015.</w:t>
      </w:r>
      <w:bookmarkEnd w:id="59"/>
    </w:p>
    <w:p w14:paraId="16C91934" w14:textId="77777777" w:rsidR="00706A63" w:rsidRPr="002A7446" w:rsidRDefault="00706A63" w:rsidP="00706A63">
      <w:pPr>
        <w:pStyle w:val="EndNoteBibliography"/>
      </w:pPr>
      <w:bookmarkStart w:id="60" w:name="_ENREF_36"/>
      <w:r w:rsidRPr="002A7446">
        <w:t>36.</w:t>
      </w:r>
      <w:r w:rsidRPr="002A7446">
        <w:tab/>
        <w:t xml:space="preserve">Rathinam VAK, Jiang Z, Waggoner SN, Sharma S, Cole LE, Waggoner L, et al. The AIM2 inflammasome is essential for host defense against cytosolic bacteria and DNA viruses. </w:t>
      </w:r>
      <w:r w:rsidRPr="002A7446">
        <w:rPr>
          <w:i/>
        </w:rPr>
        <w:t>Nature Immunology</w:t>
      </w:r>
      <w:r w:rsidRPr="002A7446">
        <w:t xml:space="preserve"> (2010) 11:395. doi: 10.1038/ni.1864</w:t>
      </w:r>
    </w:p>
    <w:p w14:paraId="005ABAA6" w14:textId="72FEE925" w:rsidR="00706A63" w:rsidRPr="002A7446" w:rsidRDefault="00706A63" w:rsidP="00706A63">
      <w:pPr>
        <w:pStyle w:val="EndNoteBibliography"/>
        <w:spacing w:after="0"/>
      </w:pPr>
      <w:r w:rsidRPr="002A7446">
        <w:t>https://www.nature.com/articles/ni.1864#supplementary-information.</w:t>
      </w:r>
      <w:bookmarkEnd w:id="60"/>
    </w:p>
    <w:p w14:paraId="79721799" w14:textId="77777777" w:rsidR="00706A63" w:rsidRPr="002A7446" w:rsidRDefault="00706A63" w:rsidP="00706A63">
      <w:pPr>
        <w:pStyle w:val="EndNoteBibliography"/>
        <w:spacing w:after="0"/>
      </w:pPr>
      <w:bookmarkStart w:id="61" w:name="_ENREF_37"/>
      <w:r w:rsidRPr="002A7446">
        <w:rPr>
          <w:lang w:val="de-DE"/>
        </w:rPr>
        <w:t>37.</w:t>
      </w:r>
      <w:r w:rsidRPr="002A7446">
        <w:rPr>
          <w:lang w:val="de-DE"/>
        </w:rPr>
        <w:tab/>
        <w:t xml:space="preserve">Angelova M, Charoentong P, Hackl H, Fischer ML, Snajder R, Krogsdam AM, et al. </w:t>
      </w:r>
      <w:r w:rsidRPr="002A7446">
        <w:t xml:space="preserve">Characterization of the immunophenotypes and antigenomes of colorectal cancers reveals distinct tumor escape mechanisms and novel targets for immunotherapy. </w:t>
      </w:r>
      <w:r w:rsidRPr="002A7446">
        <w:rPr>
          <w:i/>
        </w:rPr>
        <w:t>Genome Biol</w:t>
      </w:r>
      <w:r w:rsidRPr="002A7446">
        <w:t xml:space="preserve"> (2015) 16(1):1-17. doi: 10.1186/s13059-015-0620-6.</w:t>
      </w:r>
      <w:bookmarkEnd w:id="61"/>
    </w:p>
    <w:p w14:paraId="0BF7CD21" w14:textId="77777777" w:rsidR="00706A63" w:rsidRPr="002A7446" w:rsidRDefault="00706A63" w:rsidP="00706A63">
      <w:pPr>
        <w:pStyle w:val="EndNoteBibliography"/>
        <w:spacing w:after="0"/>
      </w:pPr>
      <w:bookmarkStart w:id="62" w:name="_ENREF_38"/>
      <w:r w:rsidRPr="002A7446">
        <w:t>38.</w:t>
      </w:r>
      <w:r w:rsidRPr="002A7446">
        <w:tab/>
        <w:t xml:space="preserve">Bindea G, Mlecnik B, Tosolini M, Kirilovsky A, Waldner M, Obenauf AC. Spatiotemporal dynamics of intratumoral immune cells reveal the immune landscape in human cancer. </w:t>
      </w:r>
      <w:r w:rsidRPr="002A7446">
        <w:rPr>
          <w:i/>
        </w:rPr>
        <w:t>Immunity</w:t>
      </w:r>
      <w:r w:rsidRPr="002A7446">
        <w:t xml:space="preserve"> (2013) 39:782 - 95. doi: 10.1016/j.immuni.2013.10.003.</w:t>
      </w:r>
      <w:bookmarkEnd w:id="62"/>
    </w:p>
    <w:p w14:paraId="0445500A" w14:textId="77777777" w:rsidR="00706A63" w:rsidRPr="002A7446" w:rsidRDefault="00706A63" w:rsidP="00706A63">
      <w:pPr>
        <w:pStyle w:val="EndNoteBibliography"/>
        <w:spacing w:after="0"/>
      </w:pPr>
      <w:bookmarkStart w:id="63" w:name="_ENREF_39"/>
      <w:r w:rsidRPr="002A7446">
        <w:t>39.</w:t>
      </w:r>
      <w:r w:rsidRPr="002A7446">
        <w:tab/>
        <w:t xml:space="preserve">Delano MJ, Scumpia PO, Weinstein JS, Coco D, Nagaraj S, Kelly-Scumpia KM, et al. MyD88-dependent expansion of an immature GR-1&lt;sup&gt;+&lt;/sup&gt;CD11b&lt;sup&gt;+&lt;/sup&gt; population induces T cell suppression and Th2 polarization in sepsis. </w:t>
      </w:r>
      <w:r w:rsidRPr="002A7446">
        <w:rPr>
          <w:i/>
        </w:rPr>
        <w:t>The Journal of Experimental Medicine</w:t>
      </w:r>
      <w:r w:rsidRPr="002A7446">
        <w:t xml:space="preserve"> (2007) 204(6):1463-74. doi: 10.1084/jem.20062602.</w:t>
      </w:r>
      <w:bookmarkEnd w:id="63"/>
    </w:p>
    <w:p w14:paraId="4183B821" w14:textId="77777777" w:rsidR="00706A63" w:rsidRPr="002A7446" w:rsidRDefault="00706A63" w:rsidP="00706A63">
      <w:pPr>
        <w:pStyle w:val="EndNoteBibliography"/>
        <w:spacing w:after="0"/>
      </w:pPr>
      <w:bookmarkStart w:id="64" w:name="_ENREF_40"/>
      <w:r w:rsidRPr="002A7446">
        <w:t>40.</w:t>
      </w:r>
      <w:r w:rsidRPr="002A7446">
        <w:tab/>
        <w:t xml:space="preserve">Luckheeram RV, Zhou R, Verma AD, Xia B. CD4+T Cells: Differentiation and Functions. </w:t>
      </w:r>
      <w:r w:rsidRPr="002A7446">
        <w:rPr>
          <w:i/>
        </w:rPr>
        <w:t>Clinical and Developmental Immunology</w:t>
      </w:r>
      <w:r w:rsidRPr="002A7446">
        <w:t xml:space="preserve"> (2012) 2012:12. doi: 10.1155/2012/925135.</w:t>
      </w:r>
      <w:bookmarkEnd w:id="64"/>
    </w:p>
    <w:p w14:paraId="335F7159" w14:textId="77777777" w:rsidR="00706A63" w:rsidRPr="002A7446" w:rsidRDefault="00706A63" w:rsidP="00706A63">
      <w:pPr>
        <w:pStyle w:val="EndNoteBibliography"/>
        <w:spacing w:after="0"/>
      </w:pPr>
      <w:bookmarkStart w:id="65" w:name="_ENREF_41"/>
      <w:r w:rsidRPr="002A7446">
        <w:t>41.</w:t>
      </w:r>
      <w:r w:rsidRPr="002A7446">
        <w:tab/>
        <w:t xml:space="preserve">Dumeaux V, Olsen KS, Nuel G, Paulssen RH, Børresen-Dale A-L, Lund E. Deciphering Normal Blood Gene Expression Variation—The NOWAC Postgenome Study. </w:t>
      </w:r>
      <w:r w:rsidRPr="002A7446">
        <w:rPr>
          <w:i/>
        </w:rPr>
        <w:t>PLoS Genet</w:t>
      </w:r>
      <w:r w:rsidRPr="002A7446">
        <w:t xml:space="preserve"> (2010) 6(3):e1000873. doi: 10.1371/journal.pgen.1000873.</w:t>
      </w:r>
      <w:bookmarkEnd w:id="65"/>
    </w:p>
    <w:p w14:paraId="703F6579" w14:textId="77777777" w:rsidR="00706A63" w:rsidRPr="002A7446" w:rsidRDefault="00706A63" w:rsidP="00706A63">
      <w:pPr>
        <w:pStyle w:val="EndNoteBibliography"/>
      </w:pPr>
      <w:bookmarkStart w:id="66" w:name="_ENREF_42"/>
      <w:r w:rsidRPr="002A7446">
        <w:t>42.</w:t>
      </w:r>
      <w:r w:rsidRPr="002A7446">
        <w:tab/>
        <w:t xml:space="preserve">Peters MJ, Joehanes R, Pilling LC, Schurmann C, Conneely KN, Powell J, et al. The transcriptional landscape of age in human peripheral blood. </w:t>
      </w:r>
      <w:r w:rsidRPr="002A7446">
        <w:rPr>
          <w:i/>
        </w:rPr>
        <w:t>Nature Communications</w:t>
      </w:r>
      <w:r w:rsidRPr="002A7446">
        <w:t xml:space="preserve"> (2015) 6:8570. doi: 10.1038/ncomms9570</w:t>
      </w:r>
    </w:p>
    <w:p w14:paraId="5C24FBE7" w14:textId="4FF94002" w:rsidR="00706A63" w:rsidRPr="002A7446" w:rsidRDefault="00706A63" w:rsidP="00706A63">
      <w:pPr>
        <w:pStyle w:val="EndNoteBibliography"/>
        <w:spacing w:after="0"/>
      </w:pPr>
      <w:r w:rsidRPr="002A7446">
        <w:t>https://www.nature.com/articles/ncomms9570#supplementary-information.</w:t>
      </w:r>
      <w:bookmarkEnd w:id="66"/>
    </w:p>
    <w:p w14:paraId="1041A608" w14:textId="77777777" w:rsidR="00706A63" w:rsidRPr="002A7446" w:rsidRDefault="00706A63" w:rsidP="00706A63">
      <w:pPr>
        <w:pStyle w:val="EndNoteBibliography"/>
        <w:spacing w:after="0"/>
        <w:rPr>
          <w:lang w:val="de-DE"/>
        </w:rPr>
      </w:pPr>
      <w:bookmarkStart w:id="67" w:name="_ENREF_43"/>
      <w:r w:rsidRPr="002A7446">
        <w:rPr>
          <w:lang w:val="de-DE"/>
        </w:rPr>
        <w:t>43.</w:t>
      </w:r>
      <w:r w:rsidRPr="002A7446">
        <w:rPr>
          <w:lang w:val="de-DE"/>
        </w:rPr>
        <w:tab/>
        <w:t xml:space="preserve">Huan T, Esko T, Peters MJ, Pilling LC, Schramm K, Schurmann C, et al. </w:t>
      </w:r>
      <w:r w:rsidRPr="002A7446">
        <w:t xml:space="preserve">A Meta-analysis of Gene Expression Signatures of Blood Pressure and Hypertension. </w:t>
      </w:r>
      <w:r w:rsidRPr="002A7446">
        <w:rPr>
          <w:i/>
          <w:lang w:val="de-DE"/>
        </w:rPr>
        <w:t>PLoS Genet</w:t>
      </w:r>
      <w:r w:rsidRPr="002A7446">
        <w:rPr>
          <w:lang w:val="de-DE"/>
        </w:rPr>
        <w:t xml:space="preserve"> (2015) 11(3):e1005035. doi: 10.1371/journal.pgen.1005035.</w:t>
      </w:r>
      <w:bookmarkEnd w:id="67"/>
    </w:p>
    <w:p w14:paraId="2F5D69D9" w14:textId="77777777" w:rsidR="00706A63" w:rsidRPr="002A7446" w:rsidRDefault="00706A63" w:rsidP="00706A63">
      <w:pPr>
        <w:pStyle w:val="EndNoteBibliography"/>
        <w:spacing w:after="0"/>
      </w:pPr>
      <w:bookmarkStart w:id="68" w:name="_ENREF_44"/>
      <w:r w:rsidRPr="002A7446">
        <w:rPr>
          <w:lang w:val="de-DE"/>
        </w:rPr>
        <w:t>44.</w:t>
      </w:r>
      <w:r w:rsidRPr="002A7446">
        <w:rPr>
          <w:lang w:val="de-DE"/>
        </w:rPr>
        <w:tab/>
        <w:t xml:space="preserve">Homuth G, Wahl S, Müller C, Schurmann C, Mäder U, Blankenberg S, et al. </w:t>
      </w:r>
      <w:r w:rsidRPr="002A7446">
        <w:t xml:space="preserve">Extensive alterations of the whole-blood transcriptome are associated with body mass index: results of an mRNA profiling study involving two large population-based cohorts. </w:t>
      </w:r>
      <w:r w:rsidRPr="002A7446">
        <w:rPr>
          <w:i/>
        </w:rPr>
        <w:t>BMC Medical Genomics</w:t>
      </w:r>
      <w:r w:rsidRPr="002A7446">
        <w:t xml:space="preserve"> (2015) 8:65. doi: 10.1186/s12920-015-0141-x. PubMed PMID: PMC4608219.</w:t>
      </w:r>
      <w:bookmarkEnd w:id="68"/>
    </w:p>
    <w:p w14:paraId="2D9ED85A" w14:textId="77777777" w:rsidR="00706A63" w:rsidRPr="002A7446" w:rsidRDefault="00706A63" w:rsidP="00706A63">
      <w:pPr>
        <w:pStyle w:val="EndNoteBibliography"/>
        <w:spacing w:after="0"/>
      </w:pPr>
      <w:bookmarkStart w:id="69" w:name="_ENREF_45"/>
      <w:r w:rsidRPr="002A7446">
        <w:t>45.</w:t>
      </w:r>
      <w:r w:rsidRPr="002A7446">
        <w:tab/>
        <w:t xml:space="preserve">Pavia AT. What is the Role of Respiratory Viruses in Community Acquired Pneumonia; What is the Best Therapy for Influenza and Other Viral Causes of CAP? </w:t>
      </w:r>
      <w:r w:rsidRPr="002A7446">
        <w:rPr>
          <w:i/>
        </w:rPr>
        <w:t>Infectious disease clinics of North America</w:t>
      </w:r>
      <w:r w:rsidRPr="002A7446">
        <w:t xml:space="preserve"> (2013) 27(1):157-75. doi: 10.1016/j.idc.2012.11.007. PubMed PMID: PMC3572787.</w:t>
      </w:r>
      <w:bookmarkEnd w:id="69"/>
    </w:p>
    <w:p w14:paraId="00EEF195" w14:textId="77777777" w:rsidR="00706A63" w:rsidRPr="002A7446" w:rsidRDefault="00706A63" w:rsidP="00706A63">
      <w:pPr>
        <w:pStyle w:val="EndNoteBibliography"/>
        <w:spacing w:after="0"/>
      </w:pPr>
      <w:bookmarkStart w:id="70" w:name="_ENREF_46"/>
      <w:r w:rsidRPr="002A7446">
        <w:t>46.</w:t>
      </w:r>
      <w:r w:rsidRPr="002A7446">
        <w:tab/>
        <w:t xml:space="preserve">Andres-Terre M, McGuire Helen M, Pouliot Y, Bongen E, Sweeney Timothy E, Tato Cristina M, et al. Integrated, Multi-cohort Analysis Identifies Conserved Transcriptional Signatures across Multiple Respiratory Viruses. </w:t>
      </w:r>
      <w:r w:rsidRPr="002A7446">
        <w:rPr>
          <w:i/>
        </w:rPr>
        <w:t>Immunity</w:t>
      </w:r>
      <w:r w:rsidRPr="002A7446">
        <w:t xml:space="preserve"> (2015) 43(6):1199-211. doi: 10.1016/j.immuni.2015.11.003.</w:t>
      </w:r>
      <w:bookmarkEnd w:id="70"/>
    </w:p>
    <w:p w14:paraId="3E14CEB0" w14:textId="77777777" w:rsidR="00706A63" w:rsidRPr="002A7446" w:rsidRDefault="00706A63" w:rsidP="00706A63">
      <w:pPr>
        <w:pStyle w:val="EndNoteBibliography"/>
        <w:spacing w:after="0"/>
      </w:pPr>
      <w:bookmarkStart w:id="71" w:name="_ENREF_47"/>
      <w:r w:rsidRPr="002A7446">
        <w:t>47.</w:t>
      </w:r>
      <w:r w:rsidRPr="002A7446">
        <w:tab/>
        <w:t xml:space="preserve">Sweeney TE, Wong HR, Khatri P. Robust classification of bacterial and viral infections via integrated host gene expression diagnostics. </w:t>
      </w:r>
      <w:r w:rsidRPr="002A7446">
        <w:rPr>
          <w:i/>
        </w:rPr>
        <w:t>Science Translational Medicine</w:t>
      </w:r>
      <w:r w:rsidRPr="002A7446">
        <w:t xml:space="preserve"> (2016) 8(346):346ra91-ra91. doi: 10.1126/scitranslmed.aaf7165. PubMed PMID: PMC5348917.</w:t>
      </w:r>
      <w:bookmarkEnd w:id="71"/>
    </w:p>
    <w:p w14:paraId="14BCB474" w14:textId="77777777" w:rsidR="00706A63" w:rsidRPr="002A7446" w:rsidRDefault="00706A63" w:rsidP="00706A63">
      <w:pPr>
        <w:pStyle w:val="EndNoteBibliography"/>
        <w:spacing w:after="0"/>
      </w:pPr>
      <w:bookmarkStart w:id="72" w:name="_ENREF_48"/>
      <w:r w:rsidRPr="002A7446">
        <w:t>48.</w:t>
      </w:r>
      <w:r w:rsidRPr="002A7446">
        <w:tab/>
        <w:t xml:space="preserve">Biswas SK, Lopez-Collazo E. Endotoxin tolerance: new mechanisms, molecules and clinical significance. </w:t>
      </w:r>
      <w:r w:rsidRPr="002A7446">
        <w:rPr>
          <w:i/>
        </w:rPr>
        <w:t>Trends in Immunology</w:t>
      </w:r>
      <w:r w:rsidRPr="002A7446">
        <w:t xml:space="preserve"> (2009) 30(10):475-87. doi: 10.1016/j.it.2009.07.009.</w:t>
      </w:r>
      <w:bookmarkEnd w:id="72"/>
    </w:p>
    <w:p w14:paraId="35447108" w14:textId="77777777" w:rsidR="00706A63" w:rsidRPr="002A7446" w:rsidRDefault="00706A63" w:rsidP="00706A63">
      <w:pPr>
        <w:pStyle w:val="EndNoteBibliography"/>
        <w:spacing w:after="0"/>
      </w:pPr>
      <w:bookmarkStart w:id="73" w:name="_ENREF_49"/>
      <w:r w:rsidRPr="002A7446">
        <w:t>49.</w:t>
      </w:r>
      <w:r w:rsidRPr="002A7446">
        <w:tab/>
        <w:t xml:space="preserve">Morris MC, Gilliam EA, Li L. Innate Immune Programing by Endotoxin and Its Pathological Consequences. </w:t>
      </w:r>
      <w:r w:rsidRPr="002A7446">
        <w:rPr>
          <w:i/>
        </w:rPr>
        <w:t>Frontiers in Immunology</w:t>
      </w:r>
      <w:r w:rsidRPr="002A7446">
        <w:t xml:space="preserve"> (2015) 5(680). doi: 10.3389/fimmu.2014.00680.</w:t>
      </w:r>
      <w:bookmarkEnd w:id="73"/>
    </w:p>
    <w:p w14:paraId="4E6BDF43" w14:textId="77777777" w:rsidR="00706A63" w:rsidRPr="002A7446" w:rsidRDefault="00706A63" w:rsidP="00706A63">
      <w:pPr>
        <w:pStyle w:val="EndNoteBibliography"/>
        <w:spacing w:after="0"/>
      </w:pPr>
      <w:bookmarkStart w:id="74" w:name="_ENREF_50"/>
      <w:r w:rsidRPr="002A7446">
        <w:t>50.</w:t>
      </w:r>
      <w:r w:rsidRPr="002A7446">
        <w:tab/>
        <w:t xml:space="preserve">Pena OM, Hancock DG, Lyle NH, Linder A, Russell JA, Xia J, et al. An Endotoxin Tolerance Signature Predicts Sepsis and Organ Dysfunction at Initial Clinical Presentation. </w:t>
      </w:r>
      <w:r w:rsidRPr="002A7446">
        <w:rPr>
          <w:i/>
        </w:rPr>
        <w:t>EBioMedicine</w:t>
      </w:r>
      <w:r w:rsidRPr="002A7446">
        <w:t xml:space="preserve"> (2014) 1(1):64-71. doi: 10.1016/j.ebiom.2014.10.003. PubMed PMID: PMC4326653.</w:t>
      </w:r>
      <w:bookmarkEnd w:id="74"/>
    </w:p>
    <w:p w14:paraId="546A630E" w14:textId="77777777" w:rsidR="00706A63" w:rsidRPr="002A7446" w:rsidRDefault="00706A63" w:rsidP="00706A63">
      <w:pPr>
        <w:pStyle w:val="EndNoteBibliography"/>
      </w:pPr>
      <w:bookmarkStart w:id="75" w:name="_ENREF_51"/>
      <w:r w:rsidRPr="002A7446">
        <w:t>51.</w:t>
      </w:r>
      <w:r w:rsidRPr="002A7446">
        <w:tab/>
        <w:t xml:space="preserve">Foster SL, Hargreaves DC, Medzhitov R. Gene-specific control of inflammation by TLR-induced chromatin modifications. </w:t>
      </w:r>
      <w:r w:rsidRPr="002A7446">
        <w:rPr>
          <w:i/>
        </w:rPr>
        <w:t>Nature</w:t>
      </w:r>
      <w:r w:rsidRPr="002A7446">
        <w:t xml:space="preserve"> (2007) 447:972. doi: 10.1038/nature05836</w:t>
      </w:r>
    </w:p>
    <w:p w14:paraId="5B0B8E05" w14:textId="7CC53726" w:rsidR="00706A63" w:rsidRPr="002A7446" w:rsidRDefault="00706A63" w:rsidP="00706A63">
      <w:pPr>
        <w:pStyle w:val="EndNoteBibliography"/>
        <w:spacing w:after="0"/>
      </w:pPr>
      <w:r w:rsidRPr="002A7446">
        <w:t>https://www.nature.com/articles/nature05836#supplementary-information.</w:t>
      </w:r>
      <w:bookmarkEnd w:id="75"/>
    </w:p>
    <w:p w14:paraId="4DFAB9DC" w14:textId="77777777" w:rsidR="00706A63" w:rsidRPr="002A7446" w:rsidRDefault="00706A63" w:rsidP="00706A63">
      <w:pPr>
        <w:pStyle w:val="EndNoteBibliography"/>
        <w:spacing w:after="0"/>
      </w:pPr>
      <w:bookmarkStart w:id="76" w:name="_ENREF_52"/>
      <w:r w:rsidRPr="002A7446">
        <w:t>52.</w:t>
      </w:r>
      <w:r w:rsidRPr="002A7446">
        <w:tab/>
        <w:t xml:space="preserve">Coates PJ, Rundle JK, Lorimore SA, Wright EG. Indirect Macrophage Responses to Ionizing Radiation: Implications for Genotype-Dependent Bystander Signaling. </w:t>
      </w:r>
      <w:r w:rsidRPr="002A7446">
        <w:rPr>
          <w:i/>
        </w:rPr>
        <w:t>Cancer Research</w:t>
      </w:r>
      <w:r w:rsidRPr="002A7446">
        <w:t xml:space="preserve"> (2008) 68(2):450-6. doi: 10.1158/0008-5472.can-07-3050.</w:t>
      </w:r>
      <w:bookmarkEnd w:id="76"/>
    </w:p>
    <w:p w14:paraId="4187A222" w14:textId="77777777" w:rsidR="00706A63" w:rsidRPr="002A7446" w:rsidRDefault="00706A63" w:rsidP="00706A63">
      <w:pPr>
        <w:pStyle w:val="EndNoteBibliography"/>
        <w:spacing w:after="0"/>
      </w:pPr>
      <w:bookmarkStart w:id="77" w:name="_ENREF_53"/>
      <w:r w:rsidRPr="002A7446">
        <w:t>53.</w:t>
      </w:r>
      <w:r w:rsidRPr="002A7446">
        <w:tab/>
        <w:t xml:space="preserve">Mantovani, Alberto, Sica, Antonio, Locati M. Macrophage Polarization Comes of Age. </w:t>
      </w:r>
      <w:r w:rsidRPr="002A7446">
        <w:rPr>
          <w:i/>
        </w:rPr>
        <w:t>Immunity</w:t>
      </w:r>
      <w:r w:rsidRPr="002A7446">
        <w:t xml:space="preserve"> (2005) 23(4):344-6. doi: 10.1016/j.immuni.2005.10.001.</w:t>
      </w:r>
      <w:bookmarkEnd w:id="77"/>
    </w:p>
    <w:p w14:paraId="0CE57943" w14:textId="77777777" w:rsidR="00706A63" w:rsidRPr="002A7446" w:rsidRDefault="00706A63" w:rsidP="00706A63">
      <w:pPr>
        <w:pStyle w:val="EndNoteBibliography"/>
        <w:spacing w:after="0"/>
      </w:pPr>
      <w:bookmarkStart w:id="78" w:name="_ENREF_54"/>
      <w:r w:rsidRPr="002A7446">
        <w:t>54.</w:t>
      </w:r>
      <w:r w:rsidRPr="002A7446">
        <w:tab/>
        <w:t xml:space="preserve">Furuya Y, Müllbacher A. Type I IFN Exhaustion is a Host Defence Protecting Against Secondary Bacterial Infections. </w:t>
      </w:r>
      <w:r w:rsidRPr="002A7446">
        <w:rPr>
          <w:i/>
        </w:rPr>
        <w:t>Scandinavian Journal of Immunology</w:t>
      </w:r>
      <w:r w:rsidRPr="002A7446">
        <w:t xml:space="preserve"> (2013) 78(5):395-400. doi: 10.1111/sji.12107.</w:t>
      </w:r>
      <w:bookmarkEnd w:id="78"/>
    </w:p>
    <w:p w14:paraId="5475023F" w14:textId="77777777" w:rsidR="00706A63" w:rsidRPr="002A7446" w:rsidRDefault="00706A63" w:rsidP="00706A63">
      <w:pPr>
        <w:pStyle w:val="EndNoteBibliography"/>
        <w:spacing w:after="0"/>
      </w:pPr>
      <w:bookmarkStart w:id="79" w:name="_ENREF_55"/>
      <w:r w:rsidRPr="002A7446">
        <w:t>55.</w:t>
      </w:r>
      <w:r w:rsidRPr="002A7446">
        <w:tab/>
        <w:t xml:space="preserve">Burk M, El-Kersh K, Saad M, Wiemken T, Ramirez J, Cavallazzi R. Viral infection in community-acquired pneumonia: a systematic review and meta-analysis. </w:t>
      </w:r>
      <w:r w:rsidRPr="002A7446">
        <w:rPr>
          <w:i/>
        </w:rPr>
        <w:t>European Respiratory Review</w:t>
      </w:r>
      <w:r w:rsidRPr="002A7446">
        <w:t xml:space="preserve"> (2016) 25(140):178-88. doi: 10.1183/16000617.0076-2015.</w:t>
      </w:r>
      <w:bookmarkEnd w:id="79"/>
    </w:p>
    <w:p w14:paraId="2A44B331" w14:textId="77777777" w:rsidR="00706A63" w:rsidRPr="002A7446" w:rsidRDefault="00706A63" w:rsidP="00706A63">
      <w:pPr>
        <w:pStyle w:val="EndNoteBibliography"/>
        <w:spacing w:after="0"/>
      </w:pPr>
      <w:bookmarkStart w:id="80" w:name="_ENREF_56"/>
      <w:r w:rsidRPr="002A7446">
        <w:t>56.</w:t>
      </w:r>
      <w:r w:rsidRPr="002A7446">
        <w:tab/>
        <w:t xml:space="preserve">Shu J, Zhang F, Zhang L, Wei W. G protein coupled receptors signaling pathways implicate in inflammatory and immune response of rheumatoid arthritis. </w:t>
      </w:r>
      <w:r w:rsidRPr="002A7446">
        <w:rPr>
          <w:i/>
        </w:rPr>
        <w:t>Inflammation Research</w:t>
      </w:r>
      <w:r w:rsidRPr="002A7446">
        <w:t xml:space="preserve"> (2017) 66(5):379-87. doi: 10.1007/s00011-016-1011-5.</w:t>
      </w:r>
      <w:bookmarkEnd w:id="80"/>
    </w:p>
    <w:p w14:paraId="0812C5E4" w14:textId="77777777" w:rsidR="00706A63" w:rsidRPr="002A7446" w:rsidRDefault="00706A63" w:rsidP="00706A63">
      <w:pPr>
        <w:pStyle w:val="EndNoteBibliography"/>
        <w:spacing w:after="0"/>
      </w:pPr>
      <w:bookmarkStart w:id="81" w:name="_ENREF_57"/>
      <w:r w:rsidRPr="002A7446">
        <w:t>57.</w:t>
      </w:r>
      <w:r w:rsidRPr="002A7446">
        <w:tab/>
        <w:t xml:space="preserve">Zhang L, Shi G. Gq-Coupled Receptors in Autoimmunity. </w:t>
      </w:r>
      <w:r w:rsidRPr="002A7446">
        <w:rPr>
          <w:i/>
        </w:rPr>
        <w:t>Journal of Immunology Research</w:t>
      </w:r>
      <w:r w:rsidRPr="002A7446">
        <w:t xml:space="preserve"> (2016) 2016:8. doi: 10.1155/2016/3969023.</w:t>
      </w:r>
      <w:bookmarkEnd w:id="81"/>
    </w:p>
    <w:p w14:paraId="69628F4F" w14:textId="77777777" w:rsidR="00706A63" w:rsidRPr="002A7446" w:rsidRDefault="00706A63" w:rsidP="00706A63">
      <w:pPr>
        <w:pStyle w:val="EndNoteBibliography"/>
        <w:spacing w:after="0"/>
      </w:pPr>
      <w:bookmarkStart w:id="82" w:name="_ENREF_58"/>
      <w:r w:rsidRPr="002A7446">
        <w:rPr>
          <w:lang w:val="de-DE"/>
        </w:rPr>
        <w:t>58.</w:t>
      </w:r>
      <w:r w:rsidRPr="002A7446">
        <w:rPr>
          <w:lang w:val="de-DE"/>
        </w:rPr>
        <w:tab/>
        <w:t xml:space="preserve">Lu L-F, Gavin MA, Rasmussen JP, Rudensky AY. </w:t>
      </w:r>
      <w:r w:rsidRPr="002A7446">
        <w:t xml:space="preserve">G Protein-Coupled Receptor 83 Is Dispensable for the Development and Function of Regulatory T Cells. </w:t>
      </w:r>
      <w:r w:rsidRPr="002A7446">
        <w:rPr>
          <w:i/>
        </w:rPr>
        <w:t>Molecular and Cellular Biology</w:t>
      </w:r>
      <w:r w:rsidRPr="002A7446">
        <w:t xml:space="preserve"> (2007) 27(23):8065-72. doi: 10.1128/mcb.01075-07.</w:t>
      </w:r>
      <w:bookmarkEnd w:id="82"/>
    </w:p>
    <w:p w14:paraId="544AC778" w14:textId="77777777" w:rsidR="00706A63" w:rsidRPr="002A7446" w:rsidRDefault="00706A63" w:rsidP="00706A63">
      <w:pPr>
        <w:pStyle w:val="EndNoteBibliography"/>
        <w:spacing w:after="0"/>
      </w:pPr>
      <w:bookmarkStart w:id="83" w:name="_ENREF_59"/>
      <w:r w:rsidRPr="002A7446">
        <w:t>59.</w:t>
      </w:r>
      <w:r w:rsidRPr="002A7446">
        <w:tab/>
        <w:t xml:space="preserve">Polouliakh N, Nock R, Nielsen F, Kitano H. G-Protein Coupled Receptor Signaling Architecture of Mammalian Immune Cells. </w:t>
      </w:r>
      <w:r w:rsidRPr="002A7446">
        <w:rPr>
          <w:i/>
        </w:rPr>
        <w:t>PLOS one</w:t>
      </w:r>
      <w:r w:rsidRPr="002A7446">
        <w:t xml:space="preserve"> (2009) 4(1):e4189. doi: 10.1371/journal.pone.0004189.</w:t>
      </w:r>
      <w:bookmarkEnd w:id="83"/>
    </w:p>
    <w:p w14:paraId="48AC5B85" w14:textId="77777777" w:rsidR="00706A63" w:rsidRPr="002A7446" w:rsidRDefault="00706A63" w:rsidP="00706A63">
      <w:pPr>
        <w:pStyle w:val="EndNoteBibliography"/>
        <w:spacing w:after="0"/>
      </w:pPr>
      <w:bookmarkStart w:id="84" w:name="_ENREF_60"/>
      <w:r w:rsidRPr="002A7446">
        <w:t>60.</w:t>
      </w:r>
      <w:r w:rsidRPr="002A7446">
        <w:tab/>
        <w:t xml:space="preserve">Néemeth ZH, Leibovich SJ, Deitch EA, Vizi ES, Szabó C, Haskó G. cDNA Microarray Analysis Reveals a Nuclear Factor-κB-Independent Regulation of Macrophage Function by Adenosine. </w:t>
      </w:r>
      <w:r w:rsidRPr="002A7446">
        <w:rPr>
          <w:i/>
        </w:rPr>
        <w:t>Journal of Pharmacology and Experimental Therapeutics</w:t>
      </w:r>
      <w:r w:rsidRPr="002A7446">
        <w:t xml:space="preserve"> (2003) 306(3):1042-9. doi: 10.1124/jpet.103.052944.</w:t>
      </w:r>
      <w:bookmarkEnd w:id="84"/>
    </w:p>
    <w:p w14:paraId="17589839" w14:textId="77777777" w:rsidR="00706A63" w:rsidRPr="002A7446" w:rsidRDefault="00706A63" w:rsidP="00706A63">
      <w:pPr>
        <w:pStyle w:val="EndNoteBibliography"/>
        <w:spacing w:after="0"/>
      </w:pPr>
      <w:bookmarkStart w:id="85" w:name="_ENREF_61"/>
      <w:r w:rsidRPr="002A7446">
        <w:t>61.</w:t>
      </w:r>
      <w:r w:rsidRPr="002A7446">
        <w:tab/>
        <w:t xml:space="preserve">Sweeney TE, Shidham A, Wong HR, Khatri P. A comprehensive time-course–based multicohort analysis of sepsis and sterile inflammation reveals a robust diagnostic gene set. </w:t>
      </w:r>
      <w:r w:rsidRPr="002A7446">
        <w:rPr>
          <w:i/>
        </w:rPr>
        <w:t>Science Translational Medicine</w:t>
      </w:r>
      <w:r w:rsidRPr="002A7446">
        <w:t xml:space="preserve"> (2015) 7(287):287ra71-ra71. doi: 10.1126/scitranslmed.aaa5993.</w:t>
      </w:r>
      <w:bookmarkEnd w:id="85"/>
    </w:p>
    <w:p w14:paraId="3D9B9CB0" w14:textId="77777777" w:rsidR="00706A63" w:rsidRPr="002A7446" w:rsidRDefault="00706A63" w:rsidP="00706A63">
      <w:pPr>
        <w:pStyle w:val="EndNoteBibliography"/>
        <w:spacing w:after="0"/>
      </w:pPr>
      <w:bookmarkStart w:id="86" w:name="_ENREF_62"/>
      <w:r w:rsidRPr="002A7446">
        <w:t>62.</w:t>
      </w:r>
      <w:r w:rsidRPr="002A7446">
        <w:tab/>
        <w:t xml:space="preserve">Middleton EA, Weyrich AS, Zimmerman GA. Platelets in Pulmonary Immune Responses and Inflammatory Lung Diseases. </w:t>
      </w:r>
      <w:r w:rsidRPr="002A7446">
        <w:rPr>
          <w:i/>
        </w:rPr>
        <w:t>Physiological Reviews</w:t>
      </w:r>
      <w:r w:rsidRPr="002A7446">
        <w:t xml:space="preserve"> (2016) 96(4):1211-59. doi: 10.1152/physrev.00038.2015. PubMed PMID: 27489307.</w:t>
      </w:r>
      <w:bookmarkEnd w:id="86"/>
    </w:p>
    <w:p w14:paraId="27491589" w14:textId="77777777" w:rsidR="00706A63" w:rsidRPr="002A7446" w:rsidRDefault="00706A63" w:rsidP="00706A63">
      <w:pPr>
        <w:pStyle w:val="EndNoteBibliography"/>
        <w:spacing w:after="0"/>
      </w:pPr>
      <w:bookmarkStart w:id="87" w:name="_ENREF_63"/>
      <w:r w:rsidRPr="002A7446">
        <w:t>63.</w:t>
      </w:r>
      <w:r w:rsidRPr="002A7446">
        <w:tab/>
        <w:t xml:space="preserve">Kabanova S, Kleinbongard P, Volkmer J, Andrée B, Kelm M, Jax TW. Gene expression analysis of human red blood cells. </w:t>
      </w:r>
      <w:r w:rsidRPr="002A7446">
        <w:rPr>
          <w:i/>
        </w:rPr>
        <w:t>International Journal of Medical Sciences</w:t>
      </w:r>
      <w:r w:rsidRPr="002A7446">
        <w:t xml:space="preserve"> (2009) 6(4):156-9. PubMed PMID: PMC2677714.</w:t>
      </w:r>
      <w:bookmarkEnd w:id="87"/>
    </w:p>
    <w:p w14:paraId="206B3E6B" w14:textId="77777777" w:rsidR="00706A63" w:rsidRPr="002A7446" w:rsidRDefault="00706A63" w:rsidP="00706A63">
      <w:pPr>
        <w:pStyle w:val="EndNoteBibliography"/>
        <w:spacing w:after="0"/>
      </w:pPr>
      <w:bookmarkStart w:id="88" w:name="_ENREF_64"/>
      <w:r w:rsidRPr="002A7446">
        <w:t>64.</w:t>
      </w:r>
      <w:r w:rsidRPr="002A7446">
        <w:tab/>
        <w:t xml:space="preserve">Rowley JW, Schwertz H, Weyrich AS. Platelet mRNA: the meaning behind the message. </w:t>
      </w:r>
      <w:r w:rsidRPr="002A7446">
        <w:rPr>
          <w:i/>
        </w:rPr>
        <w:t>Current Opinion in Hematology</w:t>
      </w:r>
      <w:r w:rsidRPr="002A7446">
        <w:t xml:space="preserve"> (2012) 19(5):385-91. doi: 10.1097/MOH.0b013e328357010e. PubMed PMID: PMC3670814.</w:t>
      </w:r>
      <w:bookmarkEnd w:id="88"/>
    </w:p>
    <w:p w14:paraId="74DC2A05" w14:textId="77777777" w:rsidR="00706A63" w:rsidRPr="002A7446" w:rsidRDefault="00706A63" w:rsidP="00706A63">
      <w:pPr>
        <w:pStyle w:val="EndNoteBibliography"/>
        <w:spacing w:after="0"/>
      </w:pPr>
      <w:bookmarkStart w:id="89" w:name="_ENREF_65"/>
      <w:r w:rsidRPr="002A7446">
        <w:t>65.</w:t>
      </w:r>
      <w:r w:rsidRPr="002A7446">
        <w:tab/>
        <w:t xml:space="preserve">Schoorl M, Snijders D, Boersma WG, Bartels PCM. Temporary impairment of reticulocyte haemoglobin content in subjects with community-acquired pneumonia. </w:t>
      </w:r>
      <w:r w:rsidRPr="002A7446">
        <w:rPr>
          <w:i/>
        </w:rPr>
        <w:t>International Journal of Laboratory Hematology</w:t>
      </w:r>
      <w:r w:rsidRPr="002A7446">
        <w:t xml:space="preserve"> (2012) 34(4):390-5. doi: 10.1111/j.1751-553X.2012.01408.x.</w:t>
      </w:r>
      <w:bookmarkEnd w:id="89"/>
    </w:p>
    <w:p w14:paraId="5D2EDFF1" w14:textId="77777777" w:rsidR="00706A63" w:rsidRPr="002A7446" w:rsidRDefault="00706A63" w:rsidP="00706A63">
      <w:pPr>
        <w:pStyle w:val="EndNoteBibliography"/>
        <w:spacing w:after="0"/>
      </w:pPr>
      <w:bookmarkStart w:id="90" w:name="_ENREF_66"/>
      <w:r w:rsidRPr="002A7446">
        <w:t>66.</w:t>
      </w:r>
      <w:r w:rsidRPr="002A7446">
        <w:tab/>
        <w:t xml:space="preserve">Schoorl M, Snijders D, Schoorl M, Boersma WG, Bartels PCM. Transient impairment of reticulocyte hemoglobin content and hepcidin-25 induction in patients with community-acquired pneumonia. </w:t>
      </w:r>
      <w:r w:rsidRPr="002A7446">
        <w:rPr>
          <w:i/>
        </w:rPr>
        <w:t>Scandinavian Journal of Clinical and Laboratory Investigation</w:t>
      </w:r>
      <w:r w:rsidRPr="002A7446">
        <w:t xml:space="preserve"> (2013) 73(1):54-60. doi: 10.3109/00365513.2012.735694.</w:t>
      </w:r>
      <w:bookmarkEnd w:id="90"/>
    </w:p>
    <w:p w14:paraId="261351C6" w14:textId="77777777" w:rsidR="00706A63" w:rsidRPr="002A7446" w:rsidRDefault="00706A63" w:rsidP="00706A63">
      <w:pPr>
        <w:pStyle w:val="EndNoteBibliography"/>
        <w:spacing w:after="0"/>
      </w:pPr>
      <w:bookmarkStart w:id="91" w:name="_ENREF_67"/>
      <w:r w:rsidRPr="002A7446">
        <w:t>67.</w:t>
      </w:r>
      <w:r w:rsidRPr="002A7446">
        <w:tab/>
        <w:t xml:space="preserve">Reade MC, Weissfeld L, Angus DC, Kellum JA, Milbrandt EB. The prevalence of anemia and its association with 90-day mortality in hospitalized community-acquired pneumonia. </w:t>
      </w:r>
      <w:r w:rsidRPr="002A7446">
        <w:rPr>
          <w:i/>
        </w:rPr>
        <w:t>BMC Pulmonary Medicine</w:t>
      </w:r>
      <w:r w:rsidRPr="002A7446">
        <w:t xml:space="preserve"> (2010) 10(1):15. doi: 10.1186/1471-2466-10-15.</w:t>
      </w:r>
      <w:bookmarkEnd w:id="91"/>
    </w:p>
    <w:p w14:paraId="2962A760" w14:textId="3B8C1DAA" w:rsidR="00706A63" w:rsidRPr="002A7446" w:rsidRDefault="00706A63" w:rsidP="00706A63">
      <w:pPr>
        <w:pStyle w:val="EndNoteBibliography"/>
        <w:spacing w:after="0"/>
      </w:pPr>
      <w:bookmarkStart w:id="92" w:name="_ENREF_68"/>
      <w:r w:rsidRPr="002A7446">
        <w:t>68.</w:t>
      </w:r>
      <w:r w:rsidRPr="002A7446">
        <w:tab/>
        <w:t xml:space="preserve">ElMaraghy AA, AbdelFattah EB, Ahmed MS. Platelet count: Is it a possible marker for severity and outcome of community acquired pneumonia? </w:t>
      </w:r>
      <w:r w:rsidRPr="002A7446">
        <w:rPr>
          <w:i/>
        </w:rPr>
        <w:t>Egyptian Journal of Chest Diseases and Tuberculosis</w:t>
      </w:r>
      <w:r w:rsidRPr="002A7446">
        <w:t xml:space="preserve"> (2016) 65(2):499-504. doi: https://doi.org/10.1016/j.ejcdt.2015.09.001.</w:t>
      </w:r>
      <w:bookmarkEnd w:id="92"/>
    </w:p>
    <w:p w14:paraId="2E0381A6" w14:textId="77777777" w:rsidR="00706A63" w:rsidRPr="002A7446" w:rsidRDefault="00706A63" w:rsidP="00706A63">
      <w:pPr>
        <w:pStyle w:val="EndNoteBibliography"/>
        <w:spacing w:after="0"/>
      </w:pPr>
      <w:bookmarkStart w:id="93" w:name="_ENREF_69"/>
      <w:r w:rsidRPr="002A7446">
        <w:t>69.</w:t>
      </w:r>
      <w:r w:rsidRPr="002A7446">
        <w:tab/>
        <w:t xml:space="preserve">Morrell CN, Aggrey AA, Chapman LM, Modjeski KL. Emerging roles for platelets as immune and inflammatory cells. </w:t>
      </w:r>
      <w:r w:rsidRPr="002A7446">
        <w:rPr>
          <w:i/>
        </w:rPr>
        <w:t>Blood</w:t>
      </w:r>
      <w:r w:rsidRPr="002A7446">
        <w:t xml:space="preserve"> (2014) 123(18):2759-67. doi: 10.1182/blood-2013-11-462432. PubMed PMID: PMC4007605.</w:t>
      </w:r>
      <w:bookmarkEnd w:id="93"/>
    </w:p>
    <w:p w14:paraId="1FBDCC56" w14:textId="77777777" w:rsidR="00706A63" w:rsidRPr="002A7446" w:rsidRDefault="00706A63" w:rsidP="00706A63">
      <w:pPr>
        <w:pStyle w:val="EndNoteBibliography"/>
        <w:spacing w:after="0"/>
      </w:pPr>
      <w:bookmarkStart w:id="94" w:name="_ENREF_70"/>
      <w:r w:rsidRPr="002A7446">
        <w:t>70.</w:t>
      </w:r>
      <w:r w:rsidRPr="002A7446">
        <w:tab/>
        <w:t xml:space="preserve">Doré LC, Crispino JD. Transcription factor networks in erythroid cell and megakaryocyte development. </w:t>
      </w:r>
      <w:r w:rsidRPr="002A7446">
        <w:rPr>
          <w:i/>
        </w:rPr>
        <w:t>Blood</w:t>
      </w:r>
      <w:r w:rsidRPr="002A7446">
        <w:t xml:space="preserve"> (2011) 118(2):231-9. doi: 10.1182/blood-2011-04-285981. PubMed PMID: PMC3138678.</w:t>
      </w:r>
      <w:bookmarkEnd w:id="94"/>
    </w:p>
    <w:p w14:paraId="4D45066A" w14:textId="08417794" w:rsidR="00706A63" w:rsidRPr="002A7446" w:rsidRDefault="00706A63" w:rsidP="00706A63">
      <w:pPr>
        <w:pStyle w:val="EndNoteBibliography"/>
        <w:spacing w:after="0"/>
      </w:pPr>
      <w:bookmarkStart w:id="95" w:name="_ENREF_71"/>
      <w:r w:rsidRPr="002A7446">
        <w:t>71.</w:t>
      </w:r>
      <w:r w:rsidRPr="002A7446">
        <w:tab/>
        <w:t xml:space="preserve">Iwasaki H, Mizuno S-i, Wells RA, Cantor AB, Watanabe S, Akashi K. GATA-1 Converts Lymphoid and Myelomonocytic Progenitors into the Megakaryocyte/Erythrocyte Lineages. </w:t>
      </w:r>
      <w:r w:rsidRPr="002A7446">
        <w:rPr>
          <w:i/>
        </w:rPr>
        <w:t>Immunity</w:t>
      </w:r>
      <w:r w:rsidRPr="002A7446">
        <w:t xml:space="preserve"> (2003) 19(3):451-62. doi: https://doi.org/10.1016/S1074-7613(03)00242-5.</w:t>
      </w:r>
      <w:bookmarkEnd w:id="95"/>
    </w:p>
    <w:p w14:paraId="52A2260D" w14:textId="77777777" w:rsidR="00706A63" w:rsidRPr="002A7446" w:rsidRDefault="00706A63" w:rsidP="00706A63">
      <w:pPr>
        <w:pStyle w:val="EndNoteBibliography"/>
        <w:spacing w:after="0"/>
      </w:pPr>
      <w:bookmarkStart w:id="96" w:name="_ENREF_72"/>
      <w:r w:rsidRPr="002A7446">
        <w:t>72.</w:t>
      </w:r>
      <w:r w:rsidRPr="002A7446">
        <w:tab/>
        <w:t xml:space="preserve">Snow JW, Orkin SH. Translational Isoforms of FOG1 Regulate GATA1-interacting Complexes. </w:t>
      </w:r>
      <w:r w:rsidRPr="002A7446">
        <w:rPr>
          <w:i/>
        </w:rPr>
        <w:t>Journal of Biological Chemistry</w:t>
      </w:r>
      <w:r w:rsidRPr="002A7446">
        <w:t xml:space="preserve"> (2009) 284(43):29310-9. doi: 10.1074/jbc.M109.043497.</w:t>
      </w:r>
      <w:bookmarkEnd w:id="96"/>
    </w:p>
    <w:p w14:paraId="7E10A2FF" w14:textId="77777777" w:rsidR="00706A63" w:rsidRPr="002A7446" w:rsidRDefault="00706A63" w:rsidP="00706A63">
      <w:pPr>
        <w:pStyle w:val="EndNoteBibliography"/>
        <w:spacing w:after="0"/>
      </w:pPr>
      <w:bookmarkStart w:id="97" w:name="_ENREF_73"/>
      <w:r w:rsidRPr="002A7446">
        <w:t>73.</w:t>
      </w:r>
      <w:r w:rsidRPr="002A7446">
        <w:tab/>
        <w:t xml:space="preserve">Vyas P, Ault K, Jackson CW, Orkin SH, Shivdasani RA. Consequences of GATA-1 Deficiency in Megakaryocytes and Platelets. </w:t>
      </w:r>
      <w:r w:rsidRPr="002A7446">
        <w:rPr>
          <w:i/>
        </w:rPr>
        <w:t>Blood</w:t>
      </w:r>
      <w:r w:rsidRPr="002A7446">
        <w:t xml:space="preserve"> (1999) 93(9):2867-75.</w:t>
      </w:r>
      <w:bookmarkEnd w:id="97"/>
    </w:p>
    <w:p w14:paraId="05AF7AF1" w14:textId="77777777" w:rsidR="00706A63" w:rsidRPr="002A7446" w:rsidRDefault="00706A63" w:rsidP="00706A63">
      <w:pPr>
        <w:pStyle w:val="EndNoteBibliography"/>
        <w:spacing w:after="0"/>
      </w:pPr>
      <w:bookmarkStart w:id="98" w:name="_ENREF_74"/>
      <w:r w:rsidRPr="002A7446">
        <w:t>74.</w:t>
      </w:r>
      <w:r w:rsidRPr="002A7446">
        <w:tab/>
        <w:t xml:space="preserve">Del Vecchio GC, Giordani L, De Santis A, De Mattia D. Dyserythropoietic Anemia and Thrombocytopenia due to a Novel Mutation in GATA-1. </w:t>
      </w:r>
      <w:r w:rsidRPr="002A7446">
        <w:rPr>
          <w:i/>
        </w:rPr>
        <w:t>Acta Haematologica</w:t>
      </w:r>
      <w:r w:rsidRPr="002A7446">
        <w:t xml:space="preserve"> (2005) 114(2):113-6.</w:t>
      </w:r>
      <w:bookmarkEnd w:id="98"/>
    </w:p>
    <w:p w14:paraId="439A615F" w14:textId="77777777" w:rsidR="00706A63" w:rsidRPr="002A7446" w:rsidRDefault="00706A63" w:rsidP="00706A63">
      <w:pPr>
        <w:pStyle w:val="EndNoteBibliography"/>
        <w:spacing w:after="0"/>
      </w:pPr>
      <w:bookmarkStart w:id="99" w:name="_ENREF_75"/>
      <w:r w:rsidRPr="002A7446">
        <w:t>75.</w:t>
      </w:r>
      <w:r w:rsidRPr="002A7446">
        <w:tab/>
        <w:t xml:space="preserve">Byrnes JR, Wolberg AS. Red blood cells in thrombosis. </w:t>
      </w:r>
      <w:r w:rsidRPr="002A7446">
        <w:rPr>
          <w:i/>
        </w:rPr>
        <w:t>Blood</w:t>
      </w:r>
      <w:r w:rsidRPr="002A7446">
        <w:t xml:space="preserve"> (2017) 130(16):1795-9. doi: 10.1182/blood-2017-03-745349.</w:t>
      </w:r>
      <w:bookmarkEnd w:id="99"/>
    </w:p>
    <w:p w14:paraId="61A5A3BA" w14:textId="77777777" w:rsidR="00706A63" w:rsidRPr="002A7446" w:rsidRDefault="00706A63" w:rsidP="00706A63">
      <w:pPr>
        <w:pStyle w:val="EndNoteBibliography"/>
        <w:spacing w:after="0"/>
      </w:pPr>
      <w:bookmarkStart w:id="100" w:name="_ENREF_76"/>
      <w:r w:rsidRPr="002A7446">
        <w:t>76.</w:t>
      </w:r>
      <w:r w:rsidRPr="002A7446">
        <w:tab/>
        <w:t xml:space="preserve">Chalmers JD, Singanayagam A, Scally C, Hill AT. Admission D-dimer Can Identify Low-Risk Patients With Community-Acquired Pneumonia. </w:t>
      </w:r>
      <w:r w:rsidRPr="002A7446">
        <w:rPr>
          <w:i/>
        </w:rPr>
        <w:t>Annals of Emergency Medicine</w:t>
      </w:r>
      <w:r w:rsidRPr="002A7446">
        <w:t xml:space="preserve"> (2008) 53(5):633-8. doi: 10.1016/j.annemergmed.2008.12.022.</w:t>
      </w:r>
      <w:bookmarkEnd w:id="100"/>
    </w:p>
    <w:p w14:paraId="447CB735" w14:textId="77777777" w:rsidR="00706A63" w:rsidRPr="002A7446" w:rsidRDefault="00706A63" w:rsidP="00706A63">
      <w:pPr>
        <w:pStyle w:val="EndNoteBibliography"/>
        <w:spacing w:after="0"/>
      </w:pPr>
      <w:bookmarkStart w:id="101" w:name="_ENREF_77"/>
      <w:r w:rsidRPr="002A7446">
        <w:t>77.</w:t>
      </w:r>
      <w:r w:rsidRPr="002A7446">
        <w:tab/>
        <w:t xml:space="preserve">Salluh JIF, Rabello LSCF, Rosolem MM, Soares M, Bozza FA, Verdeal JCR, et al. The impact of coagulation parameters on the outcomes of patients with severe community-acquired pneumonia requiring intensive care unit admission. </w:t>
      </w:r>
      <w:r w:rsidRPr="002A7446">
        <w:rPr>
          <w:i/>
        </w:rPr>
        <w:t>Journal of Critical Care</w:t>
      </w:r>
      <w:r w:rsidRPr="002A7446">
        <w:t xml:space="preserve"> (2011) 26(5):496-501. doi: 10.1016/j.jcrc.2011.02.001.</w:t>
      </w:r>
      <w:bookmarkEnd w:id="101"/>
    </w:p>
    <w:p w14:paraId="472A9F21" w14:textId="77777777" w:rsidR="00706A63" w:rsidRPr="002A7446" w:rsidRDefault="00706A63" w:rsidP="00706A63">
      <w:pPr>
        <w:pStyle w:val="EndNoteBibliography"/>
        <w:spacing w:after="0"/>
      </w:pPr>
      <w:bookmarkStart w:id="102" w:name="_ENREF_78"/>
      <w:r w:rsidRPr="002A7446">
        <w:t>78.</w:t>
      </w:r>
      <w:r w:rsidRPr="002A7446">
        <w:tab/>
        <w:t xml:space="preserve">Mills EW, Wangen J, Green R, Ingolia NT. Dynamic regulation of a ribosome rescue pathway in erythroid cells and platelets. </w:t>
      </w:r>
      <w:r w:rsidRPr="002A7446">
        <w:rPr>
          <w:i/>
        </w:rPr>
        <w:t>Cell Reports</w:t>
      </w:r>
      <w:r w:rsidRPr="002A7446">
        <w:t xml:space="preserve"> (2016) 17(1):1-10. doi: 10.1016/j.celrep.2016.08.088. PubMed PMID: PMC5111367.</w:t>
      </w:r>
      <w:bookmarkEnd w:id="102"/>
    </w:p>
    <w:p w14:paraId="711E5135" w14:textId="77777777" w:rsidR="00706A63" w:rsidRPr="002A7446" w:rsidRDefault="00706A63" w:rsidP="00706A63">
      <w:pPr>
        <w:pStyle w:val="EndNoteBibliography"/>
        <w:spacing w:after="0"/>
      </w:pPr>
      <w:bookmarkStart w:id="103" w:name="_ENREF_79"/>
      <w:r w:rsidRPr="002A7446">
        <w:t>79.</w:t>
      </w:r>
      <w:r w:rsidRPr="002A7446">
        <w:tab/>
        <w:t xml:space="preserve">Scicluna BP, Klein Klouwenberg PMC, van Vught LA, Wiewel MA, Ong DSY, Zwinderman AH, et al. A Molecular Biomarker to Diagnose Community-acquired Pneumonia on Intensive Care Unit Admission. </w:t>
      </w:r>
      <w:r w:rsidRPr="002A7446">
        <w:rPr>
          <w:i/>
        </w:rPr>
        <w:t>American Journal of Respiratory and Critical Care Medicine</w:t>
      </w:r>
      <w:r w:rsidRPr="002A7446">
        <w:t xml:space="preserve"> (2015) 192(7):826-35. doi: 10.1164/rccm.201502-0355OC.</w:t>
      </w:r>
      <w:bookmarkEnd w:id="103"/>
    </w:p>
    <w:p w14:paraId="1576F60F" w14:textId="2CBEDE87" w:rsidR="00706A63" w:rsidRPr="002A7446" w:rsidRDefault="00706A63" w:rsidP="00706A63">
      <w:pPr>
        <w:pStyle w:val="EndNoteBibliography"/>
        <w:spacing w:after="0"/>
        <w:rPr>
          <w:lang w:val="de-DE"/>
        </w:rPr>
      </w:pPr>
      <w:bookmarkStart w:id="104" w:name="_ENREF_80"/>
      <w:r w:rsidRPr="002A7446">
        <w:t>80.</w:t>
      </w:r>
      <w:r w:rsidRPr="002A7446">
        <w:tab/>
        <w:t xml:space="preserve">Ernst J, Kellis M. Discovery and characterization of chromatin states for systematic annotation of the human genome. </w:t>
      </w:r>
      <w:r w:rsidRPr="002A7446">
        <w:rPr>
          <w:i/>
          <w:lang w:val="de-DE"/>
        </w:rPr>
        <w:t>Nat Biotech</w:t>
      </w:r>
      <w:r w:rsidRPr="002A7446">
        <w:rPr>
          <w:lang w:val="de-DE"/>
        </w:rPr>
        <w:t xml:space="preserve"> (2010) 28(8):817-25. doi: http://www.nature.com/nbt/journal/v28/n8/abs/nbt.1662.html#supplementary-information.</w:t>
      </w:r>
      <w:bookmarkEnd w:id="104"/>
    </w:p>
    <w:p w14:paraId="26E7A28E" w14:textId="567D5263" w:rsidR="00706A63" w:rsidRPr="002A7446" w:rsidRDefault="00706A63" w:rsidP="00706A63">
      <w:pPr>
        <w:pStyle w:val="EndNoteBibliography"/>
        <w:spacing w:after="0"/>
      </w:pPr>
      <w:bookmarkStart w:id="105" w:name="_ENREF_81"/>
      <w:r w:rsidRPr="002A7446">
        <w:rPr>
          <w:lang w:val="de-DE"/>
        </w:rPr>
        <w:t>81.</w:t>
      </w:r>
      <w:r w:rsidRPr="002A7446">
        <w:rPr>
          <w:lang w:val="de-DE"/>
        </w:rPr>
        <w:tab/>
        <w:t xml:space="preserve">Hebenstreit D, Fang M, Gu M, Charoensawan V, van Oudenaarden A, Teichmann SA. </w:t>
      </w:r>
      <w:r w:rsidRPr="002A7446">
        <w:t xml:space="preserve">RNA sequencing reveals two major classes of gene expression levels in metazoan cells. </w:t>
      </w:r>
      <w:r w:rsidRPr="002A7446">
        <w:rPr>
          <w:i/>
        </w:rPr>
        <w:t>Mol Syst Biol</w:t>
      </w:r>
      <w:r w:rsidRPr="002A7446">
        <w:t xml:space="preserve"> (2011) 7. doi: http://www.nature.com/msb/journal/v7/n1/suppinfo/msb201128_S1.html.</w:t>
      </w:r>
      <w:bookmarkEnd w:id="105"/>
    </w:p>
    <w:p w14:paraId="586F0CAC" w14:textId="336E9C72" w:rsidR="00706A63" w:rsidRPr="002A7446" w:rsidRDefault="00706A63" w:rsidP="00706A63">
      <w:pPr>
        <w:pStyle w:val="EndNoteBibliography"/>
        <w:spacing w:after="0"/>
      </w:pPr>
      <w:bookmarkStart w:id="106" w:name="_ENREF_82"/>
      <w:r w:rsidRPr="002A7446">
        <w:t>82.</w:t>
      </w:r>
      <w:r w:rsidRPr="002A7446">
        <w:tab/>
        <w:t xml:space="preserve">Ernst J, Kheradpour P, Mikkelsen TS, Shoresh N, Ward LD, Epstein CB, et al. Mapping and analysis of chromatin state dynamics in nine human cell types. </w:t>
      </w:r>
      <w:r w:rsidRPr="002A7446">
        <w:rPr>
          <w:i/>
        </w:rPr>
        <w:t>Nature</w:t>
      </w:r>
      <w:r w:rsidRPr="002A7446">
        <w:t xml:space="preserve"> (2011) 473(7345):43-9. doi: http://www.nature.com/nature/journal/v473/n7345/abs/10.1038-nature09906-unlocked.html#supplementary-information.</w:t>
      </w:r>
      <w:bookmarkEnd w:id="106"/>
    </w:p>
    <w:p w14:paraId="00BA414A" w14:textId="77777777" w:rsidR="00706A63" w:rsidRPr="002A7446" w:rsidRDefault="00706A63" w:rsidP="00706A63">
      <w:pPr>
        <w:pStyle w:val="EndNoteBibliography"/>
        <w:spacing w:after="0"/>
      </w:pPr>
      <w:bookmarkStart w:id="107" w:name="_ENREF_83"/>
      <w:r w:rsidRPr="002A7446">
        <w:t>83.</w:t>
      </w:r>
      <w:r w:rsidRPr="002A7446">
        <w:tab/>
        <w:t xml:space="preserve">De Santa F, Totaro MG, Prosperini E, Notarbartolo S, Testa G, Natoli G. The Histone H3 Lysine-27 Demethylase Jmjd3 Links Inflammation to Inhibition of Polycomb-Mediated Gene Silencing. </w:t>
      </w:r>
      <w:r w:rsidRPr="002A7446">
        <w:rPr>
          <w:i/>
        </w:rPr>
        <w:t>Cell</w:t>
      </w:r>
      <w:r w:rsidRPr="002A7446">
        <w:t xml:space="preserve">  130(6):1083-94. doi: 10.1016/j.cell.2007.08.019.</w:t>
      </w:r>
      <w:bookmarkEnd w:id="107"/>
    </w:p>
    <w:p w14:paraId="0BE41DE5" w14:textId="77777777" w:rsidR="00706A63" w:rsidRPr="002A7446" w:rsidRDefault="00706A63" w:rsidP="00706A63">
      <w:pPr>
        <w:pStyle w:val="EndNoteBibliography"/>
        <w:spacing w:after="0"/>
      </w:pPr>
      <w:bookmarkStart w:id="108" w:name="_ENREF_84"/>
      <w:r w:rsidRPr="002A7446">
        <w:t>84.</w:t>
      </w:r>
      <w:r w:rsidRPr="002A7446">
        <w:tab/>
        <w:t xml:space="preserve">Bannister AJ, Kouzarides T. Regulation of chromatin by histone modifications. </w:t>
      </w:r>
      <w:r w:rsidRPr="002A7446">
        <w:rPr>
          <w:i/>
        </w:rPr>
        <w:t>Cell Research</w:t>
      </w:r>
      <w:r w:rsidRPr="002A7446">
        <w:t xml:space="preserve"> (2011) 21(3):381-95. doi: 10.1038/cr.2011.22. PubMed PMID: PMC3193420.</w:t>
      </w:r>
      <w:bookmarkEnd w:id="108"/>
    </w:p>
    <w:p w14:paraId="618F2E85" w14:textId="77777777" w:rsidR="00706A63" w:rsidRPr="002A7446" w:rsidRDefault="00706A63" w:rsidP="00706A63">
      <w:pPr>
        <w:pStyle w:val="EndNoteBibliography"/>
        <w:spacing w:after="0"/>
      </w:pPr>
      <w:bookmarkStart w:id="109" w:name="_ENREF_85"/>
      <w:r w:rsidRPr="002A7446">
        <w:t>85.</w:t>
      </w:r>
      <w:r w:rsidRPr="002A7446">
        <w:tab/>
        <w:t xml:space="preserve">Hopp L, Nersisyan L, Löffler-Wirth H, Arakelyan A, Binder H. Epigenetic Heterogeneity of B-Cell Lymphoma: Chromatin Modifiers. </w:t>
      </w:r>
      <w:r w:rsidRPr="002A7446">
        <w:rPr>
          <w:i/>
        </w:rPr>
        <w:t>Genes</w:t>
      </w:r>
      <w:r w:rsidRPr="002A7446">
        <w:t xml:space="preserve"> (2015) 6(4):1076. PubMed PMID: doi:10.3390/genes6041076.</w:t>
      </w:r>
      <w:bookmarkEnd w:id="109"/>
    </w:p>
    <w:p w14:paraId="7C149D91" w14:textId="77777777" w:rsidR="00706A63" w:rsidRPr="002A7446" w:rsidRDefault="00706A63" w:rsidP="00706A63">
      <w:pPr>
        <w:pStyle w:val="EndNoteBibliography"/>
        <w:spacing w:after="0"/>
      </w:pPr>
      <w:bookmarkStart w:id="110" w:name="_ENREF_86"/>
      <w:r w:rsidRPr="002A7446">
        <w:t>86.</w:t>
      </w:r>
      <w:r w:rsidRPr="002A7446">
        <w:tab/>
        <w:t xml:space="preserve">Rasmussen KD, Helin K. Role of TET enzymes in DNA methylation, development, and cancer. </w:t>
      </w:r>
      <w:r w:rsidRPr="002A7446">
        <w:rPr>
          <w:i/>
        </w:rPr>
        <w:t>Genes &amp; Development</w:t>
      </w:r>
      <w:r w:rsidRPr="002A7446">
        <w:t xml:space="preserve"> (2016) 30(7):733-50. doi: 10.1101/gad.276568.115.</w:t>
      </w:r>
      <w:bookmarkEnd w:id="110"/>
    </w:p>
    <w:p w14:paraId="64F666B1" w14:textId="77777777" w:rsidR="00706A63" w:rsidRPr="002A7446" w:rsidRDefault="00706A63" w:rsidP="00706A63">
      <w:pPr>
        <w:pStyle w:val="EndNoteBibliography"/>
      </w:pPr>
      <w:bookmarkStart w:id="111" w:name="_ENREF_87"/>
      <w:r w:rsidRPr="002A7446">
        <w:t>87.</w:t>
      </w:r>
      <w:r w:rsidRPr="002A7446">
        <w:tab/>
        <w:t xml:space="preserve">Yu J, Qiu Y, Yang J, Bian S, Chen G, Deng M, et al. DNMT1-PPARγ pathway in macrophages regulates chronic inflammation and atherosclerosis development in mice. </w:t>
      </w:r>
      <w:r w:rsidRPr="002A7446">
        <w:rPr>
          <w:i/>
        </w:rPr>
        <w:t>Scientific Reports</w:t>
      </w:r>
      <w:r w:rsidRPr="002A7446">
        <w:t xml:space="preserve"> (2016) 6:30053. doi: 10.1038/srep30053</w:t>
      </w:r>
    </w:p>
    <w:p w14:paraId="2304AEE2" w14:textId="5F0D7116" w:rsidR="00706A63" w:rsidRPr="002A7446" w:rsidRDefault="00706A63" w:rsidP="00706A63">
      <w:pPr>
        <w:pStyle w:val="EndNoteBibliography"/>
        <w:spacing w:after="0"/>
      </w:pPr>
      <w:r w:rsidRPr="002A7446">
        <w:t>https://www.nature.com/articles/srep30053#supplementary-information.</w:t>
      </w:r>
      <w:bookmarkEnd w:id="111"/>
    </w:p>
    <w:p w14:paraId="2F8801B6" w14:textId="09EB9BFD" w:rsidR="00706A63" w:rsidRPr="002A7446" w:rsidRDefault="00706A63" w:rsidP="00706A63">
      <w:pPr>
        <w:pStyle w:val="EndNoteBibliography"/>
        <w:spacing w:after="0"/>
      </w:pPr>
      <w:bookmarkStart w:id="112" w:name="_ENREF_88"/>
      <w:r w:rsidRPr="002A7446">
        <w:rPr>
          <w:lang w:val="de-DE"/>
        </w:rPr>
        <w:t>88.</w:t>
      </w:r>
      <w:r w:rsidRPr="002A7446">
        <w:rPr>
          <w:lang w:val="de-DE"/>
        </w:rPr>
        <w:tab/>
        <w:t xml:space="preserve">Cheng C, Huang C, Ma T-T, Bian E-B, He Y, Zhang L, et al. </w:t>
      </w:r>
      <w:r w:rsidRPr="002A7446">
        <w:t xml:space="preserve">SOCS1 hypermethylation mediated by DNMT1 is associated with lipopolysaccharide-induced inflammatory cytokines in macrophages. </w:t>
      </w:r>
      <w:r w:rsidRPr="002A7446">
        <w:rPr>
          <w:i/>
        </w:rPr>
        <w:t>Toxicology Letters</w:t>
      </w:r>
      <w:r w:rsidRPr="002A7446">
        <w:t xml:space="preserve"> (2014) 225(3):488-97. doi: https://doi.org/10.1016/j.toxlet.2013.12.023.</w:t>
      </w:r>
      <w:bookmarkEnd w:id="112"/>
    </w:p>
    <w:p w14:paraId="62EA514D" w14:textId="77777777" w:rsidR="00706A63" w:rsidRPr="002A7446" w:rsidRDefault="00706A63" w:rsidP="00706A63">
      <w:pPr>
        <w:pStyle w:val="EndNoteBibliography"/>
        <w:spacing w:after="0"/>
      </w:pPr>
      <w:bookmarkStart w:id="113" w:name="_ENREF_89"/>
      <w:r w:rsidRPr="002A7446">
        <w:t>89.</w:t>
      </w:r>
      <w:r w:rsidRPr="002A7446">
        <w:tab/>
        <w:t xml:space="preserve">Zhou D, Yang K, Chen L, Zhang W, Xu Z, Zuo J, et al. Promising landscape for regulating macrophage polarization: epigenetic viewpoint. </w:t>
      </w:r>
      <w:r w:rsidRPr="002A7446">
        <w:rPr>
          <w:i/>
        </w:rPr>
        <w:t>Oncotarget</w:t>
      </w:r>
      <w:r w:rsidRPr="002A7446">
        <w:t xml:space="preserve"> (2017) 8(34):57693-706. doi: 10.18632/oncotarget.17027. PubMed PMID: PMC5593677.</w:t>
      </w:r>
      <w:bookmarkEnd w:id="113"/>
    </w:p>
    <w:p w14:paraId="312CF68A" w14:textId="77777777" w:rsidR="00706A63" w:rsidRPr="002A7446" w:rsidRDefault="00706A63" w:rsidP="00706A63">
      <w:pPr>
        <w:pStyle w:val="EndNoteBibliography"/>
        <w:spacing w:after="0"/>
      </w:pPr>
      <w:bookmarkStart w:id="114" w:name="_ENREF_90"/>
      <w:r w:rsidRPr="002A7446">
        <w:t>90.</w:t>
      </w:r>
      <w:r w:rsidRPr="002A7446">
        <w:tab/>
        <w:t xml:space="preserve">Cull AH, Snetsinger B, Buckstein R, Wells RA, Rauh MJ. Tet2 restrains inflammatory gene expression in macrophages. </w:t>
      </w:r>
      <w:r w:rsidRPr="002A7446">
        <w:rPr>
          <w:i/>
        </w:rPr>
        <w:t>Experimental Hematology</w:t>
      </w:r>
      <w:r w:rsidRPr="002A7446">
        <w:t xml:space="preserve"> (2017) 55:56-70.e13. doi: 10.1016/j.exphem.2017.08.001.</w:t>
      </w:r>
      <w:bookmarkEnd w:id="114"/>
    </w:p>
    <w:p w14:paraId="46360B92" w14:textId="77777777" w:rsidR="00706A63" w:rsidRPr="002A7446" w:rsidRDefault="00706A63" w:rsidP="00706A63">
      <w:pPr>
        <w:pStyle w:val="EndNoteBibliography"/>
        <w:spacing w:after="0"/>
      </w:pPr>
      <w:bookmarkStart w:id="115" w:name="_ENREF_91"/>
      <w:r w:rsidRPr="002A7446">
        <w:t>91.</w:t>
      </w:r>
      <w:r w:rsidRPr="002A7446">
        <w:tab/>
        <w:t xml:space="preserve">Xue S, Liu C, Sun X, Li W, Zhang C, Zhou X, et al. TET3 Inhibits Type I IFN Production Independent of DNA Demethylation. </w:t>
      </w:r>
      <w:r w:rsidRPr="002A7446">
        <w:rPr>
          <w:i/>
        </w:rPr>
        <w:t>Cell Reports</w:t>
      </w:r>
      <w:r w:rsidRPr="002A7446">
        <w:t xml:space="preserve"> (2016) 16(4):1096-105. doi: 10.1016/j.celrep.2016.06.068.</w:t>
      </w:r>
      <w:bookmarkEnd w:id="115"/>
    </w:p>
    <w:p w14:paraId="72923D3D" w14:textId="77777777" w:rsidR="00706A63" w:rsidRPr="002A7446" w:rsidRDefault="00706A63" w:rsidP="00706A63">
      <w:pPr>
        <w:pStyle w:val="EndNoteBibliography"/>
        <w:spacing w:after="0"/>
      </w:pPr>
      <w:bookmarkStart w:id="116" w:name="_ENREF_92"/>
      <w:r w:rsidRPr="002A7446">
        <w:t>92.</w:t>
      </w:r>
      <w:r w:rsidRPr="002A7446">
        <w:tab/>
        <w:t xml:space="preserve">Brown TA, Lee JW, Holian A, Porter V, Fredriksen H, Kim M, et al. Alterations in DNA methylation corresponding with lung inflammation and as a biomarker for disease development after MWCNT exposure. </w:t>
      </w:r>
      <w:r w:rsidRPr="002A7446">
        <w:rPr>
          <w:i/>
        </w:rPr>
        <w:t>Nanotoxicology</w:t>
      </w:r>
      <w:r w:rsidRPr="002A7446">
        <w:t xml:space="preserve"> (2016) 10(4):453-61. doi: 10.3109/17435390.2015.1078852.</w:t>
      </w:r>
      <w:bookmarkEnd w:id="116"/>
    </w:p>
    <w:p w14:paraId="426D1750" w14:textId="77777777" w:rsidR="00706A63" w:rsidRPr="002A7446" w:rsidRDefault="00706A63" w:rsidP="00706A63">
      <w:pPr>
        <w:pStyle w:val="EndNoteBibliography"/>
        <w:spacing w:after="0"/>
      </w:pPr>
      <w:bookmarkStart w:id="117" w:name="_ENREF_93"/>
      <w:r w:rsidRPr="002A7446">
        <w:t>93.</w:t>
      </w:r>
      <w:r w:rsidRPr="002A7446">
        <w:tab/>
        <w:t xml:space="preserve">Lopez-Pastrana J, Shao Y, Chernaya V, Wang H, Yang X-F. Epigenetic enzymes are the therapeutic targets for CD4+CD25+Foxp3+ regulatory T cells. </w:t>
      </w:r>
      <w:r w:rsidRPr="002A7446">
        <w:rPr>
          <w:i/>
        </w:rPr>
        <w:t>Translational Research</w:t>
      </w:r>
      <w:r w:rsidRPr="002A7446">
        <w:t xml:space="preserve"> (2015) 165(1):221-40. doi: 10.1016/j.trsl.2014.08.001.</w:t>
      </w:r>
      <w:bookmarkEnd w:id="117"/>
    </w:p>
    <w:p w14:paraId="53B36A73" w14:textId="77777777" w:rsidR="00706A63" w:rsidRPr="002A7446" w:rsidRDefault="00706A63" w:rsidP="00706A63">
      <w:pPr>
        <w:pStyle w:val="EndNoteBibliography"/>
        <w:spacing w:after="0"/>
      </w:pPr>
      <w:bookmarkStart w:id="118" w:name="_ENREF_94"/>
      <w:r w:rsidRPr="002A7446">
        <w:t>94.</w:t>
      </w:r>
      <w:r w:rsidRPr="002A7446">
        <w:tab/>
        <w:t xml:space="preserve">Ang P, Loh M, Liem N, Lim P, Grieu F, Vaithilingam A, et al. Comprehensive profiling of DNA methylation in colorectal cancer reveals subgroups with distinct clinicopathological and molecular features. </w:t>
      </w:r>
      <w:r w:rsidRPr="002A7446">
        <w:rPr>
          <w:i/>
        </w:rPr>
        <w:t>BMC Cancer</w:t>
      </w:r>
      <w:r w:rsidRPr="002A7446">
        <w:t xml:space="preserve"> (2010) 10(1):227. PubMed PMID: doi:10.1186/1471-2407-10-227.</w:t>
      </w:r>
      <w:bookmarkEnd w:id="118"/>
    </w:p>
    <w:p w14:paraId="55A00F50" w14:textId="098122CB" w:rsidR="00706A63" w:rsidRPr="002A7446" w:rsidRDefault="00706A63" w:rsidP="00706A63">
      <w:pPr>
        <w:pStyle w:val="EndNoteBibliography"/>
        <w:spacing w:after="0"/>
      </w:pPr>
      <w:bookmarkStart w:id="119" w:name="_ENREF_95"/>
      <w:r w:rsidRPr="002A7446">
        <w:t>95.</w:t>
      </w:r>
      <w:r w:rsidRPr="002A7446">
        <w:tab/>
        <w:t xml:space="preserve">Noushmehr H, Weisenberger DJ, Diefes K, Phillips HS, Pujara K, Berman BP, et al. Identification of a CpG Island Methylator Phenotype that Defines a Distinct Subgroup of Glioma. </w:t>
      </w:r>
      <w:r w:rsidRPr="002A7446">
        <w:rPr>
          <w:i/>
        </w:rPr>
        <w:t>Cancer Cell</w:t>
      </w:r>
      <w:r w:rsidRPr="002A7446">
        <w:t xml:space="preserve"> (2010) 17(5):510-22. doi: http://dx.doi.org/10.1016/j.ccr.2010.03.017.</w:t>
      </w:r>
      <w:bookmarkEnd w:id="119"/>
    </w:p>
    <w:p w14:paraId="13F88829" w14:textId="77777777" w:rsidR="00706A63" w:rsidRPr="002A7446" w:rsidRDefault="00706A63" w:rsidP="00706A63">
      <w:pPr>
        <w:pStyle w:val="EndNoteBibliography"/>
        <w:spacing w:after="0"/>
      </w:pPr>
      <w:bookmarkStart w:id="120" w:name="_ENREF_96"/>
      <w:r w:rsidRPr="002A7446">
        <w:t>96.</w:t>
      </w:r>
      <w:r w:rsidRPr="002A7446">
        <w:tab/>
        <w:t xml:space="preserve">Hopp L, Wirth-Loeffler H, Binder H. Epigenetic heterogeneity of B-cell lymphoma: DNA-methylation, gene expression and chromatin states. </w:t>
      </w:r>
      <w:r w:rsidRPr="002A7446">
        <w:rPr>
          <w:i/>
        </w:rPr>
        <w:t>Genes</w:t>
      </w:r>
      <w:r w:rsidRPr="002A7446">
        <w:t xml:space="preserve"> (2015) 6(3):812-40. doi: doi:10.3390/genes6030812.</w:t>
      </w:r>
      <w:bookmarkEnd w:id="120"/>
    </w:p>
    <w:p w14:paraId="20941663" w14:textId="77777777" w:rsidR="00706A63" w:rsidRPr="002A7446" w:rsidRDefault="00706A63" w:rsidP="00706A63">
      <w:pPr>
        <w:pStyle w:val="EndNoteBibliography"/>
        <w:spacing w:after="0"/>
      </w:pPr>
      <w:bookmarkStart w:id="121" w:name="_ENREF_97"/>
      <w:r w:rsidRPr="002A7446">
        <w:t>97.</w:t>
      </w:r>
      <w:r w:rsidRPr="002A7446">
        <w:tab/>
        <w:t xml:space="preserve">Voigt P, Tee W-W, Reinberg D. A double take on bivalent promoters. </w:t>
      </w:r>
      <w:r w:rsidRPr="002A7446">
        <w:rPr>
          <w:i/>
        </w:rPr>
        <w:t>Genes &amp; Development</w:t>
      </w:r>
      <w:r w:rsidRPr="002A7446">
        <w:t xml:space="preserve"> (2013) 27(12):1318-38. doi: 10.1101/gad.219626.113.</w:t>
      </w:r>
      <w:bookmarkEnd w:id="121"/>
    </w:p>
    <w:p w14:paraId="5DA24853" w14:textId="77777777" w:rsidR="00706A63" w:rsidRPr="002A7446" w:rsidRDefault="00706A63" w:rsidP="00706A63">
      <w:pPr>
        <w:pStyle w:val="EndNoteBibliography"/>
        <w:spacing w:after="0"/>
      </w:pPr>
      <w:bookmarkStart w:id="122" w:name="_ENREF_98"/>
      <w:r w:rsidRPr="002A7446">
        <w:t>98.</w:t>
      </w:r>
      <w:r w:rsidRPr="002A7446">
        <w:tab/>
        <w:t xml:space="preserve">Rodriguez J, Muñoz M, Vives L, Frangou CG, Groudine M, Peinado MA. Bivalent domains enforce transcriptional memory of DNA methylated genes in cancer cells. </w:t>
      </w:r>
      <w:r w:rsidRPr="002A7446">
        <w:rPr>
          <w:i/>
        </w:rPr>
        <w:t>Proc Natl Acad Sci USA</w:t>
      </w:r>
      <w:r w:rsidRPr="002A7446">
        <w:t xml:space="preserve"> (2008) 105(50):19809-14. doi: 10.1073/pnas.0810133105.</w:t>
      </w:r>
      <w:bookmarkEnd w:id="122"/>
    </w:p>
    <w:p w14:paraId="141416BD" w14:textId="77777777" w:rsidR="00706A63" w:rsidRPr="002A7446" w:rsidRDefault="00706A63" w:rsidP="00706A63">
      <w:pPr>
        <w:pStyle w:val="EndNoteBibliography"/>
        <w:spacing w:after="0"/>
      </w:pPr>
      <w:bookmarkStart w:id="123" w:name="_ENREF_99"/>
      <w:r w:rsidRPr="002A7446">
        <w:t>99.</w:t>
      </w:r>
      <w:r w:rsidRPr="002A7446">
        <w:tab/>
        <w:t xml:space="preserve">Arakelyan A, Nersisyan L, Poghosyan D, Khondkaryan L, Hakobyan A, Löffler-Wirth H, et al. Autoimmunity and autoinflammation: A systems view on signaling pathway dysregulation profiles. </w:t>
      </w:r>
      <w:r w:rsidRPr="002A7446">
        <w:rPr>
          <w:i/>
        </w:rPr>
        <w:t>PLOS one</w:t>
      </w:r>
      <w:r w:rsidRPr="002A7446">
        <w:t xml:space="preserve"> (2017) 12(11):e0187572. doi: 10.1371/journal.pone.0187572.</w:t>
      </w:r>
      <w:bookmarkEnd w:id="123"/>
    </w:p>
    <w:p w14:paraId="1247FFBC" w14:textId="77777777" w:rsidR="00706A63" w:rsidRPr="002A7446" w:rsidRDefault="00706A63" w:rsidP="00706A63">
      <w:pPr>
        <w:pStyle w:val="EndNoteBibliography"/>
        <w:spacing w:after="0"/>
      </w:pPr>
      <w:bookmarkStart w:id="124" w:name="_ENREF_100"/>
      <w:r w:rsidRPr="002A7446">
        <w:t>100.</w:t>
      </w:r>
      <w:r w:rsidRPr="002A7446">
        <w:tab/>
        <w:t xml:space="preserve">Cakir MV, Binder H, Wirth H. Profiling of Genetic Switches using Boolean Implications in Expression Data. </w:t>
      </w:r>
      <w:r w:rsidRPr="002A7446">
        <w:rPr>
          <w:i/>
        </w:rPr>
        <w:t>Journal of Integrative Bioinformatics</w:t>
      </w:r>
      <w:r w:rsidRPr="002A7446">
        <w:t xml:space="preserve"> (2014) 11(1):246. doi: 10.2390/biecoll-jib-2014-246.</w:t>
      </w:r>
      <w:bookmarkEnd w:id="124"/>
    </w:p>
    <w:p w14:paraId="25890D8F" w14:textId="77777777" w:rsidR="00706A63" w:rsidRPr="002A7446" w:rsidRDefault="00706A63" w:rsidP="00706A63">
      <w:pPr>
        <w:pStyle w:val="EndNoteBibliography"/>
        <w:spacing w:after="0"/>
      </w:pPr>
      <w:bookmarkStart w:id="125" w:name="_ENREF_101"/>
      <w:r w:rsidRPr="002A7446">
        <w:t>101.</w:t>
      </w:r>
      <w:r w:rsidRPr="002A7446">
        <w:tab/>
        <w:t xml:space="preserve">Palsson-McDermott EM, O'Neill LAJ. The Warburg effect then and now: From cancer to inflammatory diseases. </w:t>
      </w:r>
      <w:r w:rsidRPr="002A7446">
        <w:rPr>
          <w:i/>
        </w:rPr>
        <w:t>Bioessays</w:t>
      </w:r>
      <w:r w:rsidRPr="002A7446">
        <w:t xml:space="preserve"> (2013) 35(11):965-73. doi: 10.1002/bies.201300084.</w:t>
      </w:r>
      <w:bookmarkEnd w:id="125"/>
    </w:p>
    <w:p w14:paraId="3118A283" w14:textId="77777777" w:rsidR="00706A63" w:rsidRPr="002A7446" w:rsidRDefault="00706A63" w:rsidP="00706A63">
      <w:pPr>
        <w:pStyle w:val="EndNoteBibliography"/>
        <w:spacing w:after="0"/>
      </w:pPr>
      <w:bookmarkStart w:id="126" w:name="_ENREF_102"/>
      <w:r w:rsidRPr="002A7446">
        <w:t>102.</w:t>
      </w:r>
      <w:r w:rsidRPr="002A7446">
        <w:tab/>
        <w:t xml:space="preserve">Quintin J, Saeed S, Martens JHA, Giamarellos-Bourboulis EJ, Ifrim DC, Logie C, et al. Candida albicans Infection Affords Protection against Reinfection via Functional Reprogramming of Monocytes. </w:t>
      </w:r>
      <w:r w:rsidRPr="002A7446">
        <w:rPr>
          <w:i/>
        </w:rPr>
        <w:t>Cell host &amp; microbe</w:t>
      </w:r>
      <w:r w:rsidRPr="002A7446">
        <w:t xml:space="preserve"> (2012) 12(2):10.1016/j.chom.2012.06.006. doi: 10.1016/j.chom.2012.06.006. PubMed PMID: PMC3864037.</w:t>
      </w:r>
      <w:bookmarkEnd w:id="126"/>
    </w:p>
    <w:p w14:paraId="0D73BA6B" w14:textId="77777777" w:rsidR="00706A63" w:rsidRPr="002A7446" w:rsidRDefault="00706A63" w:rsidP="00706A63">
      <w:pPr>
        <w:pStyle w:val="EndNoteBibliography"/>
        <w:spacing w:after="0"/>
      </w:pPr>
      <w:bookmarkStart w:id="127" w:name="_ENREF_103"/>
      <w:r w:rsidRPr="002A7446">
        <w:t>103.</w:t>
      </w:r>
      <w:r w:rsidRPr="002A7446">
        <w:tab/>
        <w:t xml:space="preserve">Ostuni R, Piccolo V, Barozzi I, Polletti S, Termanini A, Bonifacio S, et al. Latent Enhancers Activated by Stimulation in Differentiated Cells. </w:t>
      </w:r>
      <w:r w:rsidRPr="002A7446">
        <w:rPr>
          <w:i/>
        </w:rPr>
        <w:t>Cell</w:t>
      </w:r>
      <w:r w:rsidRPr="002A7446">
        <w:t xml:space="preserve"> (2013) 152(1):157-71. doi: 10.1016/j.cell.2012.12.018.</w:t>
      </w:r>
      <w:bookmarkEnd w:id="127"/>
    </w:p>
    <w:p w14:paraId="5F7D3DA3" w14:textId="77777777" w:rsidR="00706A63" w:rsidRPr="002A7446" w:rsidRDefault="00706A63" w:rsidP="00706A63">
      <w:pPr>
        <w:pStyle w:val="EndNoteBibliography"/>
      </w:pPr>
      <w:bookmarkStart w:id="128" w:name="_ENREF_104"/>
      <w:r w:rsidRPr="002A7446">
        <w:t>104.</w:t>
      </w:r>
      <w:r w:rsidRPr="002A7446">
        <w:tab/>
        <w:t xml:space="preserve">Suarez-Alvarez B, Rodriguez RM, Fraga MF, López-Larrea C. DNA methylation: a promising landscape for immune system-related diseases. </w:t>
      </w:r>
      <w:r w:rsidRPr="002A7446">
        <w:rPr>
          <w:i/>
        </w:rPr>
        <w:t>Trends in Genetics</w:t>
      </w:r>
      <w:r w:rsidRPr="002A7446">
        <w:t xml:space="preserve">  28(10):506-14. doi: 10.1016/j.tig.2012.06.005.</w:t>
      </w:r>
      <w:bookmarkEnd w:id="128"/>
    </w:p>
    <w:p w14:paraId="02CA260F" w14:textId="5F30DD41" w:rsidR="00D44445" w:rsidRPr="002A7446" w:rsidRDefault="00D44445" w:rsidP="00DE1978">
      <w:pPr>
        <w:spacing w:before="0" w:after="200" w:line="276" w:lineRule="auto"/>
      </w:pPr>
    </w:p>
    <w:sectPr w:rsidR="00D44445" w:rsidRPr="002A7446" w:rsidSect="002A7446">
      <w:headerReference w:type="even" r:id="rId28"/>
      <w:headerReference w:type="default" r:id="rId29"/>
      <w:footerReference w:type="even" r:id="rId30"/>
      <w:footerReference w:type="default" r:id="rId31"/>
      <w:headerReference w:type="first" r:id="rId32"/>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00D2C1" w14:textId="77777777" w:rsidR="00B24D6B" w:rsidRDefault="00B24D6B" w:rsidP="00117666">
      <w:pPr>
        <w:spacing w:after="0"/>
      </w:pPr>
      <w:r>
        <w:separator/>
      </w:r>
    </w:p>
  </w:endnote>
  <w:endnote w:type="continuationSeparator" w:id="0">
    <w:p w14:paraId="00E0FCA2" w14:textId="77777777" w:rsidR="00B24D6B" w:rsidRDefault="00B24D6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6E373" w14:textId="7A1E6906" w:rsidR="00700F7F" w:rsidRPr="00577C4C" w:rsidRDefault="00D83A1D">
    <w:pPr>
      <w:pStyle w:val="Fuzeile"/>
      <w:rPr>
        <w:color w:val="C00000"/>
        <w:szCs w:val="24"/>
      </w:rPr>
    </w:pPr>
    <w:r>
      <w:rPr>
        <w:noProof/>
        <w:lang w:val="de-DE" w:eastAsia="de-DE"/>
      </w:rPr>
      <mc:AlternateContent>
        <mc:Choice Requires="wps">
          <w:drawing>
            <wp:anchor distT="0" distB="0" distL="114300" distR="114300" simplePos="0" relativeHeight="251665408" behindDoc="0" locked="0" layoutInCell="1" allowOverlap="1" wp14:anchorId="63DC4D7D" wp14:editId="5405B5DB">
              <wp:simplePos x="0" y="0"/>
              <wp:positionH relativeFrom="margin">
                <wp:align>right</wp:align>
              </wp:positionH>
              <wp:positionV relativeFrom="bottomMargin">
                <wp:align>top</wp:align>
              </wp:positionV>
              <wp:extent cx="1508760" cy="32829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8295"/>
                      </a:xfrm>
                      <a:prstGeom prst="rect">
                        <a:avLst/>
                      </a:prstGeom>
                      <a:noFill/>
                      <a:ln w="6350">
                        <a:noFill/>
                      </a:ln>
                      <a:effectLst/>
                    </wps:spPr>
                    <wps:txbx>
                      <w:txbxContent>
                        <w:p w14:paraId="3067406B" w14:textId="3DA5F11B" w:rsidR="00700F7F" w:rsidRPr="00577C4C" w:rsidRDefault="00700F7F">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B384E" w:rsidRPr="00AB384E">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3DC4D7D" id="_x0000_t202" coordsize="21600,21600" o:spt="202" path="m,l,21600r21600,l21600,xe">
              <v:stroke joinstyle="miter"/>
              <v:path gradientshapeok="t" o:connecttype="rect"/>
            </v:shapetype>
            <v:shape id="Text Box 1" o:spid="_x0000_s1026" type="#_x0000_t202" style="position:absolute;margin-left:67.6pt;margin-top:0;width:118.8pt;height:25.8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" filled="f" stroked="f" strokeweight=".5pt">
              <v:path arrowok="t"/>
              <v:textbox style="mso-fit-shape-to-text:t">
                <w:txbxContent>
                  <w:p w14:paraId="3067406B" w14:textId="3DA5F11B" w:rsidR="00700F7F" w:rsidRPr="00577C4C" w:rsidRDefault="00700F7F">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B384E" w:rsidRPr="00AB384E">
                      <w:rPr>
                        <w:noProof/>
                        <w:color w:val="000000" w:themeColor="text1"/>
                        <w:sz w:val="22"/>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B633D" w14:textId="3A574EDB" w:rsidR="00700F7F" w:rsidRPr="00577C4C" w:rsidRDefault="00D83A1D">
    <w:pPr>
      <w:pStyle w:val="Fuzeile"/>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15958D5A" wp14:editId="63366F43">
              <wp:simplePos x="0" y="0"/>
              <wp:positionH relativeFrom="margin">
                <wp:align>right</wp:align>
              </wp:positionH>
              <wp:positionV relativeFrom="bottomMargin">
                <wp:align>top</wp:align>
              </wp:positionV>
              <wp:extent cx="1508760" cy="32829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8760" cy="328295"/>
                      </a:xfrm>
                      <a:prstGeom prst="rect">
                        <a:avLst/>
                      </a:prstGeom>
                      <a:noFill/>
                      <a:ln w="6350">
                        <a:noFill/>
                      </a:ln>
                      <a:effectLst/>
                    </wps:spPr>
                    <wps:txbx>
                      <w:txbxContent>
                        <w:p w14:paraId="37FC8361" w14:textId="3C4A158C" w:rsidR="00700F7F" w:rsidRPr="00577C4C" w:rsidRDefault="00700F7F">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B384E" w:rsidRPr="00AB384E">
                            <w:rPr>
                              <w:noProof/>
                              <w:color w:val="000000" w:themeColor="text1"/>
                              <w:sz w:val="22"/>
                              <w:szCs w:val="40"/>
                            </w:rPr>
                            <w:t>21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958D5A" id="_x0000_t202" coordsize="21600,21600" o:spt="202" path="m,l,21600r21600,l21600,xe">
              <v:stroke joinstyle="miter"/>
              <v:path gradientshapeok="t" o:connecttype="rect"/>
            </v:shapetype>
            <v:shape id="Text Box 56" o:spid="_x0000_s1027" type="#_x0000_t202" style="position:absolute;margin-left:67.6pt;margin-top:0;width:118.8pt;height:25.8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" filled="f" stroked="f" strokeweight=".5pt">
              <v:path arrowok="t"/>
              <v:textbox style="mso-fit-shape-to-text:t">
                <w:txbxContent>
                  <w:p w14:paraId="37FC8361" w14:textId="3C4A158C" w:rsidR="00700F7F" w:rsidRPr="00577C4C" w:rsidRDefault="00700F7F">
                    <w:pPr>
                      <w:pStyle w:val="Fuzeile"/>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B384E" w:rsidRPr="00AB384E">
                      <w:rPr>
                        <w:noProof/>
                        <w:color w:val="000000" w:themeColor="text1"/>
                        <w:sz w:val="22"/>
                        <w:szCs w:val="40"/>
                      </w:rPr>
                      <w:t>21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3B6F4F" w14:textId="77777777" w:rsidR="00B24D6B" w:rsidRDefault="00B24D6B" w:rsidP="00117666">
      <w:pPr>
        <w:spacing w:after="0"/>
      </w:pPr>
      <w:r>
        <w:separator/>
      </w:r>
    </w:p>
  </w:footnote>
  <w:footnote w:type="continuationSeparator" w:id="0">
    <w:p w14:paraId="3B411D88" w14:textId="77777777" w:rsidR="00B24D6B" w:rsidRDefault="00B24D6B"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24E1A" w14:textId="3077E6BF" w:rsidR="00700F7F" w:rsidRPr="002A7446" w:rsidRDefault="00700F7F" w:rsidP="00A53000">
    <w:pPr>
      <w:pStyle w:val="Kopfzeile"/>
    </w:pPr>
    <w:r w:rsidRPr="007E3148">
      <w:ptab w:relativeTo="margin" w:alignment="right" w:leader="none"/>
    </w:r>
    <w:r w:rsidR="002A7446">
      <w:t>The Blood Transcriptome of CAP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0BE5B" w14:textId="1374916F" w:rsidR="00700F7F" w:rsidRPr="00D44445" w:rsidRDefault="00700F7F" w:rsidP="00D44445">
    <w:pPr>
      <w:pStyle w:val="Kopfzeile"/>
    </w:pPr>
    <w:r w:rsidRPr="007E3148">
      <w:ptab w:relativeTo="margin" w:alignment="right" w:leader="none"/>
    </w:r>
    <w:r w:rsidR="002A7446">
      <w:t>The Blood Transcriptome of CAP</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E998B" w14:textId="77777777" w:rsidR="00700F7F" w:rsidRDefault="00700F7F" w:rsidP="00A53000">
    <w:pPr>
      <w:pStyle w:val="Kopfzeile"/>
    </w:pPr>
    <w:r w:rsidRPr="005A1D84">
      <w:rPr>
        <w:noProof/>
        <w:color w:val="A6A6A6" w:themeColor="background1" w:themeShade="A6"/>
        <w:lang w:val="de-DE" w:eastAsia="de-DE"/>
      </w:rPr>
      <w:drawing>
        <wp:inline distT="0" distB="0" distL="0" distR="0" wp14:anchorId="255C807A" wp14:editId="68B9866F">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D8858C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4D06E6"/>
    <w:multiLevelType w:val="multilevel"/>
    <w:tmpl w:val="707CB1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78067A0"/>
    <w:multiLevelType w:val="hybridMultilevel"/>
    <w:tmpl w:val="BE320E14"/>
    <w:lvl w:ilvl="0" w:tplc="1730141C">
      <w:start w:val="3"/>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F0A55"/>
    <w:multiLevelType w:val="multilevel"/>
    <w:tmpl w:val="8F4278A8"/>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37121"/>
    <w:multiLevelType w:val="hybridMultilevel"/>
    <w:tmpl w:val="7BBC6EE4"/>
    <w:lvl w:ilvl="0" w:tplc="0A8E570A">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7"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EC0601A"/>
    <w:multiLevelType w:val="multilevel"/>
    <w:tmpl w:val="C6A8CCEA"/>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2A7CAC"/>
    <w:multiLevelType w:val="multilevel"/>
    <w:tmpl w:val="C6A8CCEA"/>
    <w:numStyleLink w:val="Headings"/>
  </w:abstractNum>
  <w:abstractNum w:abstractNumId="11"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D62BA1"/>
    <w:multiLevelType w:val="multilevel"/>
    <w:tmpl w:val="FFEE0FA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1167CBF"/>
    <w:multiLevelType w:val="hybridMultilevel"/>
    <w:tmpl w:val="B4FCD0C4"/>
    <w:lvl w:ilvl="0" w:tplc="0FF8FA2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0"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2D6DAE"/>
    <w:multiLevelType w:val="hybridMultilevel"/>
    <w:tmpl w:val="6D3C08E0"/>
    <w:lvl w:ilvl="0" w:tplc="1CB48DEA">
      <w:start w:val="1"/>
      <w:numFmt w:val="decimal"/>
      <w:lvlText w:val="%1"/>
      <w:lvlJc w:val="left"/>
      <w:pPr>
        <w:ind w:left="714" w:hanging="43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2"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C6F29"/>
    <w:multiLevelType w:val="multilevel"/>
    <w:tmpl w:val="C6A8CCEA"/>
    <w:numStyleLink w:val="Headings"/>
  </w:abstractNum>
  <w:abstractNum w:abstractNumId="25"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0"/>
  </w:num>
  <w:num w:numId="3">
    <w:abstractNumId w:val="5"/>
  </w:num>
  <w:num w:numId="4">
    <w:abstractNumId w:val="2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3"/>
  </w:num>
  <w:num w:numId="8">
    <w:abstractNumId w:val="11"/>
  </w:num>
  <w:num w:numId="9">
    <w:abstractNumId w:val="14"/>
  </w:num>
  <w:num w:numId="10">
    <w:abstractNumId w:val="12"/>
  </w:num>
  <w:num w:numId="11">
    <w:abstractNumId w:val="7"/>
  </w:num>
  <w:num w:numId="12">
    <w:abstractNumId w:val="25"/>
  </w:num>
  <w:num w:numId="13">
    <w:abstractNumId w:val="18"/>
  </w:num>
  <w:num w:numId="14">
    <w:abstractNumId w:val="9"/>
  </w:num>
  <w:num w:numId="15">
    <w:abstractNumId w:val="17"/>
  </w:num>
  <w:num w:numId="16">
    <w:abstractNumId w:val="22"/>
  </w:num>
  <w:num w:numId="17">
    <w:abstractNumId w:val="8"/>
    <w:lvlOverride w:ilvl="0">
      <w:lvl w:ilvl="0">
        <w:start w:val="1"/>
        <w:numFmt w:val="decimal"/>
        <w:pStyle w:val="berschrift1"/>
        <w:lvlText w:val="%1"/>
        <w:lvlJc w:val="left"/>
        <w:pPr>
          <w:tabs>
            <w:tab w:val="num" w:pos="567"/>
          </w:tabs>
          <w:ind w:left="567" w:hanging="567"/>
        </w:pPr>
        <w:rPr>
          <w:rFonts w:hint="default"/>
        </w:rPr>
      </w:lvl>
    </w:lvlOverride>
    <w:lvlOverride w:ilvl="1">
      <w:lvl w:ilvl="1">
        <w:start w:val="1"/>
        <w:numFmt w:val="decimal"/>
        <w:pStyle w:val="berschrift2"/>
        <w:lvlText w:val="%1.%2"/>
        <w:lvlJc w:val="left"/>
        <w:pPr>
          <w:tabs>
            <w:tab w:val="num" w:pos="567"/>
          </w:tabs>
          <w:ind w:left="567" w:hanging="567"/>
        </w:pPr>
        <w:rPr>
          <w:rFonts w:hint="default"/>
        </w:rPr>
      </w:lvl>
    </w:lvlOverride>
    <w:lvlOverride w:ilvl="2">
      <w:lvl w:ilvl="2">
        <w:start w:val="1"/>
        <w:numFmt w:val="decimal"/>
        <w:pStyle w:val="berschrift3"/>
        <w:lvlText w:val="%1.%2.%3"/>
        <w:lvlJc w:val="left"/>
        <w:pPr>
          <w:tabs>
            <w:tab w:val="num" w:pos="567"/>
          </w:tabs>
          <w:ind w:left="567" w:hanging="567"/>
        </w:pPr>
        <w:rPr>
          <w:rFonts w:hint="default"/>
        </w:rPr>
      </w:lvl>
    </w:lvlOverride>
    <w:lvlOverride w:ilvl="3">
      <w:lvl w:ilvl="3">
        <w:start w:val="1"/>
        <w:numFmt w:val="decimal"/>
        <w:pStyle w:val="berschrift4"/>
        <w:lvlText w:val="%1.%2.%3.%4"/>
        <w:lvlJc w:val="left"/>
        <w:pPr>
          <w:tabs>
            <w:tab w:val="num" w:pos="567"/>
          </w:tabs>
          <w:ind w:left="567" w:hanging="567"/>
        </w:pPr>
        <w:rPr>
          <w:rFonts w:hint="default"/>
        </w:rPr>
      </w:lvl>
    </w:lvlOverride>
    <w:lvlOverride w:ilvl="4">
      <w:lvl w:ilvl="4">
        <w:start w:val="1"/>
        <w:numFmt w:val="decimal"/>
        <w:pStyle w:val="berschrift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4"/>
  </w:num>
  <w:num w:numId="21">
    <w:abstractNumId w:val="8"/>
  </w:num>
  <w:num w:numId="22">
    <w:abstractNumId w:val="2"/>
  </w:num>
  <w:num w:numId="23">
    <w:abstractNumId w:val="4"/>
  </w:num>
  <w:num w:numId="24">
    <w:abstractNumId w:val="0"/>
  </w:num>
  <w:num w:numId="25">
    <w:abstractNumId w:val="15"/>
  </w:num>
  <w:num w:numId="26">
    <w:abstractNumId w:val="4"/>
    <w:lvlOverride w:ilvl="0">
      <w:startOverride w:val="4"/>
    </w:lvlOverride>
  </w:num>
  <w:num w:numId="27">
    <w:abstractNumId w:val="19"/>
  </w:num>
  <w:num w:numId="28">
    <w:abstractNumId w:val="21"/>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de-DE" w:vendorID="64" w:dllVersion="131078" w:nlCheck="1" w:checkStyle="0"/>
  <w:attachedTemplate r:id="rId1"/>
  <w:doNotTrackFormatting/>
  <w:defaultTabStop w:val="720"/>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Frontiers-Heal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z99awfdtvvx9eewzzov5sdazad502zzar0f&quot;&gt;GEArray-Converted&lt;record-ids&gt;&lt;item&gt;852&lt;/item&gt;&lt;item&gt;898&lt;/item&gt;&lt;item&gt;899&lt;/item&gt;&lt;item&gt;1212&lt;/item&gt;&lt;item&gt;1486&lt;/item&gt;&lt;item&gt;1492&lt;/item&gt;&lt;item&gt;1576&lt;/item&gt;&lt;item&gt;1582&lt;/item&gt;&lt;item&gt;1673&lt;/item&gt;&lt;item&gt;1708&lt;/item&gt;&lt;item&gt;1726&lt;/item&gt;&lt;item&gt;1731&lt;/item&gt;&lt;item&gt;1737&lt;/item&gt;&lt;item&gt;1778&lt;/item&gt;&lt;item&gt;1783&lt;/item&gt;&lt;item&gt;1862&lt;/item&gt;&lt;item&gt;1898&lt;/item&gt;&lt;item&gt;1902&lt;/item&gt;&lt;item&gt;1903&lt;/item&gt;&lt;item&gt;1906&lt;/item&gt;&lt;item&gt;1944&lt;/item&gt;&lt;item&gt;1945&lt;/item&gt;&lt;item&gt;2188&lt;/item&gt;&lt;item&gt;2201&lt;/item&gt;&lt;item&gt;2466&lt;/item&gt;&lt;item&gt;2644&lt;/item&gt;&lt;item&gt;2964&lt;/item&gt;&lt;item&gt;2994&lt;/item&gt;&lt;item&gt;3001&lt;/item&gt;&lt;item&gt;3014&lt;/item&gt;&lt;item&gt;3045&lt;/item&gt;&lt;item&gt;3051&lt;/item&gt;&lt;item&gt;3053&lt;/item&gt;&lt;item&gt;3054&lt;/item&gt;&lt;item&gt;3055&lt;/item&gt;&lt;item&gt;3056&lt;/item&gt;&lt;item&gt;3058&lt;/item&gt;&lt;item&gt;3059&lt;/item&gt;&lt;item&gt;3060&lt;/item&gt;&lt;item&gt;3061&lt;/item&gt;&lt;item&gt;3062&lt;/item&gt;&lt;item&gt;3063&lt;/item&gt;&lt;item&gt;3064&lt;/item&gt;&lt;item&gt;3066&lt;/item&gt;&lt;item&gt;3067&lt;/item&gt;&lt;item&gt;3070&lt;/item&gt;&lt;item&gt;3071&lt;/item&gt;&lt;item&gt;3074&lt;/item&gt;&lt;item&gt;3075&lt;/item&gt;&lt;item&gt;3076&lt;/item&gt;&lt;item&gt;3077&lt;/item&gt;&lt;item&gt;3078&lt;/item&gt;&lt;item&gt;3079&lt;/item&gt;&lt;item&gt;3080&lt;/item&gt;&lt;item&gt;3081&lt;/item&gt;&lt;item&gt;3082&lt;/item&gt;&lt;item&gt;3085&lt;/item&gt;&lt;item&gt;3086&lt;/item&gt;&lt;item&gt;3089&lt;/item&gt;&lt;item&gt;3090&lt;/item&gt;&lt;item&gt;3091&lt;/item&gt;&lt;item&gt;3092&lt;/item&gt;&lt;item&gt;3093&lt;/item&gt;&lt;item&gt;3094&lt;/item&gt;&lt;item&gt;3095&lt;/item&gt;&lt;item&gt;3096&lt;/item&gt;&lt;item&gt;3097&lt;/item&gt;&lt;item&gt;3098&lt;/item&gt;&lt;item&gt;3099&lt;/item&gt;&lt;item&gt;3100&lt;/item&gt;&lt;item&gt;3101&lt;/item&gt;&lt;item&gt;3102&lt;/item&gt;&lt;item&gt;3103&lt;/item&gt;&lt;item&gt;3104&lt;/item&gt;&lt;item&gt;3105&lt;/item&gt;&lt;item&gt;3107&lt;/item&gt;&lt;item&gt;3109&lt;/item&gt;&lt;item&gt;3110&lt;/item&gt;&lt;item&gt;3111&lt;/item&gt;&lt;item&gt;3112&lt;/item&gt;&lt;item&gt;3113&lt;/item&gt;&lt;item&gt;3114&lt;/item&gt;&lt;item&gt;3115&lt;/item&gt;&lt;item&gt;3116&lt;/item&gt;&lt;item&gt;3117&lt;/item&gt;&lt;item&gt;3118&lt;/item&gt;&lt;item&gt;3120&lt;/item&gt;&lt;item&gt;3121&lt;/item&gt;&lt;item&gt;3122&lt;/item&gt;&lt;item&gt;3123&lt;/item&gt;&lt;item&gt;3124&lt;/item&gt;&lt;item&gt;3125&lt;/item&gt;&lt;item&gt;3126&lt;/item&gt;&lt;item&gt;3127&lt;/item&gt;&lt;item&gt;3128&lt;/item&gt;&lt;item&gt;3129&lt;/item&gt;&lt;item&gt;3130&lt;/item&gt;&lt;item&gt;3131&lt;/item&gt;&lt;item&gt;3132&lt;/item&gt;&lt;item&gt;3133&lt;/item&gt;&lt;item&gt;3134&lt;/item&gt;&lt;item&gt;3135&lt;/item&gt;&lt;item&gt;3158&lt;/item&gt;&lt;item&gt;3172&lt;/item&gt;&lt;/record-ids&gt;&lt;/item&gt;&lt;/Libraries&gt;"/>
  </w:docVars>
  <w:rsids>
    <w:rsidRoot w:val="009241BC"/>
    <w:rsid w:val="00003539"/>
    <w:rsid w:val="00007016"/>
    <w:rsid w:val="00016E5B"/>
    <w:rsid w:val="000178D3"/>
    <w:rsid w:val="00025CEB"/>
    <w:rsid w:val="00031596"/>
    <w:rsid w:val="00031938"/>
    <w:rsid w:val="00034304"/>
    <w:rsid w:val="00034BF4"/>
    <w:rsid w:val="00035434"/>
    <w:rsid w:val="000357BB"/>
    <w:rsid w:val="00036F53"/>
    <w:rsid w:val="000427F6"/>
    <w:rsid w:val="000449C6"/>
    <w:rsid w:val="00045678"/>
    <w:rsid w:val="000458E4"/>
    <w:rsid w:val="00050D47"/>
    <w:rsid w:val="00053381"/>
    <w:rsid w:val="00053DA5"/>
    <w:rsid w:val="00056450"/>
    <w:rsid w:val="00056E20"/>
    <w:rsid w:val="00060FFC"/>
    <w:rsid w:val="00061CB3"/>
    <w:rsid w:val="0006358E"/>
    <w:rsid w:val="00063D84"/>
    <w:rsid w:val="00065F42"/>
    <w:rsid w:val="0006636D"/>
    <w:rsid w:val="000665B2"/>
    <w:rsid w:val="00067F5C"/>
    <w:rsid w:val="00071771"/>
    <w:rsid w:val="00076BC2"/>
    <w:rsid w:val="00077D53"/>
    <w:rsid w:val="00080B79"/>
    <w:rsid w:val="00080EB9"/>
    <w:rsid w:val="00081394"/>
    <w:rsid w:val="000926E2"/>
    <w:rsid w:val="00094E24"/>
    <w:rsid w:val="000B34BD"/>
    <w:rsid w:val="000C0EB4"/>
    <w:rsid w:val="000C581B"/>
    <w:rsid w:val="000C7E2A"/>
    <w:rsid w:val="000D3D77"/>
    <w:rsid w:val="000D4367"/>
    <w:rsid w:val="000D44C4"/>
    <w:rsid w:val="000D4E0E"/>
    <w:rsid w:val="000D58B9"/>
    <w:rsid w:val="000E148D"/>
    <w:rsid w:val="000E604F"/>
    <w:rsid w:val="000E7F3C"/>
    <w:rsid w:val="000F28F5"/>
    <w:rsid w:val="000F4618"/>
    <w:rsid w:val="000F4CFB"/>
    <w:rsid w:val="00105946"/>
    <w:rsid w:val="00110B7E"/>
    <w:rsid w:val="00114EB3"/>
    <w:rsid w:val="00117666"/>
    <w:rsid w:val="001223A7"/>
    <w:rsid w:val="0012733B"/>
    <w:rsid w:val="00134256"/>
    <w:rsid w:val="001468BF"/>
    <w:rsid w:val="00147395"/>
    <w:rsid w:val="001552C9"/>
    <w:rsid w:val="001554A6"/>
    <w:rsid w:val="00163491"/>
    <w:rsid w:val="001664D7"/>
    <w:rsid w:val="00177D84"/>
    <w:rsid w:val="001843E4"/>
    <w:rsid w:val="00184431"/>
    <w:rsid w:val="0018538F"/>
    <w:rsid w:val="001964EF"/>
    <w:rsid w:val="001A282E"/>
    <w:rsid w:val="001B06C9"/>
    <w:rsid w:val="001B1A2C"/>
    <w:rsid w:val="001B3147"/>
    <w:rsid w:val="001C097D"/>
    <w:rsid w:val="001C1E97"/>
    <w:rsid w:val="001C4B7C"/>
    <w:rsid w:val="001C5CEB"/>
    <w:rsid w:val="001C753A"/>
    <w:rsid w:val="001D4D79"/>
    <w:rsid w:val="001D5C23"/>
    <w:rsid w:val="001D63E9"/>
    <w:rsid w:val="001E3E0F"/>
    <w:rsid w:val="001E5288"/>
    <w:rsid w:val="001F4C07"/>
    <w:rsid w:val="002045CE"/>
    <w:rsid w:val="00204AB4"/>
    <w:rsid w:val="002065C0"/>
    <w:rsid w:val="00212F21"/>
    <w:rsid w:val="002155A4"/>
    <w:rsid w:val="00217CF3"/>
    <w:rsid w:val="00220AEA"/>
    <w:rsid w:val="00226954"/>
    <w:rsid w:val="00227678"/>
    <w:rsid w:val="00235A25"/>
    <w:rsid w:val="002425BA"/>
    <w:rsid w:val="002450DA"/>
    <w:rsid w:val="00246C74"/>
    <w:rsid w:val="00253499"/>
    <w:rsid w:val="002549CF"/>
    <w:rsid w:val="002622EC"/>
    <w:rsid w:val="002629A3"/>
    <w:rsid w:val="00263298"/>
    <w:rsid w:val="00265660"/>
    <w:rsid w:val="00266E38"/>
    <w:rsid w:val="002677A5"/>
    <w:rsid w:val="00267D18"/>
    <w:rsid w:val="00276832"/>
    <w:rsid w:val="00280FC9"/>
    <w:rsid w:val="002868E2"/>
    <w:rsid w:val="002869C3"/>
    <w:rsid w:val="00287A29"/>
    <w:rsid w:val="00287F80"/>
    <w:rsid w:val="00291753"/>
    <w:rsid w:val="00292955"/>
    <w:rsid w:val="0029316D"/>
    <w:rsid w:val="002936E4"/>
    <w:rsid w:val="00294986"/>
    <w:rsid w:val="00296B88"/>
    <w:rsid w:val="00296CCF"/>
    <w:rsid w:val="002A1938"/>
    <w:rsid w:val="002A5F3B"/>
    <w:rsid w:val="002A6316"/>
    <w:rsid w:val="002A7446"/>
    <w:rsid w:val="002B0493"/>
    <w:rsid w:val="002B13DB"/>
    <w:rsid w:val="002B42C6"/>
    <w:rsid w:val="002B7A8E"/>
    <w:rsid w:val="002C2223"/>
    <w:rsid w:val="002C7482"/>
    <w:rsid w:val="002C74CA"/>
    <w:rsid w:val="002D0749"/>
    <w:rsid w:val="002D215A"/>
    <w:rsid w:val="002E3543"/>
    <w:rsid w:val="002E3D0E"/>
    <w:rsid w:val="002E5172"/>
    <w:rsid w:val="002E6B93"/>
    <w:rsid w:val="002F4814"/>
    <w:rsid w:val="002F65C9"/>
    <w:rsid w:val="002F744D"/>
    <w:rsid w:val="00301EF9"/>
    <w:rsid w:val="00303DE6"/>
    <w:rsid w:val="0030427E"/>
    <w:rsid w:val="00305C93"/>
    <w:rsid w:val="00305EF5"/>
    <w:rsid w:val="003061AD"/>
    <w:rsid w:val="0030683B"/>
    <w:rsid w:val="00310124"/>
    <w:rsid w:val="003143ED"/>
    <w:rsid w:val="003147E3"/>
    <w:rsid w:val="003168D8"/>
    <w:rsid w:val="00317DC5"/>
    <w:rsid w:val="00321058"/>
    <w:rsid w:val="003248C1"/>
    <w:rsid w:val="00336709"/>
    <w:rsid w:val="00351E3F"/>
    <w:rsid w:val="003544FB"/>
    <w:rsid w:val="00355C29"/>
    <w:rsid w:val="00364029"/>
    <w:rsid w:val="00365D63"/>
    <w:rsid w:val="00365D73"/>
    <w:rsid w:val="0036793B"/>
    <w:rsid w:val="00372682"/>
    <w:rsid w:val="003756D6"/>
    <w:rsid w:val="00376CC5"/>
    <w:rsid w:val="00380B91"/>
    <w:rsid w:val="00395CC7"/>
    <w:rsid w:val="0039693B"/>
    <w:rsid w:val="003A14D0"/>
    <w:rsid w:val="003B0832"/>
    <w:rsid w:val="003B136C"/>
    <w:rsid w:val="003B3A1B"/>
    <w:rsid w:val="003B5C8E"/>
    <w:rsid w:val="003C3F4A"/>
    <w:rsid w:val="003C5975"/>
    <w:rsid w:val="003C7BCF"/>
    <w:rsid w:val="003C7EE1"/>
    <w:rsid w:val="003D2338"/>
    <w:rsid w:val="003D2F2D"/>
    <w:rsid w:val="003D6452"/>
    <w:rsid w:val="003E17BC"/>
    <w:rsid w:val="003E7AF3"/>
    <w:rsid w:val="00401590"/>
    <w:rsid w:val="0041104E"/>
    <w:rsid w:val="00412255"/>
    <w:rsid w:val="00414659"/>
    <w:rsid w:val="004209E5"/>
    <w:rsid w:val="00420F12"/>
    <w:rsid w:val="00422141"/>
    <w:rsid w:val="004273D6"/>
    <w:rsid w:val="00432A67"/>
    <w:rsid w:val="004348B9"/>
    <w:rsid w:val="00440938"/>
    <w:rsid w:val="00444780"/>
    <w:rsid w:val="0044582B"/>
    <w:rsid w:val="004541A3"/>
    <w:rsid w:val="0045633D"/>
    <w:rsid w:val="00463E3D"/>
    <w:rsid w:val="004645AE"/>
    <w:rsid w:val="00474928"/>
    <w:rsid w:val="004828B9"/>
    <w:rsid w:val="0049226E"/>
    <w:rsid w:val="00492F86"/>
    <w:rsid w:val="00495386"/>
    <w:rsid w:val="004965B9"/>
    <w:rsid w:val="004975A6"/>
    <w:rsid w:val="004A46BC"/>
    <w:rsid w:val="004B2D92"/>
    <w:rsid w:val="004B50B7"/>
    <w:rsid w:val="004B6B2B"/>
    <w:rsid w:val="004B6B55"/>
    <w:rsid w:val="004C0355"/>
    <w:rsid w:val="004C3ADD"/>
    <w:rsid w:val="004C50CE"/>
    <w:rsid w:val="004D3E33"/>
    <w:rsid w:val="004D68E4"/>
    <w:rsid w:val="004D70C6"/>
    <w:rsid w:val="004E063C"/>
    <w:rsid w:val="004E0788"/>
    <w:rsid w:val="004E1082"/>
    <w:rsid w:val="004E2D5E"/>
    <w:rsid w:val="004E462C"/>
    <w:rsid w:val="004E7EAF"/>
    <w:rsid w:val="005007C6"/>
    <w:rsid w:val="0050461B"/>
    <w:rsid w:val="00512D1E"/>
    <w:rsid w:val="00517B99"/>
    <w:rsid w:val="005247E7"/>
    <w:rsid w:val="005250F2"/>
    <w:rsid w:val="00527595"/>
    <w:rsid w:val="00534EEC"/>
    <w:rsid w:val="0054477A"/>
    <w:rsid w:val="005452A3"/>
    <w:rsid w:val="00545640"/>
    <w:rsid w:val="005471D1"/>
    <w:rsid w:val="00547D0E"/>
    <w:rsid w:val="0055233B"/>
    <w:rsid w:val="00562F74"/>
    <w:rsid w:val="00575562"/>
    <w:rsid w:val="005804D4"/>
    <w:rsid w:val="00580BB5"/>
    <w:rsid w:val="005818FF"/>
    <w:rsid w:val="00583C0E"/>
    <w:rsid w:val="005A1D84"/>
    <w:rsid w:val="005A5FBE"/>
    <w:rsid w:val="005A70EA"/>
    <w:rsid w:val="005A7249"/>
    <w:rsid w:val="005B5580"/>
    <w:rsid w:val="005B6CD4"/>
    <w:rsid w:val="005B7033"/>
    <w:rsid w:val="005B7AE7"/>
    <w:rsid w:val="005C3963"/>
    <w:rsid w:val="005C5FF3"/>
    <w:rsid w:val="005C7245"/>
    <w:rsid w:val="005D018F"/>
    <w:rsid w:val="005D0252"/>
    <w:rsid w:val="005D1840"/>
    <w:rsid w:val="005D1D83"/>
    <w:rsid w:val="005D35E4"/>
    <w:rsid w:val="005D54E6"/>
    <w:rsid w:val="005D7910"/>
    <w:rsid w:val="005E0B83"/>
    <w:rsid w:val="005E7835"/>
    <w:rsid w:val="005F4130"/>
    <w:rsid w:val="005F438D"/>
    <w:rsid w:val="005F4B89"/>
    <w:rsid w:val="005F4E58"/>
    <w:rsid w:val="005F6DDF"/>
    <w:rsid w:val="00601916"/>
    <w:rsid w:val="00603825"/>
    <w:rsid w:val="0061081D"/>
    <w:rsid w:val="0062154F"/>
    <w:rsid w:val="006216D1"/>
    <w:rsid w:val="00631A8C"/>
    <w:rsid w:val="00633A1E"/>
    <w:rsid w:val="00633E1C"/>
    <w:rsid w:val="006344AD"/>
    <w:rsid w:val="006371EF"/>
    <w:rsid w:val="00651CA2"/>
    <w:rsid w:val="00653D60"/>
    <w:rsid w:val="006560B0"/>
    <w:rsid w:val="006603BC"/>
    <w:rsid w:val="00660D05"/>
    <w:rsid w:val="00661E44"/>
    <w:rsid w:val="00664621"/>
    <w:rsid w:val="00670ADD"/>
    <w:rsid w:val="00671965"/>
    <w:rsid w:val="00671D9A"/>
    <w:rsid w:val="00673952"/>
    <w:rsid w:val="00675326"/>
    <w:rsid w:val="00676AAF"/>
    <w:rsid w:val="00677FAF"/>
    <w:rsid w:val="0068250E"/>
    <w:rsid w:val="00683C02"/>
    <w:rsid w:val="00686C9D"/>
    <w:rsid w:val="00687036"/>
    <w:rsid w:val="00690183"/>
    <w:rsid w:val="006918B9"/>
    <w:rsid w:val="0069324C"/>
    <w:rsid w:val="00697877"/>
    <w:rsid w:val="006A0C33"/>
    <w:rsid w:val="006A1B7C"/>
    <w:rsid w:val="006A1DA2"/>
    <w:rsid w:val="006A3561"/>
    <w:rsid w:val="006A6F10"/>
    <w:rsid w:val="006B20E0"/>
    <w:rsid w:val="006B2D5B"/>
    <w:rsid w:val="006B59DA"/>
    <w:rsid w:val="006B76C4"/>
    <w:rsid w:val="006B7D14"/>
    <w:rsid w:val="006C5774"/>
    <w:rsid w:val="006C5F5A"/>
    <w:rsid w:val="006C60C0"/>
    <w:rsid w:val="006C76C8"/>
    <w:rsid w:val="006C7EC2"/>
    <w:rsid w:val="006D042A"/>
    <w:rsid w:val="006D5B93"/>
    <w:rsid w:val="006E43D1"/>
    <w:rsid w:val="006E5A1C"/>
    <w:rsid w:val="006F5576"/>
    <w:rsid w:val="006F604D"/>
    <w:rsid w:val="00700AC0"/>
    <w:rsid w:val="00700F7F"/>
    <w:rsid w:val="00706A63"/>
    <w:rsid w:val="00714AD0"/>
    <w:rsid w:val="00725A7D"/>
    <w:rsid w:val="0073085C"/>
    <w:rsid w:val="00730967"/>
    <w:rsid w:val="00730F6F"/>
    <w:rsid w:val="007358C1"/>
    <w:rsid w:val="00742F14"/>
    <w:rsid w:val="00743B5F"/>
    <w:rsid w:val="007449E6"/>
    <w:rsid w:val="00746505"/>
    <w:rsid w:val="00747A46"/>
    <w:rsid w:val="00750F11"/>
    <w:rsid w:val="00752C44"/>
    <w:rsid w:val="007647B8"/>
    <w:rsid w:val="00764AF2"/>
    <w:rsid w:val="00766C5B"/>
    <w:rsid w:val="00771F5E"/>
    <w:rsid w:val="00773232"/>
    <w:rsid w:val="00773E83"/>
    <w:rsid w:val="00776DC5"/>
    <w:rsid w:val="0078506D"/>
    <w:rsid w:val="0079011A"/>
    <w:rsid w:val="00790BB3"/>
    <w:rsid w:val="00791BBD"/>
    <w:rsid w:val="00792043"/>
    <w:rsid w:val="00796514"/>
    <w:rsid w:val="00796C60"/>
    <w:rsid w:val="0079714B"/>
    <w:rsid w:val="00797EDD"/>
    <w:rsid w:val="007A1128"/>
    <w:rsid w:val="007A57FE"/>
    <w:rsid w:val="007B0322"/>
    <w:rsid w:val="007B03F8"/>
    <w:rsid w:val="007C0E3F"/>
    <w:rsid w:val="007C137B"/>
    <w:rsid w:val="007C206C"/>
    <w:rsid w:val="007C2BF0"/>
    <w:rsid w:val="007C5729"/>
    <w:rsid w:val="007C784E"/>
    <w:rsid w:val="007D2A02"/>
    <w:rsid w:val="007D411D"/>
    <w:rsid w:val="007D5CA5"/>
    <w:rsid w:val="007E07E8"/>
    <w:rsid w:val="007E1935"/>
    <w:rsid w:val="007F2D80"/>
    <w:rsid w:val="007F36C2"/>
    <w:rsid w:val="007F69DD"/>
    <w:rsid w:val="00804C95"/>
    <w:rsid w:val="008075EF"/>
    <w:rsid w:val="008111E4"/>
    <w:rsid w:val="0081301C"/>
    <w:rsid w:val="00814F9B"/>
    <w:rsid w:val="00817DD6"/>
    <w:rsid w:val="008333BC"/>
    <w:rsid w:val="00834B8C"/>
    <w:rsid w:val="00842F74"/>
    <w:rsid w:val="00850E90"/>
    <w:rsid w:val="008548FC"/>
    <w:rsid w:val="008608C2"/>
    <w:rsid w:val="008623CE"/>
    <w:rsid w:val="008629A9"/>
    <w:rsid w:val="00864124"/>
    <w:rsid w:val="00884CE6"/>
    <w:rsid w:val="00885FFD"/>
    <w:rsid w:val="008924DD"/>
    <w:rsid w:val="00892C48"/>
    <w:rsid w:val="00893784"/>
    <w:rsid w:val="00893C19"/>
    <w:rsid w:val="008A09C5"/>
    <w:rsid w:val="008B54E8"/>
    <w:rsid w:val="008C0255"/>
    <w:rsid w:val="008C1346"/>
    <w:rsid w:val="008C63E7"/>
    <w:rsid w:val="008D1B01"/>
    <w:rsid w:val="008D20BC"/>
    <w:rsid w:val="008D2565"/>
    <w:rsid w:val="008D5981"/>
    <w:rsid w:val="008D6C8D"/>
    <w:rsid w:val="008E2B54"/>
    <w:rsid w:val="008E4404"/>
    <w:rsid w:val="008E58C7"/>
    <w:rsid w:val="008F0618"/>
    <w:rsid w:val="008F3962"/>
    <w:rsid w:val="008F5021"/>
    <w:rsid w:val="008F7BEC"/>
    <w:rsid w:val="00905615"/>
    <w:rsid w:val="009060EA"/>
    <w:rsid w:val="00907359"/>
    <w:rsid w:val="009102D0"/>
    <w:rsid w:val="00910598"/>
    <w:rsid w:val="0091147D"/>
    <w:rsid w:val="0091309D"/>
    <w:rsid w:val="00916825"/>
    <w:rsid w:val="00916D57"/>
    <w:rsid w:val="009241BC"/>
    <w:rsid w:val="0094017F"/>
    <w:rsid w:val="00941843"/>
    <w:rsid w:val="00941F08"/>
    <w:rsid w:val="0094229B"/>
    <w:rsid w:val="0094338E"/>
    <w:rsid w:val="00943573"/>
    <w:rsid w:val="0095550C"/>
    <w:rsid w:val="00967EA2"/>
    <w:rsid w:val="00971460"/>
    <w:rsid w:val="00971B61"/>
    <w:rsid w:val="00974860"/>
    <w:rsid w:val="009748A9"/>
    <w:rsid w:val="00980C31"/>
    <w:rsid w:val="009955FF"/>
    <w:rsid w:val="009A07EE"/>
    <w:rsid w:val="009A2BEA"/>
    <w:rsid w:val="009A52BD"/>
    <w:rsid w:val="009A5C7D"/>
    <w:rsid w:val="009B0E1F"/>
    <w:rsid w:val="009C0059"/>
    <w:rsid w:val="009C7F1C"/>
    <w:rsid w:val="009D259D"/>
    <w:rsid w:val="009D2691"/>
    <w:rsid w:val="009D417E"/>
    <w:rsid w:val="009E0E89"/>
    <w:rsid w:val="009E1783"/>
    <w:rsid w:val="009E47CD"/>
    <w:rsid w:val="009E4933"/>
    <w:rsid w:val="009E56EE"/>
    <w:rsid w:val="009E7814"/>
    <w:rsid w:val="009F08A3"/>
    <w:rsid w:val="009F172D"/>
    <w:rsid w:val="009F27E1"/>
    <w:rsid w:val="009F2E03"/>
    <w:rsid w:val="009F639F"/>
    <w:rsid w:val="00A00357"/>
    <w:rsid w:val="00A00E46"/>
    <w:rsid w:val="00A028EE"/>
    <w:rsid w:val="00A04000"/>
    <w:rsid w:val="00A12521"/>
    <w:rsid w:val="00A21E0A"/>
    <w:rsid w:val="00A315E7"/>
    <w:rsid w:val="00A32D04"/>
    <w:rsid w:val="00A34281"/>
    <w:rsid w:val="00A37402"/>
    <w:rsid w:val="00A476F1"/>
    <w:rsid w:val="00A504D6"/>
    <w:rsid w:val="00A50D9D"/>
    <w:rsid w:val="00A515D0"/>
    <w:rsid w:val="00A53000"/>
    <w:rsid w:val="00A545C6"/>
    <w:rsid w:val="00A70102"/>
    <w:rsid w:val="00A72374"/>
    <w:rsid w:val="00A74720"/>
    <w:rsid w:val="00A755FB"/>
    <w:rsid w:val="00A75F87"/>
    <w:rsid w:val="00A84D29"/>
    <w:rsid w:val="00A94031"/>
    <w:rsid w:val="00A95D8B"/>
    <w:rsid w:val="00A95F24"/>
    <w:rsid w:val="00AA1008"/>
    <w:rsid w:val="00AA13F8"/>
    <w:rsid w:val="00AA66C5"/>
    <w:rsid w:val="00AA70CE"/>
    <w:rsid w:val="00AB2E46"/>
    <w:rsid w:val="00AB3544"/>
    <w:rsid w:val="00AB384E"/>
    <w:rsid w:val="00AC0270"/>
    <w:rsid w:val="00AC0678"/>
    <w:rsid w:val="00AC0C3A"/>
    <w:rsid w:val="00AC32AE"/>
    <w:rsid w:val="00AC3EA3"/>
    <w:rsid w:val="00AC607A"/>
    <w:rsid w:val="00AC6D98"/>
    <w:rsid w:val="00AC792D"/>
    <w:rsid w:val="00AD6B94"/>
    <w:rsid w:val="00AE285C"/>
    <w:rsid w:val="00AE2F32"/>
    <w:rsid w:val="00AE32D9"/>
    <w:rsid w:val="00AE4377"/>
    <w:rsid w:val="00AE5A07"/>
    <w:rsid w:val="00AF08EA"/>
    <w:rsid w:val="00AF2922"/>
    <w:rsid w:val="00AF4F10"/>
    <w:rsid w:val="00AF5F9A"/>
    <w:rsid w:val="00B022A7"/>
    <w:rsid w:val="00B027F1"/>
    <w:rsid w:val="00B07BF0"/>
    <w:rsid w:val="00B2186C"/>
    <w:rsid w:val="00B24D6B"/>
    <w:rsid w:val="00B2653F"/>
    <w:rsid w:val="00B2698A"/>
    <w:rsid w:val="00B32BE3"/>
    <w:rsid w:val="00B33808"/>
    <w:rsid w:val="00B44E26"/>
    <w:rsid w:val="00B52556"/>
    <w:rsid w:val="00B5434C"/>
    <w:rsid w:val="00B55C55"/>
    <w:rsid w:val="00B6198B"/>
    <w:rsid w:val="00B657B8"/>
    <w:rsid w:val="00B722F3"/>
    <w:rsid w:val="00B76255"/>
    <w:rsid w:val="00B77ED0"/>
    <w:rsid w:val="00B84920"/>
    <w:rsid w:val="00B84B90"/>
    <w:rsid w:val="00B8556A"/>
    <w:rsid w:val="00B9366C"/>
    <w:rsid w:val="00BA51E5"/>
    <w:rsid w:val="00BA5CCD"/>
    <w:rsid w:val="00BB56B7"/>
    <w:rsid w:val="00BC1160"/>
    <w:rsid w:val="00BC39B0"/>
    <w:rsid w:val="00BC4114"/>
    <w:rsid w:val="00BC745C"/>
    <w:rsid w:val="00BD1A6C"/>
    <w:rsid w:val="00BD2C51"/>
    <w:rsid w:val="00BE1B8B"/>
    <w:rsid w:val="00BE299D"/>
    <w:rsid w:val="00BE316A"/>
    <w:rsid w:val="00BE3B8F"/>
    <w:rsid w:val="00BE4908"/>
    <w:rsid w:val="00BE4C0B"/>
    <w:rsid w:val="00BE56C0"/>
    <w:rsid w:val="00BE5A6F"/>
    <w:rsid w:val="00BE6FFD"/>
    <w:rsid w:val="00BF4066"/>
    <w:rsid w:val="00BF4BCE"/>
    <w:rsid w:val="00C00DF7"/>
    <w:rsid w:val="00C012A3"/>
    <w:rsid w:val="00C01C48"/>
    <w:rsid w:val="00C03382"/>
    <w:rsid w:val="00C05ACF"/>
    <w:rsid w:val="00C07473"/>
    <w:rsid w:val="00C0783B"/>
    <w:rsid w:val="00C14AF8"/>
    <w:rsid w:val="00C173CF"/>
    <w:rsid w:val="00C23025"/>
    <w:rsid w:val="00C25033"/>
    <w:rsid w:val="00C2742F"/>
    <w:rsid w:val="00C32C2E"/>
    <w:rsid w:val="00C35166"/>
    <w:rsid w:val="00C36F76"/>
    <w:rsid w:val="00C405FE"/>
    <w:rsid w:val="00C4512B"/>
    <w:rsid w:val="00C476C0"/>
    <w:rsid w:val="00C52A7B"/>
    <w:rsid w:val="00C54D1B"/>
    <w:rsid w:val="00C54D78"/>
    <w:rsid w:val="00C56CCB"/>
    <w:rsid w:val="00C60B89"/>
    <w:rsid w:val="00C6324C"/>
    <w:rsid w:val="00C679AA"/>
    <w:rsid w:val="00C724CF"/>
    <w:rsid w:val="00C75972"/>
    <w:rsid w:val="00C82792"/>
    <w:rsid w:val="00C835B1"/>
    <w:rsid w:val="00C8725E"/>
    <w:rsid w:val="00C941EF"/>
    <w:rsid w:val="00C948FD"/>
    <w:rsid w:val="00CA1592"/>
    <w:rsid w:val="00CA5359"/>
    <w:rsid w:val="00CA6A48"/>
    <w:rsid w:val="00CB164D"/>
    <w:rsid w:val="00CB43D5"/>
    <w:rsid w:val="00CB768A"/>
    <w:rsid w:val="00CC2110"/>
    <w:rsid w:val="00CC2FB4"/>
    <w:rsid w:val="00CC61E1"/>
    <w:rsid w:val="00CC76F9"/>
    <w:rsid w:val="00CD0226"/>
    <w:rsid w:val="00CD066B"/>
    <w:rsid w:val="00CD46E2"/>
    <w:rsid w:val="00CD47C8"/>
    <w:rsid w:val="00CD6053"/>
    <w:rsid w:val="00CE001D"/>
    <w:rsid w:val="00CE1FA3"/>
    <w:rsid w:val="00CE377F"/>
    <w:rsid w:val="00CE77B2"/>
    <w:rsid w:val="00CF2BA4"/>
    <w:rsid w:val="00CF5C1E"/>
    <w:rsid w:val="00D00D0B"/>
    <w:rsid w:val="00D0256B"/>
    <w:rsid w:val="00D04B69"/>
    <w:rsid w:val="00D10DF4"/>
    <w:rsid w:val="00D15675"/>
    <w:rsid w:val="00D20665"/>
    <w:rsid w:val="00D23A08"/>
    <w:rsid w:val="00D2480D"/>
    <w:rsid w:val="00D30315"/>
    <w:rsid w:val="00D333B3"/>
    <w:rsid w:val="00D35C3F"/>
    <w:rsid w:val="00D37148"/>
    <w:rsid w:val="00D44445"/>
    <w:rsid w:val="00D4643A"/>
    <w:rsid w:val="00D50C0C"/>
    <w:rsid w:val="00D5128B"/>
    <w:rsid w:val="00D51B48"/>
    <w:rsid w:val="00D5210D"/>
    <w:rsid w:val="00D526C5"/>
    <w:rsid w:val="00D537FA"/>
    <w:rsid w:val="00D53D20"/>
    <w:rsid w:val="00D54499"/>
    <w:rsid w:val="00D609A7"/>
    <w:rsid w:val="00D60D71"/>
    <w:rsid w:val="00D614F9"/>
    <w:rsid w:val="00D6292E"/>
    <w:rsid w:val="00D6437B"/>
    <w:rsid w:val="00D71153"/>
    <w:rsid w:val="00D74517"/>
    <w:rsid w:val="00D769A4"/>
    <w:rsid w:val="00D80BF2"/>
    <w:rsid w:val="00D80D99"/>
    <w:rsid w:val="00D83A1D"/>
    <w:rsid w:val="00D93CF7"/>
    <w:rsid w:val="00D9503C"/>
    <w:rsid w:val="00D960F3"/>
    <w:rsid w:val="00D96552"/>
    <w:rsid w:val="00DA3CF6"/>
    <w:rsid w:val="00DB1D45"/>
    <w:rsid w:val="00DB459D"/>
    <w:rsid w:val="00DC1647"/>
    <w:rsid w:val="00DC3281"/>
    <w:rsid w:val="00DD0B98"/>
    <w:rsid w:val="00DD129D"/>
    <w:rsid w:val="00DD41D8"/>
    <w:rsid w:val="00DD73EF"/>
    <w:rsid w:val="00DE1978"/>
    <w:rsid w:val="00DE23E8"/>
    <w:rsid w:val="00DE375B"/>
    <w:rsid w:val="00DF1449"/>
    <w:rsid w:val="00DF1712"/>
    <w:rsid w:val="00DF4DBC"/>
    <w:rsid w:val="00DF6547"/>
    <w:rsid w:val="00E0128B"/>
    <w:rsid w:val="00E013FE"/>
    <w:rsid w:val="00E01D47"/>
    <w:rsid w:val="00E048D6"/>
    <w:rsid w:val="00E0571A"/>
    <w:rsid w:val="00E10F25"/>
    <w:rsid w:val="00E1729F"/>
    <w:rsid w:val="00E232BF"/>
    <w:rsid w:val="00E23DCC"/>
    <w:rsid w:val="00E24DBF"/>
    <w:rsid w:val="00E2509E"/>
    <w:rsid w:val="00E279C3"/>
    <w:rsid w:val="00E506EA"/>
    <w:rsid w:val="00E50949"/>
    <w:rsid w:val="00E64E17"/>
    <w:rsid w:val="00E70AE0"/>
    <w:rsid w:val="00E71CD4"/>
    <w:rsid w:val="00E74FA3"/>
    <w:rsid w:val="00E806B9"/>
    <w:rsid w:val="00E80C7F"/>
    <w:rsid w:val="00E84AC3"/>
    <w:rsid w:val="00E86585"/>
    <w:rsid w:val="00E96067"/>
    <w:rsid w:val="00E96B25"/>
    <w:rsid w:val="00EA30BE"/>
    <w:rsid w:val="00EA3D3C"/>
    <w:rsid w:val="00EA5F05"/>
    <w:rsid w:val="00EA711D"/>
    <w:rsid w:val="00EA7A2E"/>
    <w:rsid w:val="00EB1A5D"/>
    <w:rsid w:val="00EB49AC"/>
    <w:rsid w:val="00EB70A8"/>
    <w:rsid w:val="00EC185C"/>
    <w:rsid w:val="00EC4469"/>
    <w:rsid w:val="00EC4500"/>
    <w:rsid w:val="00EC5693"/>
    <w:rsid w:val="00EC6C61"/>
    <w:rsid w:val="00EC7CC3"/>
    <w:rsid w:val="00ED0AA3"/>
    <w:rsid w:val="00EE2046"/>
    <w:rsid w:val="00EE777F"/>
    <w:rsid w:val="00EF333A"/>
    <w:rsid w:val="00EF38B7"/>
    <w:rsid w:val="00F00E4A"/>
    <w:rsid w:val="00F0564F"/>
    <w:rsid w:val="00F07CFB"/>
    <w:rsid w:val="00F10852"/>
    <w:rsid w:val="00F14071"/>
    <w:rsid w:val="00F24196"/>
    <w:rsid w:val="00F27F8F"/>
    <w:rsid w:val="00F35CA3"/>
    <w:rsid w:val="00F41DC0"/>
    <w:rsid w:val="00F4490F"/>
    <w:rsid w:val="00F46494"/>
    <w:rsid w:val="00F52574"/>
    <w:rsid w:val="00F54ED9"/>
    <w:rsid w:val="00F558AB"/>
    <w:rsid w:val="00F57973"/>
    <w:rsid w:val="00F617DD"/>
    <w:rsid w:val="00F61D89"/>
    <w:rsid w:val="00F679C9"/>
    <w:rsid w:val="00F721F7"/>
    <w:rsid w:val="00F72DF1"/>
    <w:rsid w:val="00F737CB"/>
    <w:rsid w:val="00F81460"/>
    <w:rsid w:val="00F826BD"/>
    <w:rsid w:val="00F8387C"/>
    <w:rsid w:val="00F83FE3"/>
    <w:rsid w:val="00F846A7"/>
    <w:rsid w:val="00F84EDB"/>
    <w:rsid w:val="00F86ABB"/>
    <w:rsid w:val="00F8785B"/>
    <w:rsid w:val="00F879CD"/>
    <w:rsid w:val="00F90907"/>
    <w:rsid w:val="00FA3726"/>
    <w:rsid w:val="00FA7729"/>
    <w:rsid w:val="00FA7F77"/>
    <w:rsid w:val="00FB4477"/>
    <w:rsid w:val="00FC1915"/>
    <w:rsid w:val="00FC7119"/>
    <w:rsid w:val="00FD0BF5"/>
    <w:rsid w:val="00FD13C3"/>
    <w:rsid w:val="00FD162A"/>
    <w:rsid w:val="00FD7648"/>
    <w:rsid w:val="00FE1360"/>
    <w:rsid w:val="00FE13BA"/>
    <w:rsid w:val="00FE6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0D3438"/>
  <w15:docId w15:val="{EB7B7C14-BCBF-474F-BE13-BC28F2179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0D99"/>
    <w:pPr>
      <w:spacing w:before="120" w:after="240" w:line="240" w:lineRule="auto"/>
    </w:pPr>
    <w:rPr>
      <w:rFonts w:ascii="Times New Roman" w:hAnsi="Times New Roman"/>
      <w:sz w:val="24"/>
    </w:rPr>
  </w:style>
  <w:style w:type="paragraph" w:styleId="berschrift1">
    <w:name w:val="heading 1"/>
    <w:aliases w:val="x"/>
    <w:basedOn w:val="Listenabsatz"/>
    <w:next w:val="Standard"/>
    <w:link w:val="berschrift1Zchn"/>
    <w:qFormat/>
    <w:rsid w:val="00D80D99"/>
    <w:pPr>
      <w:numPr>
        <w:numId w:val="17"/>
      </w:numPr>
      <w:spacing w:before="240"/>
      <w:contextualSpacing w:val="0"/>
      <w:outlineLvl w:val="0"/>
    </w:pPr>
    <w:rPr>
      <w:b/>
    </w:rPr>
  </w:style>
  <w:style w:type="paragraph" w:styleId="berschrift2">
    <w:name w:val="heading 2"/>
    <w:basedOn w:val="berschrift1"/>
    <w:next w:val="Standard"/>
    <w:link w:val="berschrift2Zchn"/>
    <w:qFormat/>
    <w:rsid w:val="00D80D99"/>
    <w:pPr>
      <w:numPr>
        <w:ilvl w:val="1"/>
      </w:numPr>
      <w:spacing w:after="200"/>
      <w:outlineLvl w:val="1"/>
    </w:pPr>
  </w:style>
  <w:style w:type="paragraph" w:styleId="berschrift3">
    <w:name w:val="heading 3"/>
    <w:basedOn w:val="Standard"/>
    <w:next w:val="Standard"/>
    <w:link w:val="berschrift3Zchn"/>
    <w:uiPriority w:val="99"/>
    <w:qFormat/>
    <w:rsid w:val="00D80D99"/>
    <w:pPr>
      <w:keepNext/>
      <w:keepLines/>
      <w:numPr>
        <w:ilvl w:val="2"/>
        <w:numId w:val="17"/>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99"/>
    <w:qFormat/>
    <w:rsid w:val="00D80D99"/>
    <w:pPr>
      <w:numPr>
        <w:ilvl w:val="3"/>
      </w:numPr>
      <w:outlineLvl w:val="3"/>
    </w:pPr>
    <w:rPr>
      <w:iCs/>
    </w:rPr>
  </w:style>
  <w:style w:type="paragraph" w:styleId="berschrift5">
    <w:name w:val="heading 5"/>
    <w:basedOn w:val="berschrift4"/>
    <w:next w:val="Standard"/>
    <w:link w:val="berschrift5Zchn"/>
    <w:uiPriority w:val="99"/>
    <w:qFormat/>
    <w:rsid w:val="00D80D99"/>
    <w:pPr>
      <w:numPr>
        <w:ilvl w:val="4"/>
      </w:numPr>
      <w:outlineLvl w:val="4"/>
    </w:pPr>
  </w:style>
  <w:style w:type="paragraph" w:styleId="berschrift6">
    <w:name w:val="heading 6"/>
    <w:basedOn w:val="Standard"/>
    <w:next w:val="Standard"/>
    <w:link w:val="berschrift6Zchn"/>
    <w:qFormat/>
    <w:rsid w:val="00D44445"/>
    <w:pPr>
      <w:spacing w:after="120" w:line="340" w:lineRule="atLeast"/>
      <w:ind w:firstLine="284"/>
      <w:jc w:val="both"/>
      <w:outlineLvl w:val="5"/>
    </w:pPr>
    <w:rPr>
      <w:rFonts w:eastAsia="Times New Roman" w:cs="Times New Roman"/>
      <w:color w:val="000000"/>
      <w:szCs w:val="20"/>
      <w:lang w:eastAsia="de-DE"/>
    </w:rPr>
  </w:style>
  <w:style w:type="paragraph" w:styleId="berschrift7">
    <w:name w:val="heading 7"/>
    <w:basedOn w:val="Standard"/>
    <w:next w:val="Standard"/>
    <w:link w:val="berschrift7Zchn"/>
    <w:qFormat/>
    <w:rsid w:val="00D44445"/>
    <w:pPr>
      <w:spacing w:after="120" w:line="340" w:lineRule="atLeast"/>
      <w:ind w:firstLine="284"/>
      <w:jc w:val="both"/>
      <w:outlineLvl w:val="6"/>
    </w:pPr>
    <w:rPr>
      <w:rFonts w:eastAsia="Times New Roman" w:cs="Times New Roman"/>
      <w:i/>
      <w:color w:val="000000"/>
      <w:szCs w:val="20"/>
      <w:lang w:eastAsia="de-DE"/>
    </w:rPr>
  </w:style>
  <w:style w:type="paragraph" w:styleId="berschrift8">
    <w:name w:val="heading 8"/>
    <w:basedOn w:val="Standard"/>
    <w:next w:val="Standard"/>
    <w:link w:val="berschrift8Zchn"/>
    <w:qFormat/>
    <w:rsid w:val="00D44445"/>
    <w:pPr>
      <w:spacing w:after="120" w:line="340" w:lineRule="atLeast"/>
      <w:ind w:left="1440" w:hanging="1440"/>
      <w:jc w:val="both"/>
      <w:outlineLvl w:val="7"/>
    </w:pPr>
    <w:rPr>
      <w:rFonts w:eastAsia="Times New Roman" w:cs="Times New Roman"/>
      <w:i/>
      <w:color w:val="000000"/>
      <w:szCs w:val="20"/>
      <w:lang w:eastAsia="de-DE"/>
    </w:rPr>
  </w:style>
  <w:style w:type="paragraph" w:styleId="berschrift9">
    <w:name w:val="heading 9"/>
    <w:basedOn w:val="Standard"/>
    <w:next w:val="Standard"/>
    <w:link w:val="berschrift9Zchn"/>
    <w:qFormat/>
    <w:rsid w:val="00D44445"/>
    <w:pPr>
      <w:spacing w:after="120" w:line="340" w:lineRule="atLeast"/>
      <w:ind w:left="1584" w:hanging="1584"/>
      <w:jc w:val="both"/>
      <w:outlineLvl w:val="8"/>
    </w:pPr>
    <w:rPr>
      <w:rFonts w:eastAsia="Times New Roman" w:cs="Times New Roman"/>
      <w:i/>
      <w:color w:val="00000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x Zchn"/>
    <w:basedOn w:val="Absatz-Standardschriftart"/>
    <w:link w:val="berschrift1"/>
    <w:uiPriority w:val="2"/>
    <w:rsid w:val="0014739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rsid w:val="00147395"/>
    <w:rPr>
      <w:rFonts w:ascii="Times New Roman" w:eastAsia="Cambria" w:hAnsi="Times New Roman" w:cs="Times New Roman"/>
      <w:b/>
      <w:sz w:val="24"/>
      <w:szCs w:val="24"/>
    </w:rPr>
  </w:style>
  <w:style w:type="character" w:styleId="Hervorhebung">
    <w:name w:val="Emphasis"/>
    <w:basedOn w:val="Absatz-Standardschriftart"/>
    <w:uiPriority w:val="20"/>
    <w:qFormat/>
    <w:rsid w:val="00C724CF"/>
    <w:rPr>
      <w:rFonts w:ascii="Times New Roman" w:hAnsi="Times New Roman"/>
      <w:i/>
      <w:iCs/>
    </w:rPr>
  </w:style>
  <w:style w:type="paragraph" w:styleId="Listenabsatz">
    <w:name w:val="List Paragraph"/>
    <w:basedOn w:val="Standard"/>
    <w:uiPriority w:val="34"/>
    <w:qFormat/>
    <w:rsid w:val="00310124"/>
    <w:pPr>
      <w:numPr>
        <w:numId w:val="14"/>
      </w:numPr>
      <w:ind w:left="1434" w:hanging="357"/>
      <w:contextualSpacing/>
    </w:pPr>
    <w:rPr>
      <w:rFonts w:eastAsia="Cambria" w:cs="Times New Roman"/>
      <w:szCs w:val="24"/>
    </w:rPr>
  </w:style>
  <w:style w:type="character" w:styleId="Fett">
    <w:name w:val="Strong"/>
    <w:basedOn w:val="Absatz-Standardschriftart"/>
    <w:uiPriority w:val="22"/>
    <w:qFormat/>
    <w:rsid w:val="00C724CF"/>
    <w:rPr>
      <w:rFonts w:ascii="Times New Roman" w:hAnsi="Times New Roman"/>
      <w:b/>
      <w:bCs/>
    </w:rPr>
  </w:style>
  <w:style w:type="paragraph" w:styleId="StandardWeb">
    <w:name w:val="Normal (Web)"/>
    <w:basedOn w:val="Standard"/>
    <w:uiPriority w:val="99"/>
    <w:unhideWhenUsed/>
    <w:rsid w:val="00117666"/>
    <w:pPr>
      <w:spacing w:before="100" w:beforeAutospacing="1" w:after="100" w:afterAutospacing="1"/>
    </w:pPr>
    <w:rPr>
      <w:rFonts w:eastAsia="Times New Roman" w:cs="Times New Roman"/>
      <w:szCs w:val="24"/>
    </w:rPr>
  </w:style>
  <w:style w:type="paragraph" w:styleId="Kopfzeile">
    <w:name w:val="header"/>
    <w:basedOn w:val="Standard"/>
    <w:link w:val="KopfzeileZchn"/>
    <w:unhideWhenUsed/>
    <w:rsid w:val="00A53000"/>
    <w:pPr>
      <w:tabs>
        <w:tab w:val="center" w:pos="4844"/>
        <w:tab w:val="right" w:pos="9689"/>
      </w:tabs>
    </w:pPr>
    <w:rPr>
      <w:b/>
    </w:rPr>
  </w:style>
  <w:style w:type="character" w:customStyle="1" w:styleId="KopfzeileZchn">
    <w:name w:val="Kopfzeile Zchn"/>
    <w:basedOn w:val="Absatz-Standardschriftart"/>
    <w:link w:val="Kopfzeile"/>
    <w:uiPriority w:val="99"/>
    <w:rsid w:val="00A53000"/>
    <w:rPr>
      <w:rFonts w:ascii="Times New Roman" w:hAnsi="Times New Roman"/>
      <w:b/>
      <w:sz w:val="24"/>
    </w:rPr>
  </w:style>
  <w:style w:type="paragraph" w:styleId="Fuzeile">
    <w:name w:val="footer"/>
    <w:basedOn w:val="Standard"/>
    <w:link w:val="FuzeileZchn"/>
    <w:unhideWhenUsed/>
    <w:rsid w:val="00117666"/>
    <w:pPr>
      <w:tabs>
        <w:tab w:val="center" w:pos="4844"/>
        <w:tab w:val="right" w:pos="9689"/>
      </w:tabs>
      <w:spacing w:after="0"/>
    </w:pPr>
  </w:style>
  <w:style w:type="character" w:customStyle="1" w:styleId="FuzeileZchn">
    <w:name w:val="Fußzeile Zchn"/>
    <w:basedOn w:val="Absatz-Standardschriftart"/>
    <w:link w:val="Fuzeile"/>
    <w:uiPriority w:val="99"/>
    <w:rsid w:val="00117666"/>
  </w:style>
  <w:style w:type="table" w:styleId="Tabellenraster">
    <w:name w:val="Table Grid"/>
    <w:basedOn w:val="NormaleTabelle"/>
    <w:uiPriority w:val="3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117666"/>
    <w:pPr>
      <w:spacing w:after="0"/>
    </w:pPr>
    <w:rPr>
      <w:sz w:val="20"/>
      <w:szCs w:val="20"/>
    </w:rPr>
  </w:style>
  <w:style w:type="character" w:customStyle="1" w:styleId="FunotentextZchn">
    <w:name w:val="Fußnotentext Zchn"/>
    <w:basedOn w:val="Absatz-Standardschriftart"/>
    <w:link w:val="Funotentext"/>
    <w:uiPriority w:val="99"/>
    <w:semiHidden/>
    <w:rsid w:val="00117666"/>
    <w:rPr>
      <w:sz w:val="20"/>
      <w:szCs w:val="20"/>
    </w:rPr>
  </w:style>
  <w:style w:type="character" w:styleId="Funotenzeichen">
    <w:name w:val="footnote reference"/>
    <w:basedOn w:val="Absatz-Standardschriftart"/>
    <w:uiPriority w:val="99"/>
    <w:semiHidden/>
    <w:unhideWhenUsed/>
    <w:rsid w:val="00117666"/>
    <w:rPr>
      <w:vertAlign w:val="superscript"/>
    </w:rPr>
  </w:style>
  <w:style w:type="paragraph" w:styleId="Beschriftung">
    <w:name w:val="caption"/>
    <w:basedOn w:val="Standard"/>
    <w:next w:val="KeinLeerraum"/>
    <w:link w:val="BeschriftungZchn"/>
    <w:uiPriority w:val="99"/>
    <w:unhideWhenUsed/>
    <w:qFormat/>
    <w:rsid w:val="00A53000"/>
    <w:pPr>
      <w:keepNext/>
    </w:pPr>
    <w:rPr>
      <w:rFonts w:cs="Times New Roman"/>
      <w:b/>
      <w:bCs/>
      <w:szCs w:val="24"/>
    </w:rPr>
  </w:style>
  <w:style w:type="paragraph" w:styleId="Sprechblasentext">
    <w:name w:val="Balloon Text"/>
    <w:basedOn w:val="Standard"/>
    <w:link w:val="SprechblasentextZchn"/>
    <w:uiPriority w:val="99"/>
    <w:semiHidden/>
    <w:unhideWhenUsed/>
    <w:rsid w:val="00117666"/>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7666"/>
    <w:rPr>
      <w:rFonts w:ascii="Tahoma" w:hAnsi="Tahoma" w:cs="Tahoma"/>
      <w:sz w:val="16"/>
      <w:szCs w:val="16"/>
    </w:rPr>
  </w:style>
  <w:style w:type="character" w:styleId="Zeilennummer">
    <w:name w:val="line number"/>
    <w:basedOn w:val="Absatz-Standardschriftart"/>
    <w:uiPriority w:val="99"/>
    <w:semiHidden/>
    <w:unhideWhenUsed/>
    <w:rsid w:val="00117666"/>
  </w:style>
  <w:style w:type="paragraph" w:styleId="Endnotentext">
    <w:name w:val="endnote text"/>
    <w:basedOn w:val="Standard"/>
    <w:link w:val="EndnotentextZchn"/>
    <w:uiPriority w:val="99"/>
    <w:semiHidden/>
    <w:unhideWhenUsed/>
    <w:rsid w:val="00CD066B"/>
    <w:pPr>
      <w:spacing w:after="0"/>
    </w:pPr>
    <w:rPr>
      <w:sz w:val="20"/>
      <w:szCs w:val="20"/>
    </w:rPr>
  </w:style>
  <w:style w:type="character" w:customStyle="1" w:styleId="EndnotentextZchn">
    <w:name w:val="Endnotentext Zchn"/>
    <w:basedOn w:val="Absatz-Standardschriftart"/>
    <w:link w:val="Endnotentext"/>
    <w:uiPriority w:val="99"/>
    <w:semiHidden/>
    <w:rsid w:val="00CD066B"/>
    <w:rPr>
      <w:sz w:val="20"/>
      <w:szCs w:val="20"/>
    </w:rPr>
  </w:style>
  <w:style w:type="character" w:styleId="Endnotenzeichen">
    <w:name w:val="endnote reference"/>
    <w:basedOn w:val="Absatz-Standardschriftart"/>
    <w:uiPriority w:val="99"/>
    <w:semiHidden/>
    <w:unhideWhenUsed/>
    <w:rsid w:val="00CD066B"/>
    <w:rPr>
      <w:vertAlign w:val="superscript"/>
    </w:rPr>
  </w:style>
  <w:style w:type="character" w:styleId="Kommentarzeichen">
    <w:name w:val="annotation reference"/>
    <w:basedOn w:val="Absatz-Standardschriftart"/>
    <w:uiPriority w:val="99"/>
    <w:semiHidden/>
    <w:unhideWhenUsed/>
    <w:rsid w:val="00725A7D"/>
    <w:rPr>
      <w:sz w:val="16"/>
      <w:szCs w:val="16"/>
    </w:rPr>
  </w:style>
  <w:style w:type="paragraph" w:styleId="Kommentartext">
    <w:name w:val="annotation text"/>
    <w:basedOn w:val="Standard"/>
    <w:link w:val="KommentartextZchn"/>
    <w:uiPriority w:val="99"/>
    <w:semiHidden/>
    <w:unhideWhenUsed/>
    <w:rsid w:val="00725A7D"/>
    <w:rPr>
      <w:sz w:val="20"/>
      <w:szCs w:val="20"/>
    </w:rPr>
  </w:style>
  <w:style w:type="character" w:customStyle="1" w:styleId="KommentartextZchn">
    <w:name w:val="Kommentartext Zchn"/>
    <w:basedOn w:val="Absatz-Standardschriftart"/>
    <w:link w:val="Kommentartext"/>
    <w:uiPriority w:val="99"/>
    <w:semiHidden/>
    <w:rsid w:val="00725A7D"/>
    <w:rPr>
      <w:sz w:val="20"/>
      <w:szCs w:val="20"/>
    </w:rPr>
  </w:style>
  <w:style w:type="paragraph" w:styleId="Kommentarthema">
    <w:name w:val="annotation subject"/>
    <w:basedOn w:val="Kommentartext"/>
    <w:next w:val="Kommentartext"/>
    <w:link w:val="KommentarthemaZchn"/>
    <w:uiPriority w:val="99"/>
    <w:semiHidden/>
    <w:unhideWhenUsed/>
    <w:rsid w:val="00725A7D"/>
    <w:rPr>
      <w:b/>
      <w:bCs/>
    </w:rPr>
  </w:style>
  <w:style w:type="character" w:customStyle="1" w:styleId="KommentarthemaZchn">
    <w:name w:val="Kommentarthema Zchn"/>
    <w:basedOn w:val="KommentartextZchn"/>
    <w:link w:val="Kommentarthema"/>
    <w:rsid w:val="00725A7D"/>
    <w:rPr>
      <w:b/>
      <w:bCs/>
      <w:sz w:val="20"/>
      <w:szCs w:val="20"/>
    </w:rPr>
  </w:style>
  <w:style w:type="character" w:styleId="Hyperlink">
    <w:name w:val="Hyperlink"/>
    <w:basedOn w:val="Absatz-Standardschriftart"/>
    <w:unhideWhenUsed/>
    <w:rsid w:val="005A1D84"/>
    <w:rPr>
      <w:color w:val="0000FF"/>
      <w:u w:val="single"/>
    </w:rPr>
  </w:style>
  <w:style w:type="character" w:styleId="BesuchterHyperlink">
    <w:name w:val="FollowedHyperlink"/>
    <w:basedOn w:val="Absatz-Standardschriftart"/>
    <w:semiHidden/>
    <w:unhideWhenUsed/>
    <w:rsid w:val="006D5B93"/>
    <w:rPr>
      <w:color w:val="800080" w:themeColor="followedHyperlink"/>
      <w:u w:val="single"/>
    </w:rPr>
  </w:style>
  <w:style w:type="paragraph" w:styleId="Titel">
    <w:name w:val="Title"/>
    <w:basedOn w:val="Standard"/>
    <w:next w:val="Standard"/>
    <w:link w:val="TitelZchn"/>
    <w:uiPriority w:val="10"/>
    <w:qFormat/>
    <w:rsid w:val="00D80D99"/>
    <w:pPr>
      <w:suppressLineNumbers/>
      <w:spacing w:before="240" w:after="360"/>
      <w:jc w:val="center"/>
    </w:pPr>
    <w:rPr>
      <w:rFonts w:cs="Times New Roman"/>
      <w:b/>
      <w:sz w:val="32"/>
      <w:szCs w:val="32"/>
    </w:rPr>
  </w:style>
  <w:style w:type="character" w:customStyle="1" w:styleId="TitelZchn">
    <w:name w:val="Titel Zchn"/>
    <w:basedOn w:val="Absatz-Standardschriftart"/>
    <w:link w:val="Titel"/>
    <w:uiPriority w:val="10"/>
    <w:rsid w:val="00D80D99"/>
    <w:rPr>
      <w:rFonts w:ascii="Times New Roman" w:hAnsi="Times New Roman" w:cs="Times New Roman"/>
      <w:b/>
      <w:sz w:val="32"/>
      <w:szCs w:val="32"/>
    </w:rPr>
  </w:style>
  <w:style w:type="paragraph" w:styleId="Untertitel">
    <w:name w:val="Subtitle"/>
    <w:basedOn w:val="Standard"/>
    <w:next w:val="Standard"/>
    <w:link w:val="UntertitelZchn"/>
    <w:uiPriority w:val="99"/>
    <w:unhideWhenUsed/>
    <w:qFormat/>
    <w:rsid w:val="00AC0270"/>
    <w:pPr>
      <w:spacing w:before="240"/>
    </w:pPr>
    <w:rPr>
      <w:rFonts w:cs="Times New Roman"/>
      <w:b/>
      <w:szCs w:val="24"/>
    </w:rPr>
  </w:style>
  <w:style w:type="character" w:customStyle="1" w:styleId="UntertitelZchn">
    <w:name w:val="Untertitel Zchn"/>
    <w:basedOn w:val="Absatz-Standardschriftart"/>
    <w:link w:val="Untertitel"/>
    <w:uiPriority w:val="99"/>
    <w:rsid w:val="00651CA2"/>
    <w:rPr>
      <w:rFonts w:ascii="Times New Roman" w:hAnsi="Times New Roman" w:cs="Times New Roman"/>
      <w:b/>
      <w:sz w:val="24"/>
      <w:szCs w:val="24"/>
    </w:rPr>
  </w:style>
  <w:style w:type="character" w:customStyle="1" w:styleId="berschrift3Zchn">
    <w:name w:val="Überschrift 3 Zchn"/>
    <w:basedOn w:val="Absatz-Standardschriftart"/>
    <w:link w:val="berschrift3"/>
    <w:uiPriority w:val="99"/>
    <w:rsid w:val="005D1840"/>
    <w:rPr>
      <w:rFonts w:ascii="Times New Roman" w:eastAsiaTheme="majorEastAsia" w:hAnsi="Times New Roman" w:cstheme="majorBidi"/>
      <w:b/>
      <w:sz w:val="24"/>
      <w:szCs w:val="24"/>
    </w:rPr>
  </w:style>
  <w:style w:type="paragraph" w:styleId="KeinLeerraum">
    <w:name w:val="No Spacing"/>
    <w:uiPriority w:val="1"/>
    <w:unhideWhenUsed/>
    <w:qFormat/>
    <w:rsid w:val="00A53000"/>
    <w:pPr>
      <w:spacing w:after="0" w:line="240" w:lineRule="auto"/>
    </w:pPr>
    <w:rPr>
      <w:rFonts w:ascii="Times New Roman" w:hAnsi="Times New Roman"/>
      <w:sz w:val="24"/>
    </w:rPr>
  </w:style>
  <w:style w:type="character" w:customStyle="1" w:styleId="berschrift4Zchn">
    <w:name w:val="Überschrift 4 Zchn"/>
    <w:basedOn w:val="Absatz-Standardschriftart"/>
    <w:link w:val="berschrift4"/>
    <w:uiPriority w:val="99"/>
    <w:rsid w:val="005D1840"/>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Untertitel"/>
    <w:next w:val="Standard"/>
    <w:uiPriority w:val="1"/>
    <w:qFormat/>
    <w:rsid w:val="00651CA2"/>
  </w:style>
  <w:style w:type="character" w:styleId="SchwacheHervorhebung">
    <w:name w:val="Subtle Emphasis"/>
    <w:basedOn w:val="Absatz-Standardschriftart"/>
    <w:uiPriority w:val="19"/>
    <w:qFormat/>
    <w:rsid w:val="00C724CF"/>
    <w:rPr>
      <w:rFonts w:ascii="Times New Roman" w:hAnsi="Times New Roman"/>
      <w:i/>
      <w:iCs/>
      <w:color w:val="404040" w:themeColor="text1" w:themeTint="BF"/>
    </w:rPr>
  </w:style>
  <w:style w:type="character" w:styleId="IntensiveHervorhebung">
    <w:name w:val="Intense Emphasis"/>
    <w:basedOn w:val="Absatz-Standardschriftart"/>
    <w:uiPriority w:val="21"/>
    <w:unhideWhenUsed/>
    <w:rsid w:val="00C724CF"/>
    <w:rPr>
      <w:rFonts w:ascii="Times New Roman" w:hAnsi="Times New Roman"/>
      <w:i/>
      <w:iCs/>
      <w:color w:val="auto"/>
    </w:rPr>
  </w:style>
  <w:style w:type="paragraph" w:styleId="Zitat">
    <w:name w:val="Quote"/>
    <w:basedOn w:val="Standard"/>
    <w:next w:val="Standard"/>
    <w:link w:val="ZitatZchn"/>
    <w:uiPriority w:val="29"/>
    <w:qFormat/>
    <w:rsid w:val="00C724CF"/>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C724CF"/>
    <w:rPr>
      <w:rFonts w:ascii="Times New Roman" w:hAnsi="Times New Roman"/>
      <w:i/>
      <w:iCs/>
      <w:color w:val="404040" w:themeColor="text1" w:themeTint="BF"/>
      <w:sz w:val="24"/>
    </w:rPr>
  </w:style>
  <w:style w:type="character" w:styleId="IntensiverVerweis">
    <w:name w:val="Intense Reference"/>
    <w:basedOn w:val="Absatz-Standardschriftart"/>
    <w:uiPriority w:val="32"/>
    <w:qFormat/>
    <w:rsid w:val="00C724CF"/>
    <w:rPr>
      <w:b/>
      <w:bCs/>
      <w:smallCaps/>
      <w:color w:val="auto"/>
      <w:spacing w:val="5"/>
    </w:rPr>
  </w:style>
  <w:style w:type="character" w:styleId="Buchtitel">
    <w:name w:val="Book Title"/>
    <w:basedOn w:val="Absatz-Standardschriftar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berarbeitung">
    <w:name w:val="Revision"/>
    <w:hidden/>
    <w:uiPriority w:val="99"/>
    <w:semiHidden/>
    <w:rsid w:val="00A545C6"/>
    <w:pPr>
      <w:spacing w:after="0" w:line="240" w:lineRule="auto"/>
    </w:pPr>
    <w:rPr>
      <w:rFonts w:ascii="Times New Roman" w:hAnsi="Times New Roman"/>
      <w:sz w:val="24"/>
    </w:rPr>
  </w:style>
  <w:style w:type="character" w:customStyle="1" w:styleId="berschrift6Zchn">
    <w:name w:val="Überschrift 6 Zchn"/>
    <w:basedOn w:val="Absatz-Standardschriftart"/>
    <w:link w:val="berschrift6"/>
    <w:rsid w:val="00D44445"/>
    <w:rPr>
      <w:rFonts w:ascii="Times New Roman" w:eastAsia="Times New Roman" w:hAnsi="Times New Roman" w:cs="Times New Roman"/>
      <w:color w:val="000000"/>
      <w:sz w:val="24"/>
      <w:szCs w:val="20"/>
      <w:lang w:eastAsia="de-DE"/>
    </w:rPr>
  </w:style>
  <w:style w:type="character" w:customStyle="1" w:styleId="berschrift7Zchn">
    <w:name w:val="Überschrift 7 Zchn"/>
    <w:basedOn w:val="Absatz-Standardschriftart"/>
    <w:link w:val="berschrift7"/>
    <w:rsid w:val="00D44445"/>
    <w:rPr>
      <w:rFonts w:ascii="Times New Roman" w:eastAsia="Times New Roman" w:hAnsi="Times New Roman" w:cs="Times New Roman"/>
      <w:i/>
      <w:color w:val="000000"/>
      <w:sz w:val="24"/>
      <w:szCs w:val="20"/>
      <w:lang w:eastAsia="de-DE"/>
    </w:rPr>
  </w:style>
  <w:style w:type="character" w:customStyle="1" w:styleId="berschrift8Zchn">
    <w:name w:val="Überschrift 8 Zchn"/>
    <w:basedOn w:val="Absatz-Standardschriftart"/>
    <w:link w:val="berschrift8"/>
    <w:rsid w:val="00D44445"/>
    <w:rPr>
      <w:rFonts w:ascii="Times New Roman" w:eastAsia="Times New Roman" w:hAnsi="Times New Roman" w:cs="Times New Roman"/>
      <w:i/>
      <w:color w:val="000000"/>
      <w:sz w:val="24"/>
      <w:szCs w:val="20"/>
      <w:lang w:eastAsia="de-DE"/>
    </w:rPr>
  </w:style>
  <w:style w:type="character" w:customStyle="1" w:styleId="berschrift9Zchn">
    <w:name w:val="Überschrift 9 Zchn"/>
    <w:basedOn w:val="Absatz-Standardschriftart"/>
    <w:link w:val="berschrift9"/>
    <w:rsid w:val="00D44445"/>
    <w:rPr>
      <w:rFonts w:ascii="Times New Roman" w:eastAsia="Times New Roman" w:hAnsi="Times New Roman" w:cs="Times New Roman"/>
      <w:i/>
      <w:color w:val="000000"/>
      <w:sz w:val="24"/>
      <w:szCs w:val="20"/>
      <w:lang w:eastAsia="de-DE"/>
    </w:rPr>
  </w:style>
  <w:style w:type="paragraph" w:customStyle="1" w:styleId="MHeader">
    <w:name w:val="M_Header"/>
    <w:basedOn w:val="Standard"/>
    <w:rsid w:val="00D44445"/>
    <w:pPr>
      <w:spacing w:after="120" w:line="340" w:lineRule="atLeast"/>
      <w:ind w:firstLine="284"/>
      <w:jc w:val="both"/>
    </w:pPr>
    <w:rPr>
      <w:rFonts w:eastAsia="Times New Roman" w:cs="Times New Roman"/>
      <w:color w:val="000000"/>
      <w:szCs w:val="20"/>
      <w:lang w:eastAsia="de-DE"/>
    </w:rPr>
  </w:style>
  <w:style w:type="paragraph" w:customStyle="1" w:styleId="MTitel">
    <w:name w:val="M_Titel"/>
    <w:basedOn w:val="Standard"/>
    <w:autoRedefine/>
    <w:rsid w:val="00D44445"/>
    <w:pPr>
      <w:spacing w:after="120"/>
      <w:ind w:firstLine="284"/>
    </w:pPr>
    <w:rPr>
      <w:rFonts w:eastAsia="Times New Roman" w:cs="Times New Roman"/>
      <w:b/>
      <w:color w:val="000000"/>
      <w:sz w:val="36"/>
      <w:szCs w:val="20"/>
      <w:lang w:eastAsia="de-DE"/>
    </w:rPr>
  </w:style>
  <w:style w:type="paragraph" w:customStyle="1" w:styleId="MHeading1">
    <w:name w:val="M_Heading1"/>
    <w:basedOn w:val="Standard"/>
    <w:link w:val="MHeading1Zchn"/>
    <w:rsid w:val="00D44445"/>
    <w:pPr>
      <w:spacing w:after="120" w:line="340" w:lineRule="atLeast"/>
      <w:ind w:firstLine="284"/>
      <w:jc w:val="both"/>
    </w:pPr>
    <w:rPr>
      <w:rFonts w:eastAsia="Times New Roman" w:cs="Times New Roman"/>
      <w:b/>
      <w:color w:val="000000"/>
      <w:szCs w:val="20"/>
      <w:lang w:eastAsia="de-DE"/>
    </w:rPr>
  </w:style>
  <w:style w:type="paragraph" w:customStyle="1" w:styleId="MText">
    <w:name w:val="M_Text"/>
    <w:basedOn w:val="Standard"/>
    <w:rsid w:val="00D44445"/>
    <w:pPr>
      <w:spacing w:after="120" w:line="340" w:lineRule="atLeast"/>
      <w:ind w:firstLine="284"/>
      <w:jc w:val="both"/>
    </w:pPr>
    <w:rPr>
      <w:rFonts w:eastAsia="Times New Roman" w:cs="Times New Roman"/>
      <w:color w:val="000000"/>
      <w:szCs w:val="20"/>
      <w:lang w:eastAsia="de-DE"/>
    </w:rPr>
  </w:style>
  <w:style w:type="paragraph" w:customStyle="1" w:styleId="MHeading2">
    <w:name w:val="M_Heading2"/>
    <w:basedOn w:val="Standard"/>
    <w:rsid w:val="00D44445"/>
    <w:pPr>
      <w:spacing w:after="120" w:line="340" w:lineRule="atLeast"/>
      <w:ind w:firstLine="284"/>
      <w:jc w:val="both"/>
    </w:pPr>
    <w:rPr>
      <w:rFonts w:eastAsia="Times New Roman" w:cs="Times New Roman"/>
      <w:i/>
      <w:color w:val="000000"/>
      <w:szCs w:val="20"/>
      <w:lang w:eastAsia="de-DE"/>
    </w:rPr>
  </w:style>
  <w:style w:type="paragraph" w:customStyle="1" w:styleId="MHeading3">
    <w:name w:val="M_Heading3"/>
    <w:basedOn w:val="Standard"/>
    <w:rsid w:val="00D44445"/>
    <w:pPr>
      <w:spacing w:after="120" w:line="340" w:lineRule="atLeast"/>
      <w:ind w:firstLine="284"/>
      <w:jc w:val="both"/>
    </w:pPr>
    <w:rPr>
      <w:rFonts w:eastAsia="Times New Roman" w:cs="Times New Roman"/>
      <w:color w:val="000000"/>
      <w:szCs w:val="20"/>
      <w:lang w:eastAsia="de-DE"/>
    </w:rPr>
  </w:style>
  <w:style w:type="paragraph" w:customStyle="1" w:styleId="MAcknow">
    <w:name w:val="M_Acknow"/>
    <w:basedOn w:val="Standard"/>
    <w:rsid w:val="00D44445"/>
    <w:pPr>
      <w:spacing w:after="120" w:line="340" w:lineRule="atLeast"/>
      <w:ind w:firstLine="284"/>
      <w:jc w:val="both"/>
    </w:pPr>
    <w:rPr>
      <w:rFonts w:eastAsia="Times New Roman" w:cs="Times New Roman"/>
      <w:color w:val="000000"/>
      <w:szCs w:val="20"/>
      <w:lang w:eastAsia="de-DE"/>
    </w:rPr>
  </w:style>
  <w:style w:type="paragraph" w:customStyle="1" w:styleId="MRefer">
    <w:name w:val="M_Refer"/>
    <w:basedOn w:val="Standard"/>
    <w:rsid w:val="00D44445"/>
    <w:pPr>
      <w:spacing w:after="120" w:line="340" w:lineRule="atLeast"/>
      <w:ind w:left="454" w:hanging="454"/>
      <w:jc w:val="both"/>
    </w:pPr>
    <w:rPr>
      <w:rFonts w:eastAsia="Times New Roman" w:cs="Times New Roman"/>
      <w:color w:val="000000"/>
      <w:szCs w:val="20"/>
      <w:lang w:eastAsia="de-DE"/>
    </w:rPr>
  </w:style>
  <w:style w:type="paragraph" w:customStyle="1" w:styleId="MCaption">
    <w:name w:val="M_Caption"/>
    <w:basedOn w:val="Standard"/>
    <w:rsid w:val="00D44445"/>
    <w:pPr>
      <w:spacing w:after="120" w:line="340" w:lineRule="atLeast"/>
      <w:ind w:firstLine="284"/>
      <w:jc w:val="center"/>
    </w:pPr>
    <w:rPr>
      <w:rFonts w:eastAsia="Times New Roman" w:cs="Times New Roman"/>
      <w:color w:val="000000"/>
      <w:szCs w:val="20"/>
      <w:lang w:eastAsia="de-DE"/>
    </w:rPr>
  </w:style>
  <w:style w:type="paragraph" w:customStyle="1" w:styleId="MFigure">
    <w:name w:val="M_Figure"/>
    <w:basedOn w:val="Standard"/>
    <w:rsid w:val="00D44445"/>
    <w:pPr>
      <w:spacing w:after="120"/>
      <w:ind w:firstLine="284"/>
      <w:jc w:val="center"/>
    </w:pPr>
    <w:rPr>
      <w:rFonts w:eastAsia="Times New Roman" w:cs="Times New Roman"/>
      <w:color w:val="000000"/>
      <w:szCs w:val="20"/>
      <w:lang w:eastAsia="de-DE"/>
    </w:rPr>
  </w:style>
  <w:style w:type="paragraph" w:customStyle="1" w:styleId="Mtable">
    <w:name w:val="M_table"/>
    <w:basedOn w:val="Standard"/>
    <w:rsid w:val="00D44445"/>
    <w:pPr>
      <w:keepNext/>
      <w:tabs>
        <w:tab w:val="left" w:pos="284"/>
      </w:tabs>
      <w:spacing w:after="120" w:line="340" w:lineRule="atLeast"/>
      <w:ind w:firstLine="284"/>
      <w:jc w:val="both"/>
    </w:pPr>
    <w:rPr>
      <w:rFonts w:eastAsia="Times New Roman" w:cs="Times New Roman"/>
      <w:szCs w:val="20"/>
      <w:lang w:eastAsia="de-DE"/>
    </w:rPr>
  </w:style>
  <w:style w:type="paragraph" w:customStyle="1" w:styleId="Mabstract">
    <w:name w:val="M_abstract"/>
    <w:basedOn w:val="Standard"/>
    <w:rsid w:val="00D44445"/>
    <w:pPr>
      <w:spacing w:after="120" w:line="340" w:lineRule="atLeast"/>
      <w:ind w:left="510" w:right="510" w:firstLine="284"/>
      <w:jc w:val="both"/>
    </w:pPr>
    <w:rPr>
      <w:rFonts w:eastAsia="Times New Roman" w:cs="Times New Roman"/>
      <w:color w:val="000000"/>
      <w:szCs w:val="20"/>
      <w:lang w:eastAsia="de-DE"/>
    </w:rPr>
  </w:style>
  <w:style w:type="paragraph" w:customStyle="1" w:styleId="Maddress">
    <w:name w:val="M_address"/>
    <w:basedOn w:val="Standard"/>
    <w:rsid w:val="00D44445"/>
    <w:pPr>
      <w:spacing w:after="120" w:line="340" w:lineRule="atLeast"/>
      <w:ind w:firstLine="284"/>
    </w:pPr>
    <w:rPr>
      <w:rFonts w:eastAsia="Times New Roman" w:cs="Times New Roman"/>
      <w:color w:val="000000"/>
      <w:szCs w:val="20"/>
      <w:lang w:eastAsia="de-DE"/>
    </w:rPr>
  </w:style>
  <w:style w:type="paragraph" w:customStyle="1" w:styleId="Mauthor">
    <w:name w:val="M_author"/>
    <w:basedOn w:val="Standard"/>
    <w:autoRedefine/>
    <w:rsid w:val="00D44445"/>
    <w:pPr>
      <w:spacing w:after="120" w:line="340" w:lineRule="atLeast"/>
      <w:ind w:firstLine="284"/>
    </w:pPr>
    <w:rPr>
      <w:rFonts w:eastAsia="Times New Roman" w:cs="Times New Roman"/>
      <w:b/>
      <w:color w:val="000000"/>
      <w:szCs w:val="20"/>
      <w:lang w:val="it-IT" w:eastAsia="de-DE"/>
    </w:rPr>
  </w:style>
  <w:style w:type="paragraph" w:customStyle="1" w:styleId="Mreceived">
    <w:name w:val="M_received"/>
    <w:basedOn w:val="Maddress"/>
    <w:rsid w:val="00D44445"/>
    <w:rPr>
      <w:i/>
    </w:rPr>
  </w:style>
  <w:style w:type="paragraph" w:customStyle="1" w:styleId="Mline2">
    <w:name w:val="M_line2"/>
    <w:basedOn w:val="Standard"/>
    <w:rsid w:val="00D44445"/>
    <w:pPr>
      <w:pBdr>
        <w:bottom w:val="single" w:sz="6" w:space="1" w:color="auto"/>
      </w:pBdr>
      <w:spacing w:after="480" w:line="340" w:lineRule="atLeast"/>
      <w:ind w:firstLine="284"/>
      <w:jc w:val="both"/>
    </w:pPr>
    <w:rPr>
      <w:rFonts w:eastAsia="Times New Roman" w:cs="Times New Roman"/>
      <w:color w:val="000000"/>
      <w:szCs w:val="20"/>
      <w:lang w:eastAsia="de-DE"/>
    </w:rPr>
  </w:style>
  <w:style w:type="paragraph" w:customStyle="1" w:styleId="MTablecaption">
    <w:name w:val="M_Tablecaption"/>
    <w:basedOn w:val="MCaption"/>
    <w:rsid w:val="00D44445"/>
    <w:pPr>
      <w:spacing w:after="0"/>
    </w:pPr>
  </w:style>
  <w:style w:type="paragraph" w:customStyle="1" w:styleId="Mline1">
    <w:name w:val="M_line1"/>
    <w:basedOn w:val="Mline2"/>
    <w:rsid w:val="00D44445"/>
    <w:pPr>
      <w:spacing w:after="0"/>
    </w:pPr>
  </w:style>
  <w:style w:type="paragraph" w:customStyle="1" w:styleId="MLogo">
    <w:name w:val="M_Logo"/>
    <w:basedOn w:val="Standard"/>
    <w:rsid w:val="00D44445"/>
    <w:pPr>
      <w:spacing w:before="140" w:after="120"/>
      <w:ind w:firstLine="284"/>
      <w:jc w:val="right"/>
    </w:pPr>
    <w:rPr>
      <w:rFonts w:eastAsia="Times New Roman" w:cs="Times New Roman"/>
      <w:b/>
      <w:i/>
      <w:color w:val="000000"/>
      <w:sz w:val="64"/>
      <w:szCs w:val="20"/>
      <w:lang w:eastAsia="de-DE"/>
    </w:rPr>
  </w:style>
  <w:style w:type="paragraph" w:customStyle="1" w:styleId="MISSN">
    <w:name w:val="M_ISSN"/>
    <w:basedOn w:val="Standard"/>
    <w:rsid w:val="00D44445"/>
    <w:pPr>
      <w:spacing w:after="520" w:line="340" w:lineRule="atLeast"/>
      <w:ind w:firstLine="284"/>
      <w:jc w:val="right"/>
    </w:pPr>
    <w:rPr>
      <w:rFonts w:eastAsia="Times New Roman" w:cs="Times New Roman"/>
      <w:color w:val="000000"/>
      <w:szCs w:val="20"/>
      <w:lang w:eastAsia="de-DE"/>
    </w:rPr>
  </w:style>
  <w:style w:type="paragraph" w:customStyle="1" w:styleId="MCopyright">
    <w:name w:val="M_Copyright"/>
    <w:basedOn w:val="Standard"/>
    <w:rsid w:val="00D44445"/>
    <w:pPr>
      <w:tabs>
        <w:tab w:val="center" w:pos="4536"/>
        <w:tab w:val="right" w:pos="9072"/>
      </w:tabs>
      <w:spacing w:after="120" w:line="340" w:lineRule="atLeast"/>
      <w:ind w:firstLine="284"/>
    </w:pPr>
    <w:rPr>
      <w:rFonts w:eastAsia="Times New Roman" w:cs="Times New Roman"/>
      <w:color w:val="000000"/>
      <w:szCs w:val="20"/>
      <w:lang w:eastAsia="de-DE"/>
    </w:rPr>
  </w:style>
  <w:style w:type="character" w:customStyle="1" w:styleId="apple-style-span">
    <w:name w:val="apple-style-span"/>
    <w:uiPriority w:val="99"/>
    <w:rsid w:val="00D44445"/>
    <w:rPr>
      <w:rFonts w:cs="Times New Roman"/>
    </w:rPr>
  </w:style>
  <w:style w:type="paragraph" w:customStyle="1" w:styleId="Ueberschrift1">
    <w:name w:val="Ueberschrift1"/>
    <w:basedOn w:val="Standard"/>
    <w:next w:val="Standard"/>
    <w:link w:val="Ueberschrift1Zchn"/>
    <w:qFormat/>
    <w:rsid w:val="00D44445"/>
    <w:pPr>
      <w:spacing w:after="120" w:line="340" w:lineRule="atLeast"/>
      <w:ind w:firstLine="284"/>
      <w:jc w:val="both"/>
    </w:pPr>
    <w:rPr>
      <w:rFonts w:eastAsia="Times New Roman" w:cs="Times New Roman"/>
      <w:b/>
      <w:color w:val="000000"/>
      <w:szCs w:val="20"/>
      <w:lang w:val="de-DE" w:eastAsia="zh-CN"/>
    </w:rPr>
  </w:style>
  <w:style w:type="paragraph" w:customStyle="1" w:styleId="Ueberschrift2">
    <w:name w:val="Ueberschrift2"/>
    <w:basedOn w:val="MHeading1"/>
    <w:link w:val="Ueberschrift2Zchn"/>
    <w:qFormat/>
    <w:rsid w:val="00D44445"/>
    <w:rPr>
      <w:b w:val="0"/>
      <w:i/>
    </w:rPr>
  </w:style>
  <w:style w:type="character" w:customStyle="1" w:styleId="MHeading1Zchn">
    <w:name w:val="M_Heading1 Zchn"/>
    <w:basedOn w:val="Absatz-Standardschriftart"/>
    <w:link w:val="MHeading1"/>
    <w:rsid w:val="00D44445"/>
    <w:rPr>
      <w:rFonts w:ascii="Times New Roman" w:eastAsia="Times New Roman" w:hAnsi="Times New Roman" w:cs="Times New Roman"/>
      <w:b/>
      <w:color w:val="000000"/>
      <w:sz w:val="24"/>
      <w:szCs w:val="20"/>
      <w:lang w:eastAsia="de-DE"/>
    </w:rPr>
  </w:style>
  <w:style w:type="character" w:customStyle="1" w:styleId="Ueberschrift1Zchn">
    <w:name w:val="Ueberschrift1 Zchn"/>
    <w:basedOn w:val="MHeading1Zchn"/>
    <w:link w:val="Ueberschrift1"/>
    <w:rsid w:val="00D44445"/>
    <w:rPr>
      <w:rFonts w:ascii="Times New Roman" w:eastAsia="Times New Roman" w:hAnsi="Times New Roman" w:cs="Times New Roman"/>
      <w:b/>
      <w:color w:val="000000"/>
      <w:sz w:val="24"/>
      <w:szCs w:val="20"/>
      <w:lang w:val="de-DE" w:eastAsia="zh-CN"/>
    </w:rPr>
  </w:style>
  <w:style w:type="character" w:customStyle="1" w:styleId="Ueberschrift2Zchn">
    <w:name w:val="Ueberschrift2 Zchn"/>
    <w:basedOn w:val="MHeading1Zchn"/>
    <w:link w:val="Ueberschrift2"/>
    <w:rsid w:val="00D44445"/>
    <w:rPr>
      <w:rFonts w:ascii="Times New Roman" w:eastAsia="Times New Roman" w:hAnsi="Times New Roman" w:cs="Times New Roman"/>
      <w:b w:val="0"/>
      <w:i/>
      <w:color w:val="000000"/>
      <w:sz w:val="24"/>
      <w:szCs w:val="20"/>
      <w:lang w:eastAsia="de-DE"/>
    </w:rPr>
  </w:style>
  <w:style w:type="character" w:styleId="Platzhaltertext">
    <w:name w:val="Placeholder Text"/>
    <w:basedOn w:val="Absatz-Standardschriftart"/>
    <w:uiPriority w:val="99"/>
    <w:semiHidden/>
    <w:rsid w:val="00D44445"/>
    <w:rPr>
      <w:color w:val="808080"/>
    </w:rPr>
  </w:style>
  <w:style w:type="paragraph" w:customStyle="1" w:styleId="EquationNumberStyle">
    <w:name w:val="Equation Number Style"/>
    <w:basedOn w:val="Beschriftung"/>
    <w:link w:val="EquationNumberStyleZchn"/>
    <w:rsid w:val="00D44445"/>
    <w:pPr>
      <w:keepNext w:val="0"/>
      <w:spacing w:after="120" w:line="288" w:lineRule="auto"/>
      <w:jc w:val="right"/>
    </w:pPr>
    <w:rPr>
      <w:rFonts w:ascii="Cambria Math" w:hAnsi="Cambria Math"/>
      <w:i/>
      <w:sz w:val="20"/>
      <w:szCs w:val="20"/>
    </w:rPr>
  </w:style>
  <w:style w:type="character" w:customStyle="1" w:styleId="BeschriftungZchn">
    <w:name w:val="Beschriftung Zchn"/>
    <w:basedOn w:val="Absatz-Standardschriftart"/>
    <w:link w:val="Beschriftung"/>
    <w:uiPriority w:val="99"/>
    <w:rsid w:val="00D44445"/>
    <w:rPr>
      <w:rFonts w:ascii="Times New Roman" w:hAnsi="Times New Roman" w:cs="Times New Roman"/>
      <w:b/>
      <w:bCs/>
      <w:sz w:val="24"/>
      <w:szCs w:val="24"/>
    </w:rPr>
  </w:style>
  <w:style w:type="character" w:customStyle="1" w:styleId="EquationNumberStyleZchn">
    <w:name w:val="Equation Number Style Zchn"/>
    <w:basedOn w:val="BeschriftungZchn"/>
    <w:link w:val="EquationNumberStyle"/>
    <w:rsid w:val="00D44445"/>
    <w:rPr>
      <w:rFonts w:ascii="Cambria Math" w:hAnsi="Cambria Math" w:cs="Times New Roman"/>
      <w:b/>
      <w:bCs/>
      <w:i/>
      <w:sz w:val="20"/>
      <w:szCs w:val="20"/>
    </w:rPr>
  </w:style>
  <w:style w:type="character" w:customStyle="1" w:styleId="apple-converted-space">
    <w:name w:val="apple-converted-space"/>
    <w:basedOn w:val="Absatz-Standardschriftart"/>
    <w:rsid w:val="00D44445"/>
  </w:style>
  <w:style w:type="paragraph" w:styleId="Dokumentstruktur">
    <w:name w:val="Document Map"/>
    <w:basedOn w:val="Standard"/>
    <w:link w:val="DokumentstrukturZchn"/>
    <w:uiPriority w:val="99"/>
    <w:semiHidden/>
    <w:unhideWhenUsed/>
    <w:rsid w:val="00D44445"/>
    <w:pPr>
      <w:spacing w:before="0" w:after="0"/>
      <w:ind w:firstLine="284"/>
      <w:jc w:val="both"/>
    </w:pPr>
    <w:rPr>
      <w:rFonts w:ascii="Tahoma" w:eastAsia="Times New Roman" w:hAnsi="Tahoma" w:cs="Tahoma"/>
      <w:color w:val="000000"/>
      <w:sz w:val="16"/>
      <w:szCs w:val="16"/>
      <w:lang w:eastAsia="de-DE"/>
    </w:rPr>
  </w:style>
  <w:style w:type="character" w:customStyle="1" w:styleId="DokumentstrukturZchn">
    <w:name w:val="Dokumentstruktur Zchn"/>
    <w:basedOn w:val="Absatz-Standardschriftart"/>
    <w:link w:val="Dokumentstruktur"/>
    <w:uiPriority w:val="99"/>
    <w:semiHidden/>
    <w:rsid w:val="00D44445"/>
    <w:rPr>
      <w:rFonts w:ascii="Tahoma" w:eastAsia="Times New Roman" w:hAnsi="Tahoma" w:cs="Tahoma"/>
      <w:color w:val="000000"/>
      <w:sz w:val="16"/>
      <w:szCs w:val="16"/>
      <w:lang w:eastAsia="de-DE"/>
    </w:rPr>
  </w:style>
  <w:style w:type="paragraph" w:customStyle="1" w:styleId="Default">
    <w:name w:val="Default"/>
    <w:rsid w:val="00D44445"/>
    <w:pPr>
      <w:autoSpaceDE w:val="0"/>
      <w:autoSpaceDN w:val="0"/>
      <w:adjustRightInd w:val="0"/>
      <w:spacing w:after="0" w:line="240" w:lineRule="auto"/>
    </w:pPr>
    <w:rPr>
      <w:rFonts w:ascii="Times New Roman" w:eastAsia="SimSun" w:hAnsi="Times New Roman" w:cs="Times New Roman"/>
      <w:color w:val="000000"/>
      <w:sz w:val="24"/>
      <w:szCs w:val="24"/>
      <w:lang w:val="de-DE" w:eastAsia="de-DE"/>
    </w:rPr>
  </w:style>
  <w:style w:type="character" w:customStyle="1" w:styleId="MTEquationSection">
    <w:name w:val="MTEquationSection"/>
    <w:basedOn w:val="Absatz-Standardschriftart"/>
    <w:rsid w:val="00D44445"/>
    <w:rPr>
      <w:i/>
      <w:vanish w:val="0"/>
      <w:color w:val="FF0000"/>
    </w:rPr>
  </w:style>
  <w:style w:type="character" w:customStyle="1" w:styleId="highlight">
    <w:name w:val="highlight"/>
    <w:basedOn w:val="Absatz-Standardschriftart"/>
    <w:rsid w:val="00D44445"/>
  </w:style>
  <w:style w:type="paragraph" w:styleId="Aufzhlungszeichen">
    <w:name w:val="List Bullet"/>
    <w:basedOn w:val="Standard"/>
    <w:uiPriority w:val="99"/>
    <w:rsid w:val="00D44445"/>
    <w:pPr>
      <w:numPr>
        <w:numId w:val="24"/>
      </w:numPr>
      <w:tabs>
        <w:tab w:val="clear" w:pos="360"/>
      </w:tabs>
      <w:spacing w:before="20" w:after="0"/>
      <w:ind w:left="357" w:hanging="215"/>
      <w:jc w:val="both"/>
    </w:pPr>
    <w:rPr>
      <w:rFonts w:eastAsia="Times New Roman" w:cs="Times New Roman"/>
      <w:spacing w:val="-2"/>
      <w:kern w:val="20"/>
      <w:sz w:val="22"/>
      <w:lang w:eastAsia="tr-TR"/>
    </w:rPr>
  </w:style>
  <w:style w:type="paragraph" w:customStyle="1" w:styleId="berschrift10">
    <w:name w:val="Überschrift1"/>
    <w:basedOn w:val="berschrift2"/>
    <w:link w:val="berschrift1Zchn0"/>
    <w:qFormat/>
    <w:rsid w:val="00D44445"/>
    <w:pPr>
      <w:numPr>
        <w:ilvl w:val="0"/>
        <w:numId w:val="0"/>
      </w:numPr>
      <w:spacing w:before="360" w:after="240" w:line="340" w:lineRule="atLeast"/>
      <w:ind w:left="360" w:hanging="360"/>
      <w:jc w:val="both"/>
      <w:outlineLvl w:val="0"/>
    </w:pPr>
    <w:rPr>
      <w:rFonts w:eastAsia="Times New Roman"/>
      <w:color w:val="000000"/>
      <w:szCs w:val="20"/>
    </w:rPr>
  </w:style>
  <w:style w:type="character" w:customStyle="1" w:styleId="berschrift1Zchn0">
    <w:name w:val="Überschrift1 Zchn"/>
    <w:basedOn w:val="berschrift2Zchn"/>
    <w:link w:val="berschrift10"/>
    <w:rsid w:val="00D44445"/>
    <w:rPr>
      <w:rFonts w:ascii="Times New Roman" w:eastAsia="Times New Roman" w:hAnsi="Times New Roman" w:cs="Times New Roman"/>
      <w:b/>
      <w:color w:val="000000"/>
      <w:sz w:val="24"/>
      <w:szCs w:val="20"/>
    </w:rPr>
  </w:style>
  <w:style w:type="paragraph" w:customStyle="1" w:styleId="Mdeck4text">
    <w:name w:val="M_deck_4_text"/>
    <w:qFormat/>
    <w:rsid w:val="00D44445"/>
    <w:pPr>
      <w:kinsoku w:val="0"/>
      <w:overflowPunct w:val="0"/>
      <w:autoSpaceDE w:val="0"/>
      <w:autoSpaceDN w:val="0"/>
      <w:adjustRightInd w:val="0"/>
      <w:snapToGrid w:val="0"/>
      <w:spacing w:after="0" w:line="340" w:lineRule="atLeast"/>
      <w:ind w:firstLine="284"/>
      <w:jc w:val="both"/>
    </w:pPr>
    <w:rPr>
      <w:rFonts w:ascii="Times New Roman" w:eastAsia="Times New Roman" w:hAnsi="Times New Roman"/>
      <w:snapToGrid w:val="0"/>
      <w:color w:val="000000"/>
      <w:sz w:val="24"/>
      <w:szCs w:val="20"/>
      <w:lang w:eastAsia="de-DE" w:bidi="en-US"/>
    </w:rPr>
  </w:style>
  <w:style w:type="paragraph" w:customStyle="1" w:styleId="Tabelle">
    <w:name w:val="Tabelle"/>
    <w:basedOn w:val="Standard"/>
    <w:link w:val="TabelleZchn"/>
    <w:qFormat/>
    <w:rsid w:val="00D44445"/>
    <w:pPr>
      <w:spacing w:after="120"/>
      <w:jc w:val="both"/>
    </w:pPr>
    <w:rPr>
      <w:rFonts w:eastAsia="Times New Roman" w:cs="Times New Roman"/>
      <w:color w:val="000000"/>
      <w:szCs w:val="20"/>
      <w:lang w:eastAsia="de-DE"/>
    </w:rPr>
  </w:style>
  <w:style w:type="character" w:customStyle="1" w:styleId="TabelleZchn">
    <w:name w:val="Tabelle Zchn"/>
    <w:basedOn w:val="Absatz-Standardschriftart"/>
    <w:link w:val="Tabelle"/>
    <w:rsid w:val="00D44445"/>
    <w:rPr>
      <w:rFonts w:ascii="Times New Roman" w:eastAsia="Times New Roman" w:hAnsi="Times New Roman" w:cs="Times New Roman"/>
      <w:color w:val="000000"/>
      <w:sz w:val="24"/>
      <w:szCs w:val="20"/>
      <w:lang w:eastAsia="de-DE"/>
    </w:rPr>
  </w:style>
  <w:style w:type="paragraph" w:customStyle="1" w:styleId="EndNoteBibliographyTitle">
    <w:name w:val="EndNote Bibliography Title"/>
    <w:basedOn w:val="Standard"/>
    <w:link w:val="EndNoteBibliographyTitleZchn"/>
    <w:rsid w:val="009748A9"/>
    <w:pPr>
      <w:spacing w:after="0"/>
      <w:jc w:val="center"/>
    </w:pPr>
    <w:rPr>
      <w:rFonts w:cs="Times New Roman"/>
      <w:noProof/>
    </w:rPr>
  </w:style>
  <w:style w:type="character" w:customStyle="1" w:styleId="EndNoteBibliographyTitleZchn">
    <w:name w:val="EndNote Bibliography Title Zchn"/>
    <w:basedOn w:val="Absatz-Standardschriftart"/>
    <w:link w:val="EndNoteBibliographyTitle"/>
    <w:rsid w:val="009748A9"/>
    <w:rPr>
      <w:rFonts w:ascii="Times New Roman" w:hAnsi="Times New Roman" w:cs="Times New Roman"/>
      <w:noProof/>
      <w:sz w:val="24"/>
    </w:rPr>
  </w:style>
  <w:style w:type="paragraph" w:customStyle="1" w:styleId="EndNoteBibliography">
    <w:name w:val="EndNote Bibliography"/>
    <w:basedOn w:val="Standard"/>
    <w:link w:val="EndNoteBibliographyZchn"/>
    <w:rsid w:val="009748A9"/>
    <w:rPr>
      <w:rFonts w:cs="Times New Roman"/>
      <w:noProof/>
    </w:rPr>
  </w:style>
  <w:style w:type="character" w:customStyle="1" w:styleId="EndNoteBibliographyZchn">
    <w:name w:val="EndNote Bibliography Zchn"/>
    <w:basedOn w:val="Absatz-Standardschriftart"/>
    <w:link w:val="EndNoteBibliography"/>
    <w:rsid w:val="009748A9"/>
    <w:rPr>
      <w:rFonts w:ascii="Times New Roman" w:hAnsi="Times New Roman" w:cs="Times New Roman"/>
      <w:noProof/>
      <w:sz w:val="24"/>
    </w:rPr>
  </w:style>
  <w:style w:type="paragraph" w:styleId="NurText">
    <w:name w:val="Plain Text"/>
    <w:basedOn w:val="Standard"/>
    <w:link w:val="NurTextZchn"/>
    <w:uiPriority w:val="99"/>
    <w:semiHidden/>
    <w:unhideWhenUsed/>
    <w:rsid w:val="007F36C2"/>
    <w:pPr>
      <w:spacing w:before="0" w:after="0"/>
    </w:pPr>
    <w:rPr>
      <w:rFonts w:ascii="Calibri" w:hAnsi="Calibri"/>
      <w:sz w:val="22"/>
      <w:szCs w:val="21"/>
      <w:lang w:val="de-DE"/>
    </w:rPr>
  </w:style>
  <w:style w:type="character" w:customStyle="1" w:styleId="NurTextZchn">
    <w:name w:val="Nur Text Zchn"/>
    <w:basedOn w:val="Absatz-Standardschriftart"/>
    <w:link w:val="NurText"/>
    <w:uiPriority w:val="99"/>
    <w:semiHidden/>
    <w:rsid w:val="007F36C2"/>
    <w:rPr>
      <w:rFonts w:ascii="Calibri" w:hAnsi="Calibri"/>
      <w:szCs w:val="21"/>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pp.IZBI\AppData\Local\Temp\Temp1_Frontiers_Word_Templates.zip\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0E78CF5-47A9-4458-A6AC-94D9216D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0</TotalTime>
  <Pages>31</Pages>
  <Words>4542</Words>
  <Characters>28616</Characters>
  <Application>Microsoft Office Word</Application>
  <DocSecurity>4</DocSecurity>
  <Lines>238</Lines>
  <Paragraphs>66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Hopp, Lydia</dc:creator>
  <cp:keywords/>
  <dc:description/>
  <cp:lastModifiedBy>Hopp, Lydia</cp:lastModifiedBy>
  <cp:revision>2</cp:revision>
  <cp:lastPrinted>2018-06-20T14:45:00Z</cp:lastPrinted>
  <dcterms:created xsi:type="dcterms:W3CDTF">2018-07-09T14:09:00Z</dcterms:created>
  <dcterms:modified xsi:type="dcterms:W3CDTF">2018-07-09T14:09:00Z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lydiahopp@freenet.de@www.mendeley.com</vt:lpwstr>
  </property>
  <property fmtid="{D5CDD505-2E9C-101B-9397-08002B2CF9AE}" pid="4" name="Mendeley Citation Style_1">
    <vt:lpwstr>http://www.zotero.org/styles/american-political-science-association</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http://www.zotero.org/styles/cancer-cell</vt:lpwstr>
  </property>
  <property fmtid="{D5CDD505-2E9C-101B-9397-08002B2CF9AE}" pid="10" name="Mendeley Recent Style Name 2_1">
    <vt:lpwstr>Cancer Cell</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16th edition (author-date)</vt:lpwstr>
  </property>
  <property fmtid="{D5CDD505-2E9C-101B-9397-08002B2CF9AE}" pid="13" name="Mendeley Recent Style Id 4_1">
    <vt:lpwstr>http://www.zotero.org/styles/frontiers-in-physiology</vt:lpwstr>
  </property>
  <property fmtid="{D5CDD505-2E9C-101B-9397-08002B2CF9AE}" pid="14" name="Mendeley Recent Style Name 4_1">
    <vt:lpwstr>Frontiers in Physiology</vt:lpwstr>
  </property>
  <property fmtid="{D5CDD505-2E9C-101B-9397-08002B2CF9AE}" pid="15" name="Mendeley Recent Style Id 5_1">
    <vt:lpwstr>http://www.zotero.org/styles/multidisciplinary-digital-publishing-institute</vt:lpwstr>
  </property>
  <property fmtid="{D5CDD505-2E9C-101B-9397-08002B2CF9AE}" pid="16" name="Mendeley Recent Style Name 5_1">
    <vt:lpwstr>Multidisciplinary Digital Publishing Institute</vt:lpwstr>
  </property>
  <property fmtid="{D5CDD505-2E9C-101B-9397-08002B2CF9AE}" pid="17" name="Mendeley Recent Style Id 6_1">
    <vt:lpwstr>http://www.zotero.org/styles/oncotarget</vt:lpwstr>
  </property>
  <property fmtid="{D5CDD505-2E9C-101B-9397-08002B2CF9AE}" pid="18" name="Mendeley Recent Style Name 6_1">
    <vt:lpwstr>Oncotarget</vt:lpwstr>
  </property>
  <property fmtid="{D5CDD505-2E9C-101B-9397-08002B2CF9AE}" pid="19" name="Mendeley Recent Style Id 7_1">
    <vt:lpwstr>http://www.zotero.org/styles/oxford-german-studies</vt:lpwstr>
  </property>
  <property fmtid="{D5CDD505-2E9C-101B-9397-08002B2CF9AE}" pid="20" name="Mendeley Recent Style Name 7_1">
    <vt:lpwstr>Oxford German Studies</vt:lpwstr>
  </property>
  <property fmtid="{D5CDD505-2E9C-101B-9397-08002B2CF9AE}" pid="21" name="Mendeley Recent Style Id 8_1">
    <vt:lpwstr>http://www.zotero.org/styles/proteomics</vt:lpwstr>
  </property>
  <property fmtid="{D5CDD505-2E9C-101B-9397-08002B2CF9AE}" pid="22" name="Mendeley Recent Style Name 8_1">
    <vt:lpwstr>PROTEOMICS</vt:lpwstr>
  </property>
  <property fmtid="{D5CDD505-2E9C-101B-9397-08002B2CF9AE}" pid="23" name="Mendeley Recent Style Id 9_1">
    <vt:lpwstr>http://www.zotero.org/styles/the-plant-cell</vt:lpwstr>
  </property>
  <property fmtid="{D5CDD505-2E9C-101B-9397-08002B2CF9AE}" pid="24" name="Mendeley Recent Style Name 9_1">
    <vt:lpwstr>The Plant Cell</vt:lpwstr>
  </property>
</Properties>
</file>