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7CC17" w14:textId="197D12A8" w:rsidR="00D11AE3" w:rsidRPr="003B399E" w:rsidRDefault="009D3E78" w:rsidP="003B399E">
      <w:pPr>
        <w:rPr>
          <w:rFonts w:ascii="Times New Roman" w:hAnsi="Times New Roman" w:cs="Times New Roman"/>
          <w:b/>
        </w:rPr>
      </w:pPr>
      <w:r w:rsidRPr="003B399E">
        <w:rPr>
          <w:rFonts w:ascii="Times New Roman" w:hAnsi="Times New Roman" w:cs="Times New Roman"/>
          <w:b/>
        </w:rPr>
        <w:t>Respiratory m</w:t>
      </w:r>
      <w:r w:rsidR="00D11AE3" w:rsidRPr="003B399E">
        <w:rPr>
          <w:rFonts w:ascii="Times New Roman" w:hAnsi="Times New Roman" w:cs="Times New Roman"/>
          <w:b/>
        </w:rPr>
        <w:t xml:space="preserve">icrobiome profiling for etiologic diagnosis of pneumonia in mechanically ventilated patients. </w:t>
      </w:r>
    </w:p>
    <w:p w14:paraId="168D6D4B" w14:textId="77777777" w:rsidR="00F863AB" w:rsidRPr="003B399E" w:rsidRDefault="00F863AB" w:rsidP="003B399E">
      <w:pPr>
        <w:rPr>
          <w:rFonts w:ascii="Times New Roman" w:hAnsi="Times New Roman" w:cs="Times New Roman"/>
          <w:b/>
        </w:rPr>
      </w:pPr>
    </w:p>
    <w:p w14:paraId="4AA68F0B" w14:textId="5A0B756B" w:rsidR="00F863AB" w:rsidRPr="003B399E" w:rsidRDefault="00F863AB" w:rsidP="003B399E">
      <w:pPr>
        <w:rPr>
          <w:rFonts w:ascii="Times New Roman" w:hAnsi="Times New Roman" w:cs="Times New Roman"/>
          <w:b/>
        </w:rPr>
      </w:pPr>
      <w:r w:rsidRPr="003B399E">
        <w:rPr>
          <w:rFonts w:ascii="Times New Roman" w:hAnsi="Times New Roman" w:cs="Times New Roman"/>
          <w:b/>
        </w:rPr>
        <w:t>Supplement</w:t>
      </w:r>
      <w:r w:rsidR="00FE479D" w:rsidRPr="003B399E">
        <w:rPr>
          <w:rFonts w:ascii="Times New Roman" w:hAnsi="Times New Roman" w:cs="Times New Roman"/>
          <w:b/>
        </w:rPr>
        <w:t>ary Material</w:t>
      </w:r>
    </w:p>
    <w:p w14:paraId="72CA66B2" w14:textId="77777777" w:rsidR="00F863AB" w:rsidRPr="003B399E" w:rsidRDefault="00F863AB" w:rsidP="003B399E">
      <w:pPr>
        <w:rPr>
          <w:rFonts w:ascii="Times New Roman" w:hAnsi="Times New Roman" w:cs="Times New Roman"/>
          <w:b/>
        </w:rPr>
      </w:pPr>
    </w:p>
    <w:p w14:paraId="59D2A25D" w14:textId="77777777" w:rsidR="008C50FB" w:rsidRPr="003B399E" w:rsidRDefault="00614A99" w:rsidP="003B399E">
      <w:pPr>
        <w:rPr>
          <w:rFonts w:ascii="Times New Roman" w:hAnsi="Times New Roman" w:cs="Times New Roman"/>
          <w:b/>
        </w:rPr>
      </w:pPr>
      <w:r w:rsidRPr="003B399E">
        <w:rPr>
          <w:rFonts w:ascii="Times New Roman" w:hAnsi="Times New Roman" w:cs="Times New Roman"/>
          <w:b/>
        </w:rPr>
        <w:t>Contents:</w:t>
      </w:r>
    </w:p>
    <w:p w14:paraId="00ABB29D" w14:textId="77777777" w:rsidR="00614A99" w:rsidRPr="003B399E" w:rsidRDefault="00614A99" w:rsidP="003B399E">
      <w:pPr>
        <w:rPr>
          <w:rFonts w:ascii="Times New Roman" w:hAnsi="Times New Roman" w:cs="Times New Roman"/>
          <w:b/>
        </w:rPr>
      </w:pPr>
    </w:p>
    <w:p w14:paraId="55EFE8EE" w14:textId="45FC983A" w:rsidR="00614A99" w:rsidRPr="00480D17" w:rsidRDefault="00614A99" w:rsidP="003B399E">
      <w:pPr>
        <w:pStyle w:val="ListParagraph"/>
        <w:numPr>
          <w:ilvl w:val="0"/>
          <w:numId w:val="5"/>
        </w:numPr>
        <w:rPr>
          <w:rFonts w:ascii="Times New Roman" w:hAnsi="Times New Roman" w:cs="Times New Roman"/>
        </w:rPr>
      </w:pPr>
      <w:r w:rsidRPr="00480D17">
        <w:rPr>
          <w:rFonts w:ascii="Times New Roman" w:hAnsi="Times New Roman" w:cs="Times New Roman"/>
        </w:rPr>
        <w:t>STROBE statement: pages 2-</w:t>
      </w:r>
      <w:r w:rsidR="00583343" w:rsidRPr="00480D17">
        <w:rPr>
          <w:rFonts w:ascii="Times New Roman" w:hAnsi="Times New Roman" w:cs="Times New Roman"/>
        </w:rPr>
        <w:t>5</w:t>
      </w:r>
    </w:p>
    <w:p w14:paraId="6FC7DFA1" w14:textId="04846BBB" w:rsidR="00614A99" w:rsidRPr="00480D17" w:rsidRDefault="00614A99" w:rsidP="003B399E">
      <w:pPr>
        <w:pStyle w:val="ListParagraph"/>
        <w:numPr>
          <w:ilvl w:val="0"/>
          <w:numId w:val="5"/>
        </w:numPr>
        <w:rPr>
          <w:rFonts w:ascii="Times New Roman" w:hAnsi="Times New Roman" w:cs="Times New Roman"/>
        </w:rPr>
      </w:pPr>
      <w:r w:rsidRPr="00480D17">
        <w:rPr>
          <w:rFonts w:ascii="Times New Roman" w:hAnsi="Times New Roman" w:cs="Times New Roman"/>
        </w:rPr>
        <w:t xml:space="preserve">Extensive Methods: pages </w:t>
      </w:r>
      <w:r w:rsidR="00B95CD8" w:rsidRPr="00480D17">
        <w:rPr>
          <w:rFonts w:ascii="Times New Roman" w:hAnsi="Times New Roman" w:cs="Times New Roman"/>
        </w:rPr>
        <w:t>6-12</w:t>
      </w:r>
    </w:p>
    <w:p w14:paraId="61DB21BE" w14:textId="28CD8063" w:rsidR="00614A99" w:rsidRPr="00480D17" w:rsidRDefault="001920D9" w:rsidP="003B399E">
      <w:pPr>
        <w:pStyle w:val="ListParagraph"/>
        <w:numPr>
          <w:ilvl w:val="0"/>
          <w:numId w:val="5"/>
        </w:numPr>
        <w:rPr>
          <w:rFonts w:ascii="Times New Roman" w:hAnsi="Times New Roman" w:cs="Times New Roman"/>
        </w:rPr>
      </w:pPr>
      <w:r w:rsidRPr="00480D17">
        <w:rPr>
          <w:rFonts w:ascii="Times New Roman" w:hAnsi="Times New Roman" w:cs="Times New Roman"/>
        </w:rPr>
        <w:t>Results</w:t>
      </w:r>
      <w:r w:rsidR="00986245" w:rsidRPr="00480D17">
        <w:rPr>
          <w:rFonts w:ascii="Times New Roman" w:hAnsi="Times New Roman" w:cs="Times New Roman"/>
        </w:rPr>
        <w:t xml:space="preserve"> - </w:t>
      </w:r>
      <w:r w:rsidRPr="00480D17">
        <w:rPr>
          <w:rFonts w:ascii="Times New Roman" w:hAnsi="Times New Roman" w:cs="Times New Roman"/>
        </w:rPr>
        <w:t xml:space="preserve">Supplementary Tables and Figures: pages </w:t>
      </w:r>
      <w:r w:rsidR="00B95CD8" w:rsidRPr="00480D17">
        <w:rPr>
          <w:rFonts w:ascii="Times New Roman" w:hAnsi="Times New Roman" w:cs="Times New Roman"/>
        </w:rPr>
        <w:t>13-18</w:t>
      </w:r>
    </w:p>
    <w:p w14:paraId="6E0A811C" w14:textId="555178BF" w:rsidR="00583343" w:rsidRPr="00480D17" w:rsidRDefault="002B6505" w:rsidP="003B399E">
      <w:pPr>
        <w:pStyle w:val="ListParagraph"/>
        <w:numPr>
          <w:ilvl w:val="0"/>
          <w:numId w:val="5"/>
        </w:numPr>
        <w:rPr>
          <w:rFonts w:ascii="Times New Roman" w:hAnsi="Times New Roman" w:cs="Times New Roman"/>
        </w:rPr>
      </w:pPr>
      <w:r>
        <w:rPr>
          <w:rFonts w:ascii="Times New Roman" w:hAnsi="Times New Roman" w:cs="Times New Roman"/>
        </w:rPr>
        <w:t>R code used for analyses: 19-28</w:t>
      </w:r>
    </w:p>
    <w:p w14:paraId="2EAA5269" w14:textId="4BA8CFDF" w:rsidR="001920D9" w:rsidRPr="00480D17" w:rsidRDefault="001920D9" w:rsidP="00D3062F">
      <w:pPr>
        <w:pStyle w:val="ListParagraph"/>
        <w:numPr>
          <w:ilvl w:val="0"/>
          <w:numId w:val="5"/>
        </w:numPr>
        <w:rPr>
          <w:rFonts w:ascii="Times New Roman" w:hAnsi="Times New Roman" w:cs="Times New Roman"/>
        </w:rPr>
      </w:pPr>
      <w:r w:rsidRPr="00480D17">
        <w:rPr>
          <w:rFonts w:ascii="Times New Roman" w:hAnsi="Times New Roman" w:cs="Times New Roman"/>
        </w:rPr>
        <w:t xml:space="preserve">References: </w:t>
      </w:r>
      <w:r w:rsidR="002B6505">
        <w:rPr>
          <w:rFonts w:ascii="Times New Roman" w:hAnsi="Times New Roman" w:cs="Times New Roman"/>
        </w:rPr>
        <w:t>29-31</w:t>
      </w:r>
    </w:p>
    <w:p w14:paraId="57285E8F" w14:textId="77777777" w:rsidR="008C50FB" w:rsidRPr="003B399E" w:rsidRDefault="008C50FB" w:rsidP="003B399E">
      <w:pPr>
        <w:rPr>
          <w:rFonts w:ascii="Times New Roman" w:hAnsi="Times New Roman" w:cs="Times New Roman"/>
          <w:b/>
        </w:rPr>
      </w:pPr>
    </w:p>
    <w:p w14:paraId="42C07AAD" w14:textId="77777777" w:rsidR="008C50FB" w:rsidRPr="003B399E" w:rsidRDefault="008C50FB" w:rsidP="003B399E">
      <w:pPr>
        <w:rPr>
          <w:rFonts w:ascii="Times New Roman" w:hAnsi="Times New Roman" w:cs="Times New Roman"/>
          <w:b/>
        </w:rPr>
      </w:pPr>
      <w:r w:rsidRPr="003B399E">
        <w:rPr>
          <w:rFonts w:ascii="Times New Roman" w:hAnsi="Times New Roman" w:cs="Times New Roman"/>
          <w:b/>
        </w:rPr>
        <w:br w:type="page"/>
      </w:r>
    </w:p>
    <w:p w14:paraId="6D2F19CF" w14:textId="18329E46" w:rsidR="00174201" w:rsidRPr="003B399E" w:rsidRDefault="00040242" w:rsidP="003B399E">
      <w:pPr>
        <w:pStyle w:val="TableTitle"/>
        <w:spacing w:line="240" w:lineRule="auto"/>
        <w:rPr>
          <w:b/>
          <w:szCs w:val="24"/>
        </w:rPr>
      </w:pPr>
      <w:r w:rsidRPr="003B399E">
        <w:rPr>
          <w:b/>
          <w:szCs w:val="24"/>
        </w:rPr>
        <w:lastRenderedPageBreak/>
        <w:t xml:space="preserve">Supplementary </w:t>
      </w:r>
      <w:r w:rsidR="00950883" w:rsidRPr="003B399E">
        <w:rPr>
          <w:b/>
          <w:szCs w:val="24"/>
        </w:rPr>
        <w:t xml:space="preserve">Table 1. STROBE Statement—Checklist of items that should be included in reports of </w:t>
      </w:r>
      <w:r w:rsidR="00950883" w:rsidRPr="003B399E">
        <w:rPr>
          <w:b/>
          <w:i/>
          <w:szCs w:val="24"/>
        </w:rPr>
        <w:t>cohort studies</w:t>
      </w:r>
      <w:r w:rsidR="00950883" w:rsidRPr="003B399E">
        <w:rPr>
          <w:b/>
          <w:szCs w:val="24"/>
        </w:rPr>
        <w:t xml:space="preserve"> </w:t>
      </w:r>
    </w:p>
    <w:p w14:paraId="42FE07AB" w14:textId="77777777" w:rsidR="00561F2D" w:rsidRPr="003B399E" w:rsidRDefault="00561F2D" w:rsidP="003B399E">
      <w:pPr>
        <w:pStyle w:val="TableTitle"/>
        <w:spacing w:line="240" w:lineRule="auto"/>
        <w:rPr>
          <w:szCs w:val="24"/>
        </w:rPr>
      </w:pPr>
    </w:p>
    <w:tbl>
      <w:tblPr>
        <w:tblW w:w="991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19"/>
        <w:gridCol w:w="616"/>
        <w:gridCol w:w="2143"/>
        <w:gridCol w:w="720"/>
        <w:gridCol w:w="4320"/>
      </w:tblGrid>
      <w:tr w:rsidR="00EB6E97" w:rsidRPr="003B399E" w14:paraId="0DC2A857" w14:textId="77777777" w:rsidTr="00EB6E97">
        <w:tc>
          <w:tcPr>
            <w:tcW w:w="2119" w:type="dxa"/>
          </w:tcPr>
          <w:p w14:paraId="26791380" w14:textId="77777777" w:rsidR="00561F2D" w:rsidRPr="003B399E" w:rsidRDefault="00561F2D" w:rsidP="003B399E">
            <w:pPr>
              <w:tabs>
                <w:tab w:val="left" w:pos="5400"/>
              </w:tabs>
              <w:rPr>
                <w:rFonts w:ascii="Times New Roman" w:hAnsi="Times New Roman" w:cs="Times New Roman"/>
                <w:sz w:val="18"/>
                <w:szCs w:val="18"/>
              </w:rPr>
            </w:pPr>
          </w:p>
        </w:tc>
        <w:tc>
          <w:tcPr>
            <w:tcW w:w="616" w:type="dxa"/>
          </w:tcPr>
          <w:p w14:paraId="0DEDC9F4" w14:textId="77777777" w:rsidR="00561F2D" w:rsidRPr="003B399E" w:rsidRDefault="00561F2D" w:rsidP="003B399E">
            <w:pPr>
              <w:pStyle w:val="TableHeader"/>
              <w:tabs>
                <w:tab w:val="left" w:pos="5400"/>
              </w:tabs>
              <w:jc w:val="center"/>
              <w:rPr>
                <w:bCs/>
                <w:sz w:val="18"/>
                <w:szCs w:val="18"/>
              </w:rPr>
            </w:pPr>
            <w:r w:rsidRPr="003B399E">
              <w:rPr>
                <w:bCs/>
                <w:sz w:val="18"/>
                <w:szCs w:val="18"/>
              </w:rPr>
              <w:t>Item No.</w:t>
            </w:r>
          </w:p>
        </w:tc>
        <w:tc>
          <w:tcPr>
            <w:tcW w:w="2143" w:type="dxa"/>
            <w:vAlign w:val="bottom"/>
          </w:tcPr>
          <w:p w14:paraId="76694ECF" w14:textId="77777777" w:rsidR="00561F2D" w:rsidRPr="003B399E" w:rsidRDefault="00561F2D" w:rsidP="003B399E">
            <w:pPr>
              <w:pStyle w:val="TableHeader"/>
              <w:tabs>
                <w:tab w:val="left" w:pos="5400"/>
              </w:tabs>
              <w:jc w:val="center"/>
              <w:rPr>
                <w:bCs/>
                <w:sz w:val="18"/>
                <w:szCs w:val="18"/>
              </w:rPr>
            </w:pPr>
            <w:r w:rsidRPr="003B399E">
              <w:rPr>
                <w:bCs/>
                <w:sz w:val="18"/>
                <w:szCs w:val="18"/>
              </w:rPr>
              <w:t>Recommendation</w:t>
            </w:r>
          </w:p>
        </w:tc>
        <w:tc>
          <w:tcPr>
            <w:tcW w:w="720" w:type="dxa"/>
          </w:tcPr>
          <w:p w14:paraId="41014BBE" w14:textId="77777777" w:rsidR="00561F2D" w:rsidRPr="003B399E" w:rsidRDefault="00561F2D" w:rsidP="003B399E">
            <w:pPr>
              <w:pStyle w:val="TableHeader"/>
              <w:tabs>
                <w:tab w:val="left" w:pos="5400"/>
              </w:tabs>
              <w:jc w:val="center"/>
              <w:rPr>
                <w:bCs/>
                <w:sz w:val="18"/>
                <w:szCs w:val="18"/>
              </w:rPr>
            </w:pPr>
            <w:r w:rsidRPr="003B399E">
              <w:rPr>
                <w:bCs/>
                <w:sz w:val="18"/>
                <w:szCs w:val="18"/>
              </w:rPr>
              <w:t xml:space="preserve">Page </w:t>
            </w:r>
            <w:r w:rsidRPr="003B399E">
              <w:rPr>
                <w:bCs/>
                <w:sz w:val="18"/>
                <w:szCs w:val="18"/>
              </w:rPr>
              <w:br/>
              <w:t>No.</w:t>
            </w:r>
          </w:p>
        </w:tc>
        <w:tc>
          <w:tcPr>
            <w:tcW w:w="4320" w:type="dxa"/>
          </w:tcPr>
          <w:p w14:paraId="69C38B44" w14:textId="77777777" w:rsidR="00561F2D" w:rsidRPr="003B399E" w:rsidRDefault="00561F2D" w:rsidP="003B399E">
            <w:pPr>
              <w:pStyle w:val="TableHeader"/>
              <w:tabs>
                <w:tab w:val="left" w:pos="5400"/>
              </w:tabs>
              <w:jc w:val="center"/>
              <w:rPr>
                <w:bCs/>
                <w:sz w:val="18"/>
                <w:szCs w:val="18"/>
              </w:rPr>
            </w:pPr>
            <w:r w:rsidRPr="003B399E">
              <w:rPr>
                <w:bCs/>
                <w:sz w:val="18"/>
                <w:szCs w:val="18"/>
              </w:rPr>
              <w:t>Relevant text from manuscript</w:t>
            </w:r>
          </w:p>
        </w:tc>
      </w:tr>
      <w:tr w:rsidR="00EB6E97" w:rsidRPr="003B399E" w14:paraId="671AE64D" w14:textId="77777777" w:rsidTr="00EB6E97">
        <w:tc>
          <w:tcPr>
            <w:tcW w:w="2119" w:type="dxa"/>
            <w:vMerge w:val="restart"/>
          </w:tcPr>
          <w:p w14:paraId="7FC0D603" w14:textId="77777777" w:rsidR="00561F2D" w:rsidRPr="003B399E" w:rsidRDefault="00561F2D" w:rsidP="003B399E">
            <w:pPr>
              <w:tabs>
                <w:tab w:val="left" w:pos="5400"/>
              </w:tabs>
              <w:rPr>
                <w:rFonts w:ascii="Times New Roman" w:hAnsi="Times New Roman" w:cs="Times New Roman"/>
                <w:b/>
                <w:bCs/>
                <w:sz w:val="18"/>
                <w:szCs w:val="18"/>
              </w:rPr>
            </w:pPr>
            <w:bookmarkStart w:id="0" w:name="bold5"/>
            <w:bookmarkStart w:id="1" w:name="italic6"/>
            <w:r w:rsidRPr="003B399E">
              <w:rPr>
                <w:rFonts w:ascii="Times New Roman" w:hAnsi="Times New Roman" w:cs="Times New Roman"/>
                <w:b/>
                <w:sz w:val="18"/>
                <w:szCs w:val="18"/>
              </w:rPr>
              <w:t>Title and abstract</w:t>
            </w:r>
            <w:bookmarkEnd w:id="0"/>
            <w:bookmarkEnd w:id="1"/>
          </w:p>
        </w:tc>
        <w:tc>
          <w:tcPr>
            <w:tcW w:w="616" w:type="dxa"/>
            <w:vMerge w:val="restart"/>
          </w:tcPr>
          <w:p w14:paraId="23DF2B13" w14:textId="77777777" w:rsidR="00561F2D" w:rsidRPr="003B399E" w:rsidRDefault="00561F2D" w:rsidP="00D3062F">
            <w:pPr>
              <w:tabs>
                <w:tab w:val="left" w:pos="5400"/>
              </w:tabs>
              <w:ind w:left="-589" w:firstLine="589"/>
              <w:jc w:val="center"/>
              <w:rPr>
                <w:rFonts w:ascii="Times New Roman" w:hAnsi="Times New Roman" w:cs="Times New Roman"/>
                <w:sz w:val="18"/>
                <w:szCs w:val="18"/>
              </w:rPr>
            </w:pPr>
            <w:r w:rsidRPr="003B399E">
              <w:rPr>
                <w:rFonts w:ascii="Times New Roman" w:hAnsi="Times New Roman" w:cs="Times New Roman"/>
                <w:sz w:val="18"/>
                <w:szCs w:val="18"/>
              </w:rPr>
              <w:t>1</w:t>
            </w:r>
          </w:p>
        </w:tc>
        <w:tc>
          <w:tcPr>
            <w:tcW w:w="2143" w:type="dxa"/>
          </w:tcPr>
          <w:p w14:paraId="438446A7"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a</w:t>
            </w:r>
            <w:r w:rsidRPr="003B399E">
              <w:rPr>
                <w:rFonts w:ascii="Times New Roman" w:hAnsi="Times New Roman" w:cs="Times New Roman"/>
                <w:sz w:val="18"/>
                <w:szCs w:val="18"/>
              </w:rPr>
              <w:t>) Indicate the study’s design with a commonly used term in the title or the abstract</w:t>
            </w:r>
          </w:p>
        </w:tc>
        <w:tc>
          <w:tcPr>
            <w:tcW w:w="720" w:type="dxa"/>
          </w:tcPr>
          <w:p w14:paraId="44974AD6" w14:textId="2BF240EB"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2</w:t>
            </w:r>
          </w:p>
        </w:tc>
        <w:tc>
          <w:tcPr>
            <w:tcW w:w="4320" w:type="dxa"/>
          </w:tcPr>
          <w:p w14:paraId="7B1EC93B"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“we prospectively collected…”</w:t>
            </w:r>
          </w:p>
        </w:tc>
      </w:tr>
      <w:tr w:rsidR="00EB6E97" w:rsidRPr="003B399E" w14:paraId="092421DA" w14:textId="77777777" w:rsidTr="00EB6E97">
        <w:tc>
          <w:tcPr>
            <w:tcW w:w="2119" w:type="dxa"/>
            <w:vMerge/>
          </w:tcPr>
          <w:p w14:paraId="0E01FA35" w14:textId="77777777" w:rsidR="00561F2D" w:rsidRPr="003B399E" w:rsidRDefault="00561F2D" w:rsidP="003B399E">
            <w:pPr>
              <w:tabs>
                <w:tab w:val="left" w:pos="5400"/>
              </w:tabs>
              <w:rPr>
                <w:rFonts w:ascii="Times New Roman" w:hAnsi="Times New Roman" w:cs="Times New Roman"/>
                <w:bCs/>
                <w:sz w:val="18"/>
                <w:szCs w:val="18"/>
              </w:rPr>
            </w:pPr>
          </w:p>
        </w:tc>
        <w:tc>
          <w:tcPr>
            <w:tcW w:w="616" w:type="dxa"/>
            <w:vMerge/>
          </w:tcPr>
          <w:p w14:paraId="7CE87BBF" w14:textId="77777777" w:rsidR="00561F2D" w:rsidRPr="003B399E" w:rsidRDefault="00561F2D" w:rsidP="003B399E">
            <w:pPr>
              <w:tabs>
                <w:tab w:val="left" w:pos="5400"/>
              </w:tabs>
              <w:jc w:val="center"/>
              <w:rPr>
                <w:rFonts w:ascii="Times New Roman" w:hAnsi="Times New Roman" w:cs="Times New Roman"/>
                <w:sz w:val="18"/>
                <w:szCs w:val="18"/>
              </w:rPr>
            </w:pPr>
          </w:p>
        </w:tc>
        <w:tc>
          <w:tcPr>
            <w:tcW w:w="2143" w:type="dxa"/>
          </w:tcPr>
          <w:p w14:paraId="7DE04CF0"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b</w:t>
            </w:r>
            <w:r w:rsidRPr="003B399E">
              <w:rPr>
                <w:rFonts w:ascii="Times New Roman" w:hAnsi="Times New Roman" w:cs="Times New Roman"/>
                <w:sz w:val="18"/>
                <w:szCs w:val="18"/>
              </w:rPr>
              <w:t>) Provide in the abstract an informative and balanced summary of what was done and what was found</w:t>
            </w:r>
          </w:p>
        </w:tc>
        <w:tc>
          <w:tcPr>
            <w:tcW w:w="720" w:type="dxa"/>
          </w:tcPr>
          <w:p w14:paraId="20F48B73" w14:textId="07B14DFE"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2</w:t>
            </w:r>
          </w:p>
        </w:tc>
        <w:tc>
          <w:tcPr>
            <w:tcW w:w="4320" w:type="dxa"/>
          </w:tcPr>
          <w:p w14:paraId="609682C8" w14:textId="12814C98"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Thus, enhanced detection of pathogenic bacteria by sequencing improves etiologic diagnosis of pneumonia, correlates with host responses, and offers substantial opportunity for individualized therapeutic targeting and antimicrobial stewardship.</w:t>
            </w:r>
            <w:r w:rsidRPr="003B399E">
              <w:rPr>
                <w:rFonts w:ascii="Times New Roman" w:hAnsi="Times New Roman" w:cs="Times New Roman"/>
                <w:sz w:val="18"/>
                <w:szCs w:val="18"/>
              </w:rPr>
              <w:t>”</w:t>
            </w:r>
          </w:p>
        </w:tc>
      </w:tr>
      <w:tr w:rsidR="00EB6E97" w:rsidRPr="003B399E" w14:paraId="1A46FBDF" w14:textId="77777777" w:rsidTr="00EB6E97">
        <w:tc>
          <w:tcPr>
            <w:tcW w:w="5598" w:type="dxa"/>
            <w:gridSpan w:val="4"/>
          </w:tcPr>
          <w:p w14:paraId="4A3370F3" w14:textId="77777777" w:rsidR="00561F2D" w:rsidRPr="003B399E" w:rsidRDefault="00561F2D" w:rsidP="003B399E">
            <w:pPr>
              <w:pStyle w:val="TableSubHead"/>
              <w:tabs>
                <w:tab w:val="left" w:pos="5400"/>
              </w:tabs>
              <w:rPr>
                <w:sz w:val="18"/>
                <w:szCs w:val="18"/>
              </w:rPr>
            </w:pPr>
            <w:r w:rsidRPr="003B399E">
              <w:rPr>
                <w:sz w:val="18"/>
                <w:szCs w:val="18"/>
              </w:rPr>
              <w:t>Introduction</w:t>
            </w:r>
          </w:p>
        </w:tc>
        <w:tc>
          <w:tcPr>
            <w:tcW w:w="4320" w:type="dxa"/>
          </w:tcPr>
          <w:p w14:paraId="3281026E" w14:textId="77777777" w:rsidR="00561F2D" w:rsidRPr="003B399E" w:rsidRDefault="00561F2D" w:rsidP="003B399E">
            <w:pPr>
              <w:pStyle w:val="TableSubHead"/>
              <w:tabs>
                <w:tab w:val="left" w:pos="5400"/>
              </w:tabs>
              <w:rPr>
                <w:sz w:val="18"/>
                <w:szCs w:val="18"/>
              </w:rPr>
            </w:pPr>
          </w:p>
        </w:tc>
      </w:tr>
      <w:tr w:rsidR="00EB6E97" w:rsidRPr="003B399E" w14:paraId="278B7A2E" w14:textId="77777777" w:rsidTr="00EB6E97">
        <w:tc>
          <w:tcPr>
            <w:tcW w:w="2119" w:type="dxa"/>
          </w:tcPr>
          <w:p w14:paraId="30395F8C"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Background/rationale</w:t>
            </w:r>
          </w:p>
        </w:tc>
        <w:tc>
          <w:tcPr>
            <w:tcW w:w="616" w:type="dxa"/>
          </w:tcPr>
          <w:p w14:paraId="241346EB"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2</w:t>
            </w:r>
          </w:p>
        </w:tc>
        <w:tc>
          <w:tcPr>
            <w:tcW w:w="2143" w:type="dxa"/>
          </w:tcPr>
          <w:p w14:paraId="12945CAC"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Explain the scientific background and rationale for the investigation being reported</w:t>
            </w:r>
          </w:p>
        </w:tc>
        <w:tc>
          <w:tcPr>
            <w:tcW w:w="720" w:type="dxa"/>
          </w:tcPr>
          <w:p w14:paraId="60B3E7E8" w14:textId="3809BBDA"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3</w:t>
            </w:r>
          </w:p>
        </w:tc>
        <w:tc>
          <w:tcPr>
            <w:tcW w:w="4320" w:type="dxa"/>
          </w:tcPr>
          <w:p w14:paraId="4DD49DEC" w14:textId="3038B149" w:rsidR="00063F2A" w:rsidRPr="003B399E" w:rsidRDefault="00063F2A" w:rsidP="003B399E">
            <w:pPr>
              <w:ind w:firstLine="720"/>
              <w:jc w:val="both"/>
              <w:rPr>
                <w:rFonts w:ascii="Times New Roman" w:hAnsi="Times New Roman" w:cs="Times New Roman"/>
                <w:sz w:val="18"/>
                <w:szCs w:val="18"/>
              </w:rPr>
            </w:pPr>
            <w:r w:rsidRPr="003B399E">
              <w:rPr>
                <w:rFonts w:ascii="Times New Roman" w:hAnsi="Times New Roman" w:cs="Times New Roman"/>
                <w:sz w:val="18"/>
                <w:szCs w:val="18"/>
              </w:rPr>
              <w:t xml:space="preserve">“…Despite the theoretical advantages of NGS, the technology has not yet been validated as a diagnostic tool to guide antimicrobial prescriptions in the ICU.” </w:t>
            </w:r>
          </w:p>
          <w:p w14:paraId="70D49CAD" w14:textId="32E9C919" w:rsidR="00561F2D" w:rsidRPr="003B399E" w:rsidRDefault="00561F2D" w:rsidP="003B399E">
            <w:pPr>
              <w:tabs>
                <w:tab w:val="left" w:pos="5400"/>
              </w:tabs>
              <w:rPr>
                <w:rFonts w:ascii="Times New Roman" w:hAnsi="Times New Roman" w:cs="Times New Roman"/>
                <w:sz w:val="18"/>
                <w:szCs w:val="18"/>
              </w:rPr>
            </w:pPr>
          </w:p>
        </w:tc>
      </w:tr>
      <w:tr w:rsidR="00EB6E97" w:rsidRPr="003B399E" w14:paraId="75D7F7AC" w14:textId="77777777" w:rsidTr="00EB6E97">
        <w:tc>
          <w:tcPr>
            <w:tcW w:w="2119" w:type="dxa"/>
          </w:tcPr>
          <w:p w14:paraId="2CDB0EC1"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Objectives</w:t>
            </w:r>
          </w:p>
        </w:tc>
        <w:tc>
          <w:tcPr>
            <w:tcW w:w="616" w:type="dxa"/>
          </w:tcPr>
          <w:p w14:paraId="6AD1C5FF"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3</w:t>
            </w:r>
          </w:p>
        </w:tc>
        <w:tc>
          <w:tcPr>
            <w:tcW w:w="2143" w:type="dxa"/>
          </w:tcPr>
          <w:p w14:paraId="0CA5B735"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State specific objectives, including any prespecified hypotheses</w:t>
            </w:r>
          </w:p>
        </w:tc>
        <w:tc>
          <w:tcPr>
            <w:tcW w:w="720" w:type="dxa"/>
          </w:tcPr>
          <w:p w14:paraId="4C723190" w14:textId="687864F9"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3-4</w:t>
            </w:r>
          </w:p>
        </w:tc>
        <w:tc>
          <w:tcPr>
            <w:tcW w:w="4320" w:type="dxa"/>
          </w:tcPr>
          <w:p w14:paraId="2DEC5111" w14:textId="14C7E3C1" w:rsidR="00063F2A" w:rsidRPr="003B399E" w:rsidRDefault="00561F2D" w:rsidP="003B399E">
            <w:pPr>
              <w:ind w:firstLine="720"/>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To examine the clinical validity</w:t>
            </w:r>
            <w:r w:rsidR="008D4385" w:rsidRPr="003B399E">
              <w:rPr>
                <w:rFonts w:ascii="Times New Roman" w:hAnsi="Times New Roman" w:cs="Times New Roman"/>
                <w:sz w:val="18"/>
                <w:szCs w:val="18"/>
              </w:rPr>
              <w:t xml:space="preserve"> </w:t>
            </w:r>
            <w:r w:rsidR="00063F2A" w:rsidRPr="003B399E">
              <w:rPr>
                <w:rFonts w:ascii="Times New Roman" w:hAnsi="Times New Roman" w:cs="Times New Roman"/>
                <w:sz w:val="18"/>
                <w:szCs w:val="18"/>
              </w:rPr>
              <w:fldChar w:fldCharType="begin"/>
            </w:r>
            <w:r w:rsidR="008D4385" w:rsidRPr="003B399E">
              <w:rPr>
                <w:rFonts w:ascii="Times New Roman" w:hAnsi="Times New Roman" w:cs="Times New Roman"/>
                <w:sz w:val="18"/>
                <w:szCs w:val="18"/>
              </w:rPr>
              <w:instrText>ADDIN F1000_CSL_CITATION&lt;~#@#~&gt;[{"First":false,"Last":false,"author":[{"family":"Khoury","given":"M"},{"family":"Little","given":"J"},{"family":"Burke","given":"W"}],"authorYearDisplayFormat":false,"citation-label":"4562133","container-title":"Human Genome Epidemiology: A Scientific Foundation for Using Genetic Information to Improve Health and Prevent Disease","id":"4562133","invisible":false,"issued":{"date-parts":[["2003"]]},"page":"217-233","suppress-author":false,"title":"ACCE: A Model Process for Evaluating Data on Emerging Genetic Tests","type":"chapter"}]</w:instrText>
            </w:r>
            <w:r w:rsidR="00063F2A" w:rsidRPr="003B399E">
              <w:rPr>
                <w:rFonts w:ascii="Times New Roman" w:hAnsi="Times New Roman" w:cs="Times New Roman"/>
                <w:sz w:val="18"/>
                <w:szCs w:val="18"/>
              </w:rPr>
              <w:fldChar w:fldCharType="separate"/>
            </w:r>
            <w:r w:rsidR="008D4385" w:rsidRPr="003B399E">
              <w:rPr>
                <w:rFonts w:ascii="Times New Roman" w:hAnsi="Times New Roman" w:cs="Times New Roman"/>
                <w:noProof/>
                <w:sz w:val="18"/>
                <w:szCs w:val="18"/>
              </w:rPr>
              <w:t>(Khoury et al., 2003)</w:t>
            </w:r>
            <w:r w:rsidR="00063F2A" w:rsidRPr="003B399E">
              <w:rPr>
                <w:rFonts w:ascii="Times New Roman" w:hAnsi="Times New Roman" w:cs="Times New Roman"/>
                <w:sz w:val="18"/>
                <w:szCs w:val="18"/>
              </w:rPr>
              <w:fldChar w:fldCharType="end"/>
            </w:r>
            <w:r w:rsidR="00063F2A" w:rsidRPr="003B399E">
              <w:rPr>
                <w:rFonts w:ascii="Times New Roman" w:hAnsi="Times New Roman" w:cs="Times New Roman"/>
                <w:sz w:val="18"/>
                <w:szCs w:val="18"/>
              </w:rPr>
              <w:t xml:space="preserve"> of 16S sequencing for etiologic diagnosis of bacterial pneumonia in patients requiring mechanical ventilation, we conducted this proof-of-concept study with the Microbiome cohort in Acute Lung Injury Registry (MICALIR) at the University of Pittsburgh Medical Center (UPMC), assessing the upper and lower respiratory tract microbiome composition and its association with clinical diagnoses, host responses, and clinical outcomes. </w:t>
            </w:r>
          </w:p>
          <w:p w14:paraId="53E43BD3" w14:textId="220CD860" w:rsidR="00561F2D" w:rsidRPr="003B399E" w:rsidRDefault="00063F2A" w:rsidP="003B399E">
            <w:pPr>
              <w:jc w:val="both"/>
              <w:rPr>
                <w:rFonts w:ascii="Times New Roman" w:hAnsi="Times New Roman" w:cs="Times New Roman"/>
                <w:sz w:val="18"/>
                <w:szCs w:val="18"/>
              </w:rPr>
            </w:pPr>
            <w:r w:rsidRPr="003B399E" w:rsidDel="00063F2A">
              <w:rPr>
                <w:rFonts w:ascii="Times New Roman" w:hAnsi="Times New Roman" w:cs="Times New Roman"/>
                <w:sz w:val="18"/>
                <w:szCs w:val="18"/>
              </w:rPr>
              <w:t xml:space="preserve"> </w:t>
            </w:r>
            <w:r w:rsidR="00561F2D" w:rsidRPr="003B399E">
              <w:rPr>
                <w:rFonts w:ascii="Times New Roman" w:hAnsi="Times New Roman" w:cs="Times New Roman"/>
                <w:sz w:val="18"/>
                <w:szCs w:val="18"/>
              </w:rPr>
              <w:t>“</w:t>
            </w:r>
          </w:p>
        </w:tc>
      </w:tr>
      <w:tr w:rsidR="00EB6E97" w:rsidRPr="003B399E" w14:paraId="4D829CAD" w14:textId="77777777" w:rsidTr="00EB6E97">
        <w:tc>
          <w:tcPr>
            <w:tcW w:w="5598" w:type="dxa"/>
            <w:gridSpan w:val="4"/>
          </w:tcPr>
          <w:p w14:paraId="79458282" w14:textId="77777777" w:rsidR="00561F2D" w:rsidRPr="003B399E" w:rsidRDefault="00561F2D" w:rsidP="003B399E">
            <w:pPr>
              <w:pStyle w:val="TableSubHead"/>
              <w:tabs>
                <w:tab w:val="left" w:pos="5400"/>
              </w:tabs>
              <w:rPr>
                <w:sz w:val="18"/>
                <w:szCs w:val="18"/>
              </w:rPr>
            </w:pPr>
            <w:r w:rsidRPr="003B399E">
              <w:rPr>
                <w:sz w:val="18"/>
                <w:szCs w:val="18"/>
              </w:rPr>
              <w:t>Method</w:t>
            </w:r>
            <w:r w:rsidR="0030189E" w:rsidRPr="003B399E">
              <w:rPr>
                <w:sz w:val="18"/>
                <w:szCs w:val="18"/>
              </w:rPr>
              <w:t>s</w:t>
            </w:r>
          </w:p>
        </w:tc>
        <w:tc>
          <w:tcPr>
            <w:tcW w:w="4320" w:type="dxa"/>
          </w:tcPr>
          <w:p w14:paraId="7AACAD55" w14:textId="77777777" w:rsidR="00561F2D" w:rsidRPr="003B399E" w:rsidRDefault="00561F2D" w:rsidP="003B399E">
            <w:pPr>
              <w:pStyle w:val="TableSubHead"/>
              <w:tabs>
                <w:tab w:val="left" w:pos="5400"/>
              </w:tabs>
              <w:rPr>
                <w:sz w:val="18"/>
                <w:szCs w:val="18"/>
              </w:rPr>
            </w:pPr>
          </w:p>
        </w:tc>
      </w:tr>
      <w:tr w:rsidR="00EB6E97" w:rsidRPr="003B399E" w14:paraId="23F610CD" w14:textId="77777777" w:rsidTr="00EB6E97">
        <w:tc>
          <w:tcPr>
            <w:tcW w:w="2119" w:type="dxa"/>
          </w:tcPr>
          <w:p w14:paraId="26C169FF"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Study design</w:t>
            </w:r>
          </w:p>
        </w:tc>
        <w:tc>
          <w:tcPr>
            <w:tcW w:w="616" w:type="dxa"/>
          </w:tcPr>
          <w:p w14:paraId="650C2A9C"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4</w:t>
            </w:r>
          </w:p>
        </w:tc>
        <w:tc>
          <w:tcPr>
            <w:tcW w:w="2143" w:type="dxa"/>
          </w:tcPr>
          <w:p w14:paraId="1ECB8DBF"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Present key elements of study design early in the paper</w:t>
            </w:r>
          </w:p>
        </w:tc>
        <w:tc>
          <w:tcPr>
            <w:tcW w:w="720" w:type="dxa"/>
          </w:tcPr>
          <w:p w14:paraId="0209A185" w14:textId="6DC688EF"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3</w:t>
            </w:r>
          </w:p>
        </w:tc>
        <w:tc>
          <w:tcPr>
            <w:tcW w:w="4320" w:type="dxa"/>
          </w:tcPr>
          <w:p w14:paraId="46862995"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sz w:val="18"/>
                <w:szCs w:val="18"/>
                <w:u w:val="single"/>
              </w:rPr>
              <w:t>Study Design and Participants</w:t>
            </w:r>
            <w:r w:rsidRPr="003B399E">
              <w:rPr>
                <w:rFonts w:ascii="Times New Roman" w:hAnsi="Times New Roman" w:cs="Times New Roman"/>
                <w:sz w:val="18"/>
                <w:szCs w:val="18"/>
              </w:rPr>
              <w:t>: We conducted a prospective cohort study”</w:t>
            </w:r>
          </w:p>
        </w:tc>
      </w:tr>
      <w:tr w:rsidR="00EB6E97" w:rsidRPr="003B399E" w14:paraId="7A64DA42" w14:textId="77777777" w:rsidTr="00EB6E97">
        <w:tc>
          <w:tcPr>
            <w:tcW w:w="2119" w:type="dxa"/>
          </w:tcPr>
          <w:p w14:paraId="31EF4085"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Setting</w:t>
            </w:r>
          </w:p>
        </w:tc>
        <w:tc>
          <w:tcPr>
            <w:tcW w:w="616" w:type="dxa"/>
          </w:tcPr>
          <w:p w14:paraId="428B030F"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5</w:t>
            </w:r>
          </w:p>
        </w:tc>
        <w:tc>
          <w:tcPr>
            <w:tcW w:w="2143" w:type="dxa"/>
          </w:tcPr>
          <w:p w14:paraId="6A0140FF"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Describe the setting, locations, and relevant dates, including periods of recruitment, exposure, follow-up, and data collection</w:t>
            </w:r>
          </w:p>
        </w:tc>
        <w:tc>
          <w:tcPr>
            <w:tcW w:w="720" w:type="dxa"/>
          </w:tcPr>
          <w:p w14:paraId="4D275BB7" w14:textId="748028EA"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3</w:t>
            </w:r>
          </w:p>
        </w:tc>
        <w:tc>
          <w:tcPr>
            <w:tcW w:w="4320" w:type="dxa"/>
          </w:tcPr>
          <w:p w14:paraId="79F65697" w14:textId="77777777" w:rsidR="00561F2D" w:rsidRPr="003B399E" w:rsidRDefault="008B6F87"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“…from June 2015 - March 2017 enrolling consecutive adult patients in the Medical ICU with acute respiratory failure within 72 hours of intubation.”</w:t>
            </w:r>
          </w:p>
        </w:tc>
      </w:tr>
      <w:tr w:rsidR="00EB6E97" w:rsidRPr="003B399E" w14:paraId="758B1119" w14:textId="77777777" w:rsidTr="00EB6E97">
        <w:tc>
          <w:tcPr>
            <w:tcW w:w="2119" w:type="dxa"/>
            <w:vMerge w:val="restart"/>
          </w:tcPr>
          <w:p w14:paraId="0A161C7A"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Participants</w:t>
            </w:r>
          </w:p>
        </w:tc>
        <w:tc>
          <w:tcPr>
            <w:tcW w:w="616" w:type="dxa"/>
            <w:vMerge w:val="restart"/>
          </w:tcPr>
          <w:p w14:paraId="0D4F2999"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6</w:t>
            </w:r>
          </w:p>
        </w:tc>
        <w:tc>
          <w:tcPr>
            <w:tcW w:w="2143" w:type="dxa"/>
          </w:tcPr>
          <w:p w14:paraId="30FB8BAE"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a</w:t>
            </w:r>
            <w:r w:rsidRPr="003B399E">
              <w:rPr>
                <w:rFonts w:ascii="Times New Roman" w:hAnsi="Times New Roman" w:cs="Times New Roman"/>
                <w:sz w:val="18"/>
                <w:szCs w:val="18"/>
              </w:rPr>
              <w:t xml:space="preserve">) </w:t>
            </w:r>
            <w:r w:rsidRPr="003B399E">
              <w:rPr>
                <w:rFonts w:ascii="Times New Roman" w:hAnsi="Times New Roman" w:cs="Times New Roman"/>
                <w:i/>
                <w:sz w:val="18"/>
                <w:szCs w:val="18"/>
              </w:rPr>
              <w:t>Cohort study</w:t>
            </w:r>
            <w:r w:rsidRPr="003B399E">
              <w:rPr>
                <w:rFonts w:ascii="Times New Roman" w:hAnsi="Times New Roman" w:cs="Times New Roman"/>
                <w:sz w:val="18"/>
                <w:szCs w:val="18"/>
              </w:rPr>
              <w:t>—Give the eligibility criteria, and the sources and methods of selection of participants. Describe methods of follow-up</w:t>
            </w:r>
          </w:p>
        </w:tc>
        <w:tc>
          <w:tcPr>
            <w:tcW w:w="720" w:type="dxa"/>
          </w:tcPr>
          <w:p w14:paraId="3D2A556C" w14:textId="73AE8F04"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3</w:t>
            </w:r>
          </w:p>
        </w:tc>
        <w:tc>
          <w:tcPr>
            <w:tcW w:w="4320" w:type="dxa"/>
          </w:tcPr>
          <w:p w14:paraId="1C1BE774" w14:textId="03E55EFB" w:rsidR="00561F2D"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Eligible patients were 18 years or older with acute respiratory failure requiring mechanical ventilation via endotracheal intubation. Exclusion criteria included inability to obtain informed consent, presence of tracheostomy, or mechanical ventilation for more than 72 hours.</w:t>
            </w:r>
            <w:r w:rsidRPr="003B399E">
              <w:rPr>
                <w:rFonts w:ascii="Times New Roman" w:hAnsi="Times New Roman" w:cs="Times New Roman"/>
                <w:sz w:val="18"/>
                <w:szCs w:val="18"/>
              </w:rPr>
              <w:t>.”</w:t>
            </w:r>
          </w:p>
        </w:tc>
      </w:tr>
      <w:tr w:rsidR="00EB6E97" w:rsidRPr="003B399E" w14:paraId="27655857" w14:textId="77777777" w:rsidTr="00EB6E97">
        <w:tc>
          <w:tcPr>
            <w:tcW w:w="2119" w:type="dxa"/>
            <w:vMerge/>
          </w:tcPr>
          <w:p w14:paraId="731BE29E" w14:textId="77777777" w:rsidR="00561F2D" w:rsidRPr="003B399E" w:rsidRDefault="00561F2D" w:rsidP="003B399E">
            <w:pPr>
              <w:tabs>
                <w:tab w:val="left" w:pos="5400"/>
              </w:tabs>
              <w:rPr>
                <w:rFonts w:ascii="Times New Roman" w:hAnsi="Times New Roman" w:cs="Times New Roman"/>
                <w:bCs/>
                <w:sz w:val="18"/>
                <w:szCs w:val="18"/>
              </w:rPr>
            </w:pPr>
          </w:p>
        </w:tc>
        <w:tc>
          <w:tcPr>
            <w:tcW w:w="616" w:type="dxa"/>
            <w:vMerge/>
          </w:tcPr>
          <w:p w14:paraId="0FD1AF07" w14:textId="77777777" w:rsidR="00561F2D" w:rsidRPr="003B399E" w:rsidRDefault="00561F2D" w:rsidP="003B399E">
            <w:pPr>
              <w:tabs>
                <w:tab w:val="left" w:pos="5400"/>
              </w:tabs>
              <w:jc w:val="center"/>
              <w:rPr>
                <w:rFonts w:ascii="Times New Roman" w:hAnsi="Times New Roman" w:cs="Times New Roman"/>
                <w:sz w:val="18"/>
                <w:szCs w:val="18"/>
              </w:rPr>
            </w:pPr>
          </w:p>
        </w:tc>
        <w:tc>
          <w:tcPr>
            <w:tcW w:w="2143" w:type="dxa"/>
          </w:tcPr>
          <w:p w14:paraId="7A345B1C" w14:textId="77777777" w:rsidR="00561F2D" w:rsidRPr="003B399E" w:rsidRDefault="00561F2D" w:rsidP="003B399E">
            <w:pPr>
              <w:tabs>
                <w:tab w:val="left" w:pos="5400"/>
              </w:tabs>
              <w:rPr>
                <w:rFonts w:ascii="Times New Roman" w:hAnsi="Times New Roman" w:cs="Times New Roman"/>
                <w:i/>
                <w:sz w:val="18"/>
                <w:szCs w:val="18"/>
              </w:rPr>
            </w:pPr>
          </w:p>
        </w:tc>
        <w:tc>
          <w:tcPr>
            <w:tcW w:w="720" w:type="dxa"/>
          </w:tcPr>
          <w:p w14:paraId="45982A85" w14:textId="77777777" w:rsidR="00561F2D" w:rsidRPr="003B399E" w:rsidRDefault="00561F2D" w:rsidP="003B399E">
            <w:pPr>
              <w:tabs>
                <w:tab w:val="left" w:pos="5400"/>
              </w:tabs>
              <w:rPr>
                <w:rFonts w:ascii="Times New Roman" w:hAnsi="Times New Roman" w:cs="Times New Roman"/>
                <w:sz w:val="18"/>
                <w:szCs w:val="18"/>
              </w:rPr>
            </w:pPr>
          </w:p>
        </w:tc>
        <w:tc>
          <w:tcPr>
            <w:tcW w:w="4320" w:type="dxa"/>
          </w:tcPr>
          <w:p w14:paraId="79A41923" w14:textId="77777777" w:rsidR="00561F2D" w:rsidRPr="003B399E" w:rsidRDefault="00561F2D" w:rsidP="003B399E">
            <w:pPr>
              <w:tabs>
                <w:tab w:val="left" w:pos="5400"/>
              </w:tabs>
              <w:rPr>
                <w:rFonts w:ascii="Times New Roman" w:hAnsi="Times New Roman" w:cs="Times New Roman"/>
                <w:sz w:val="18"/>
                <w:szCs w:val="18"/>
              </w:rPr>
            </w:pPr>
          </w:p>
        </w:tc>
      </w:tr>
      <w:tr w:rsidR="00EB6E97" w:rsidRPr="003B399E" w14:paraId="2B2B9987" w14:textId="77777777" w:rsidTr="00EB6E97">
        <w:tc>
          <w:tcPr>
            <w:tcW w:w="2119" w:type="dxa"/>
          </w:tcPr>
          <w:p w14:paraId="75FAC88F"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Variables</w:t>
            </w:r>
          </w:p>
        </w:tc>
        <w:tc>
          <w:tcPr>
            <w:tcW w:w="616" w:type="dxa"/>
          </w:tcPr>
          <w:p w14:paraId="30ED16AD"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7</w:t>
            </w:r>
          </w:p>
        </w:tc>
        <w:tc>
          <w:tcPr>
            <w:tcW w:w="2143" w:type="dxa"/>
          </w:tcPr>
          <w:p w14:paraId="128BC716"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Clearly define all outcomes, exposures, predictors, potential confounders, and effect modifiers. Give diagnostic criteria, if applicable</w:t>
            </w:r>
          </w:p>
        </w:tc>
        <w:tc>
          <w:tcPr>
            <w:tcW w:w="720" w:type="dxa"/>
          </w:tcPr>
          <w:p w14:paraId="17616179" w14:textId="0AB18FF5"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4</w:t>
            </w:r>
          </w:p>
        </w:tc>
        <w:tc>
          <w:tcPr>
            <w:tcW w:w="4320" w:type="dxa"/>
          </w:tcPr>
          <w:p w14:paraId="4A5350F4" w14:textId="6A1ED2FE" w:rsidR="00063F2A" w:rsidRPr="003B399E" w:rsidRDefault="00803CCC" w:rsidP="003B399E">
            <w:pPr>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A consensus committee of clinical experts (GDK, JE, WB, JSL, AM, BJM) reviewed all available data for the enrolled patients and performed retrospective classifications of the etiology and severity their acute respiratory failure. Classifications were performed without knowledge of microbiome sequencing or host biomarker data and included sepsis, acute respiratory distress syndrome (ARDS), pneumonia or aspiration, and intubation for airway protection without risk factors for ARDS per established criteria.</w:t>
            </w:r>
            <w:r w:rsidR="00063F2A" w:rsidRPr="003B399E">
              <w:rPr>
                <w:rFonts w:ascii="Times New Roman" w:hAnsi="Times New Roman" w:cs="Times New Roman"/>
                <w:sz w:val="18"/>
                <w:szCs w:val="18"/>
              </w:rPr>
              <w:fldChar w:fldCharType="begin"/>
            </w:r>
            <w:r w:rsidR="008D4385" w:rsidRPr="003B399E">
              <w:rPr>
                <w:rFonts w:ascii="Times New Roman" w:hAnsi="Times New Roman" w:cs="Times New Roman"/>
                <w:sz w:val="18"/>
                <w:szCs w:val="18"/>
              </w:rPr>
              <w:instrText>ADDIN F1000_CSL_CITATION&lt;~#@#~&gt;[{"DOI":"10.1001/jama.2016.0287","First":false,"Last":false,"PMCID":"PMC4968574","PMID":"26903338","author":[{"family":"Singer","given":"Mervyn"},{"family":"Deutschman","given":"Clifford S"},{"family":"Seymour","given":"Christopher Warren"},{"family":"Shankar-Hari","given":"Manu"},{"family":"Annane","given":"Djillali"},{"family":"Bauer","given":"Michael"},{"family":"Bellomo","given":"Rinaldo"},{"family":"Bernard","given":"Gordon R"},{"family":"Chiche","given":"Jean-Daniel"},{"family":"Coopersmith","given":"Craig M"},{"family":"Hotchkiss","given":"Richard S"},{"family":"Levy","given":"Mitchell M"},{"family":"Marshall","given":"John C"},{"family":"Martin","given":"Greg S"},{"family":"Opal","given":"Steven M"},{"family":"Rubenfeld","given":"Gordon D"},{"family":"van der Poll","given":"Tom"},{"family":"Vincent","given":"Jean-Louis"},{"family":"Angus","given":"Derek C"}],"authorYearDisplayFormat":false,"citation-label":"1301043","container-title":"The Journal of the American Medical Association","container-title-short":"JAMA","id":"1301043","invisible":false,"issue":"8","issued":{"date-parts":[["2016","2","23"]]},"journalAbbreviation":"JAMA","page":"801-810","suppress-author":false,"title":"The Third International Consensus Definitions for Sepsis and Septic Shock (Sepsis-3).","type":"article-journal","volume":"315"},{"DOI":"10.1016/S2213-2600(16)30305-8","First":false,"Last":false,"PMID":"27717861","author":[{"family":"Neto","given":"Ary Serpa"},{"family":"Barbas","given":"Carmen S V"},{"family":"Simonis","given":"Fabienne D"},{"family":"Artigas-Raventós","given":"Antonio"},{"family":"Canet","given":"Jaume"},{"family":"Determann","given":"Rogier M"},{"family":"Anstey","given":"James"},{"family":"Hedenstierna","given":"Goran"},{"family":"Hemmes","given":"Sabrine N T"},{"family":"Hermans","given":"Greet"},{"family":"Hiesmayr","given":"Michael"},{"family":"Hollmann","given":"Markus W"},{"family":"Jaber","given":"Samir"},{"family":"Martin-Loeches","given":"Ignacio"},{"family":"Mills","given":"Gary H"},{"family":"Pearse","given":"Rupert M"},{"family":"Putensen","given":"Christian"},{"family":"Schmid","given":"Werner"},{"family":"Severgnini","given":"Paolo"},{"family":"Smith","given":"Roger"},{"family":"Treschan","given":"Tanja A"},{"family":"Tschernko","given":"Edda M"},{"family":"Melo","given":"Marcos F V"},{"family":"Wrigge","given":"Hermann"},{"family":"de Abreu","given":"Marcelo Gama"},{"family":"Pelosi","given":"Paolo"},{"family":"Schultz","given":"Marcus J"},{"family":"PRoVENT"},{"family":"PROVE Network investigators"}],"authorYearDisplayFormat":false,"citation-label":"2918077","container-title":"The Lancet. Respiratory medicine","container-title-short":"Lancet Respir. Med.","id":"2918077","invisible":false,"issue":"11","issued":{"date-parts":[["2016","11"]]},"journalAbbreviation":"Lancet Respir. Med.","page":"882-893","suppress-author":false,"title":"Epidemiological characteristics, practice of ventilation, and clinical outcome in patients at risk of acute respiratory distress syndrome in intensive care units from 16 countries (PRoVENT): an international, multicentre, prospective study.","type":"article-journal","volume":"4"},{"DOI":"10.1001/jama.2012.5669","First":false,"Last":false,"PMID":"22797452","abstract":"The acute respiratory distress syndrome (ARDS) was defined in 1994 by the American-European Consensus Conference (AECC); since then, issues regarding the reliability and validity of this definition have emerged. Using a consensus process, a panel of experts convened in 2011 (an initiative of the European Society of Intensive Care Medicine endorsed by the American Thoracic Society and the Society of Critical Care Medicine) developed the Berlin Definition, focusing on feasibility, reliability, validity, and objective evaluation of its performance. A draft definition proposed 3 mutually exclusive categories of ARDS based on degree of hypoxemia: mild (200 mm Hg &lt; PaO2/FIO2 ≤ 300 mm Hg), moderate (100 mm Hg &lt; PaO2/FIO2 ≤ 200 mm Hg), and severe (PaO2/FIO2 ≤ 100 mm Hg) and 4 ancillary variables for severe ARDS: radiographic severity, respiratory system compliance (≤40 mL/cm H2O), positive end-expiratory pressure (≥10 cm H2O), and corrected expired volume per minute (≥10 L/min). The draft Berlin Definition was empirically evaluated using patient-level meta-analysis of 4188 patients with ARDS from 4 multicenter clinical data sets and 269 patients with ARDS from 3 single-center data sets containing physiologic information. The 4 ancillary variables did not contribute to the predictive validity of severe ARDS for mortality and were removed from the definition. Using the Berlin Definition, stages of mild, moderate, and severe ARDS were associated with increased mortality (27%; 95% CI, 24%-30%; 32%; 95% CI, 29%-34%; and 45%; 95% CI, 42%-48%, respectively; P &lt; .001) and increased median duration of mechanical ventilation in survivors (5 days; interquartile [IQR], 2-11; 7 days; IQR, 4-14; and 9 days; IQR, 5-17, respectively; P &lt; .001). Compared with the AECC definition, the final Berlin Definition had better predictive validity for mortality, with an area under the receiver operating curve of 0.577 (95% CI, 0.561-0.593) vs 0.536 (95% CI, 0.520-0.553; P &lt; .001). This updated and revised Berlin Definition for ARDS addresses a number of the limitations of the AECC definition. The approach of combining consensus discussions with empirical evaluation may serve as a model to create more accurate, evidence-based, critical illness syndrome definitions and to better inform clinical care, research, and health services planning.","author":[{"family":"ARDS Definition Task Force"},{"family":"Ranieri","given":"V Marco"},{"family":"Rubenfeld","given":"Gordon D"},{"family":"Thompson","given":"B Taylor"},{"family":"Ferguson","given":"Niall D"},{"family":"Caldwell","given":"Ellen"},{"family":"Fan","given":"Eddy"},{"family":"Camporota","given":"Luigi"},{"family":"Slutsky","given":"Arthur S"}],"authorYearDisplayFormat":false,"citation-label":"585910","container-title":"The Journal of the American Medical Association","container-title-short":"JAMA","id":"585910","invisible":false,"issue":"23","issued":{"date-parts":[["2012","6","20"]]},"journalAbbreviation":"JAMA","page":"2526-2533","suppress-author":false,"title":"Acute respiratory distress syndrome: the Berlin Definition.","type":"article-journal","volume":"307"},{"First":false,"Last":false,"PMID":"15942330","abstract":"&lt;strong&gt;OBJECTIVE:&lt;/strong&gt; Clinical predictors for acute respiratory distress syndrome (ARDS) have been studied in few prospective studies. Although transfusions are common in the intensive care unit, the role of submassive transfusion in non-trauma-related ARDS has not been studied. We describe here the clinical predictors of ARDS risk and mortality including the role of red cell transfusion.&lt;br&gt;&lt;br&gt;&lt;strong&gt;DESIGN:&lt;/strong&gt; Observational prospective cohort.&lt;br&gt;&lt;br&gt;&lt;strong&gt;SETTING:&lt;/strong&gt; Intensive care unit of Massachusetts General Hospital.&lt;br&gt;&lt;br&gt;&lt;strong&gt;PATIENTS:&lt;/strong&gt; We studied 688 patients with sepsis, trauma, aspiration, and hypertransfusion.&lt;br&gt;&lt;br&gt;&lt;strong&gt;INTERVENTIONS:&lt;/strong&gt; None.&lt;br&gt;&lt;br&gt;&lt;strong&gt;MEASUREMENTS AND MAIN RESULTS:&lt;/strong&gt; Two hundred twenty-one (32%) subjects developed ARDS with a 60-day mortality rate of 46%. Significant predictors for ARDS on multivariate analyses included trauma (adjusted odds ratio [ORadj] 0.22, 95% confidence interval [CI] 0.09-0.53), diabetes (ORadj 0.58, 95% CI 0.36-0.92), direct pulmonary injury (ORadj 3.78, 95% CI 2.45-5.81), hematologic failure (ORadj 1.84, 95% CI 1.05-3.21), transfer from another hospital (ORadj 2.08, 95% CI 1.33-3.25), respiratory rate &gt;33 breaths/min (ORadj 2.39, 95% CI 1.51-3.78), hematocrit &gt;37.5% (ORadj 1.77, 95% CI 1.14-2.77), arterial pH &lt;7.33 (ORadj 2.00, 95% CI 1.31-3.05), and albumin &lt;/=2.3 g/dL (ORadj 1.80, 95% CI 1.18-2.73). Packed red blood cell transfusion was associated with ARDS (ORadj 1.52, 95% CI 1.00-2.31, p = .05). Significant predictors for mortality in ARDS included age (ORadj 1.96, 95% CI 1.50-2.53), Acute Physiology and Chronic Health Evaluation III score (ORadj 1.78, 95% CI 1.16-2.73), trauma (ORadj 0.075, 95% CI 0.006-0.96), corticosteroids before ARDS (ORadj 4.65, 95% CI 1.47-14.7), and arterial pH &lt;7.22 (ORadj 2.32, 95% CI 1.02-5.25). Packed red blood cell transfusions were associated with increased mortality in ARDS (ORadj 1.10 per unit transfused; 95% CI 1.04-1.17) with a significant dose-dependent response (p = .02).&lt;br&gt;&lt;br&gt;&lt;strong&gt;CONCLUSIONS:&lt;/strong&gt; Important predictors for the development of and mortality in ARDS were identified. Packed red blood cell transfusion was associated with an increased development of and increased mortality in ARDS.","author":[{"family":"Gong","given":"Michelle Ng"},{"family":"Thompson","given":"B Taylor"},{"family":"Williams","given":"Paige"},{"family":"Pothier","given":"Lucille"},{"family":"Boyce","given":"Paul D"},{"family":"Christiani","given":"David C"}],"authorYearDisplayFormat":false,"citation-label":"1791268","container-title":"Critical Care Medicine","container-title-short":"Crit. Care Med.","id":"1791268","invisible":false,"issue":"6","issued":{"date-parts":[["2005","6"]]},"journalAbbreviation":"Crit. Care Med.","page":"1191-1198","suppress-author":false,"title":"Clinical predictors of and mortality in acute respiratory distress syndrome: potential role of red cell transfusion.","type":"article-journal","volume":"33"}]</w:instrText>
            </w:r>
            <w:r w:rsidR="00063F2A" w:rsidRPr="003B399E">
              <w:rPr>
                <w:rFonts w:ascii="Times New Roman" w:hAnsi="Times New Roman" w:cs="Times New Roman"/>
                <w:sz w:val="18"/>
                <w:szCs w:val="18"/>
              </w:rPr>
              <w:fldChar w:fldCharType="separate"/>
            </w:r>
            <w:r w:rsidR="008D4385" w:rsidRPr="003B399E">
              <w:rPr>
                <w:rFonts w:ascii="Times New Roman" w:hAnsi="Times New Roman" w:cs="Times New Roman"/>
                <w:noProof/>
                <w:sz w:val="18"/>
                <w:szCs w:val="18"/>
              </w:rPr>
              <w:t>(Singer et al., 2016; Neto et al., 2016; ARDS Definition Task Force et al., 2012; Gong et al., 2005)</w:t>
            </w:r>
            <w:r w:rsidR="00063F2A" w:rsidRPr="003B399E">
              <w:rPr>
                <w:rFonts w:ascii="Times New Roman" w:hAnsi="Times New Roman" w:cs="Times New Roman"/>
                <w:sz w:val="18"/>
                <w:szCs w:val="18"/>
              </w:rPr>
              <w:fldChar w:fldCharType="end"/>
            </w:r>
            <w:r w:rsidR="00063F2A" w:rsidRPr="003B399E">
              <w:rPr>
                <w:rFonts w:ascii="Times New Roman" w:hAnsi="Times New Roman" w:cs="Times New Roman"/>
                <w:sz w:val="18"/>
                <w:szCs w:val="18"/>
              </w:rPr>
              <w:t xml:space="preserve"> </w:t>
            </w:r>
            <w:r w:rsidR="00063F2A" w:rsidRPr="003B399E">
              <w:rPr>
                <w:rFonts w:ascii="Times New Roman" w:eastAsia="MS Gothic" w:hAnsi="Times New Roman" w:cs="Times New Roman"/>
                <w:sz w:val="18"/>
                <w:szCs w:val="18"/>
              </w:rPr>
              <w:t>Prospective clinical outcomes included 30-day mortality, duration of ICU stay, acute kidney injury,</w:t>
            </w:r>
            <w:r w:rsidR="00063F2A" w:rsidRPr="003B399E">
              <w:rPr>
                <w:rFonts w:ascii="Times New Roman" w:eastAsia="MS Gothic" w:hAnsi="Times New Roman" w:cs="Times New Roman"/>
                <w:sz w:val="18"/>
                <w:szCs w:val="18"/>
              </w:rPr>
              <w:fldChar w:fldCharType="begin"/>
            </w:r>
            <w:r w:rsidR="008D4385" w:rsidRPr="003B399E">
              <w:rPr>
                <w:rFonts w:ascii="Times New Roman" w:eastAsia="MS Gothic" w:hAnsi="Times New Roman" w:cs="Times New Roman"/>
                <w:sz w:val="18"/>
                <w:szCs w:val="18"/>
              </w:rPr>
              <w:instrText>ADDIN F1000_CSL_CITATION&lt;~#@#~&gt;[{"DOI":"10.1186/cc5713","First":false,"Last":false,"PMCID":"PMC2206446","PMID":"17331245","abstract":"&lt;strong&gt;INTRODUCTION:&lt;/strong&gt; Acute kidney injury (AKI) is a complex disorder for which currently there is no accepted definition. Having a uniform standard for diagnosing and classifying AKI would enhance our ability to manage these patients. Future clinical and translational research in AKI will require collaborative networks of investigators drawn from various disciplines, dissemination of information via multidisciplinary joint conferences and publications, and improved translation of knowledge from pre-clinical research. We describe an initiative to develop uniform standards for defining and classifying AKI and to establish a forum for multidisciplinary interaction to improve care for patients with or at risk for AKI.&lt;br&gt;&lt;br&gt;&lt;strong&gt;METHODS:&lt;/strong&gt; Members representing key societies in critical care and nephrology along with additional experts in adult and pediatric AKI participated in a two day conference in Amsterdam, The Netherlands, in September 2005 and were assigned to one of three workgroups. Each group's discussions formed the basis for draft recommendations that were later refined and improved during discussion with the larger group. Dissenting opinions were also noted. The final draft recommendations were circulated to all participants and subsequently agreed upon as the consensus recommendations for this report. Participating societies endorsed the recommendations and agreed to help disseminate the results.&lt;br&gt;&lt;br&gt;&lt;strong&gt;RESULTS:&lt;/strong&gt; The term AKI is proposed to represent the entire spectrum of acute renal failure. Diagnostic criteria for AKI are proposed based on acute alterations in serum creatinine or urine output. A staging system for AKI which reflects quantitative changes in serum creatinine and urine output has been developed.&lt;br&gt;&lt;br&gt;&lt;strong&gt;CONCLUSION:&lt;/strong&gt; We describe the formation of a multidisciplinary collaborative network focused on AKI. We have proposed uniform standards for diagnosing and classifying AKI which will need to be validated in future studies. The Acute Kidney Injury Network offers a mechanism for proceeding with efforts to improve patient outcomes.","author":[{"family":"Mehta","given":"Ravindra L"},{"family":"Kellum","given":"John A"},{"family":"Shah","given":"Sudhir V"},{"family":"Molitoris","given":"Bruce A"},{"family":"Ronco","given":"Claudio"},{"family":"Warnock","given":"David G"},{"family":"Levin","given":"Adeera"},{"family":"Acute Kidney Injury Network"}],"authorYearDisplayFormat":false,"citation-label":"595913","container-title":"Critical Care","container-title-short":"Crit. Care","id":"595913","invisible":false,"issue":"2","issued":{"date-parts":[["2007"]]},"journalAbbreviation":"Crit. Care","page":"R31","suppress-author":false,"title":"Acute Kidney Injury Network: report of an initiative to improve outcomes in acute kidney injury.","type":"article-journal","volume":"11"}]</w:instrText>
            </w:r>
            <w:r w:rsidR="00063F2A" w:rsidRPr="003B399E">
              <w:rPr>
                <w:rFonts w:ascii="Times New Roman" w:eastAsia="MS Gothic" w:hAnsi="Times New Roman" w:cs="Times New Roman"/>
                <w:sz w:val="18"/>
                <w:szCs w:val="18"/>
              </w:rPr>
              <w:fldChar w:fldCharType="separate"/>
            </w:r>
            <w:r w:rsidR="008D4385" w:rsidRPr="003B399E">
              <w:rPr>
                <w:rFonts w:ascii="Times New Roman" w:eastAsia="MS Gothic" w:hAnsi="Times New Roman" w:cs="Times New Roman"/>
                <w:noProof/>
                <w:sz w:val="18"/>
                <w:szCs w:val="18"/>
              </w:rPr>
              <w:t>(Mehta et al., 2007)</w:t>
            </w:r>
            <w:r w:rsidR="00063F2A" w:rsidRPr="003B399E">
              <w:rPr>
                <w:rFonts w:ascii="Times New Roman" w:eastAsia="MS Gothic" w:hAnsi="Times New Roman" w:cs="Times New Roman"/>
                <w:sz w:val="18"/>
                <w:szCs w:val="18"/>
              </w:rPr>
              <w:fldChar w:fldCharType="end"/>
            </w:r>
            <w:r w:rsidR="00063F2A" w:rsidRPr="003B399E">
              <w:rPr>
                <w:rFonts w:ascii="Times New Roman" w:eastAsia="MS Gothic" w:hAnsi="Times New Roman" w:cs="Times New Roman"/>
                <w:sz w:val="18"/>
                <w:szCs w:val="18"/>
              </w:rPr>
              <w:t xml:space="preserve"> incident shock (defined as need for vasopressors) and ventilator-free days (VFD).</w:t>
            </w:r>
            <w:r w:rsidR="00063F2A" w:rsidRPr="003B399E">
              <w:rPr>
                <w:rFonts w:ascii="Times New Roman" w:eastAsia="MS Gothic" w:hAnsi="Times New Roman" w:cs="Times New Roman"/>
                <w:sz w:val="18"/>
                <w:szCs w:val="18"/>
              </w:rPr>
              <w:fldChar w:fldCharType="begin"/>
            </w:r>
            <w:r w:rsidR="008D4385" w:rsidRPr="003B399E">
              <w:rPr>
                <w:rFonts w:ascii="Times New Roman" w:eastAsia="MS Gothic" w:hAnsi="Times New Roman" w:cs="Times New Roman"/>
                <w:sz w:val="18"/>
                <w:szCs w:val="18"/>
              </w:rPr>
              <w:instrText>ADDIN F1000_CSL_CITATION&lt;~#@#~&gt;[{"DOI":"10.1186/cc13775","First":false,"Last":false,"PMCID":"PMC4056625","PMID":"25029020","author":[{"family":"Kalanuria","given":"Atul Ashok"},{"family":"Ziai","given":"Wendy"},{"family":"Mirski","given":"Marek"}],"authorYearDisplayFormat":false,"citation-label":"2337100","container-title":"Critical Care","container-title-short":"Crit. Care","id":"2337100","invisible":false,"issue":"2","issued":{"date-parts":[["2014","3","18"]]},"journalAbbreviation":"Crit. Care","page":"208","suppress-author":false,"title":"Ventilator-associated pneumonia in the ICU.","type":"article-journal","volume":"18"}]</w:instrText>
            </w:r>
            <w:r w:rsidR="00063F2A" w:rsidRPr="003B399E">
              <w:rPr>
                <w:rFonts w:ascii="Times New Roman" w:eastAsia="MS Gothic" w:hAnsi="Times New Roman" w:cs="Times New Roman"/>
                <w:sz w:val="18"/>
                <w:szCs w:val="18"/>
              </w:rPr>
              <w:fldChar w:fldCharType="separate"/>
            </w:r>
            <w:r w:rsidR="008D4385" w:rsidRPr="003B399E">
              <w:rPr>
                <w:rFonts w:ascii="Times New Roman" w:eastAsia="MS Gothic" w:hAnsi="Times New Roman" w:cs="Times New Roman"/>
                <w:noProof/>
                <w:sz w:val="18"/>
                <w:szCs w:val="18"/>
              </w:rPr>
              <w:t>(Kalanuria et al., 2014)</w:t>
            </w:r>
            <w:r w:rsidR="00063F2A" w:rsidRPr="003B399E">
              <w:rPr>
                <w:rFonts w:ascii="Times New Roman" w:eastAsia="MS Gothic" w:hAnsi="Times New Roman" w:cs="Times New Roman"/>
                <w:sz w:val="18"/>
                <w:szCs w:val="18"/>
              </w:rPr>
              <w:fldChar w:fldCharType="end"/>
            </w:r>
            <w:r w:rsidR="00063F2A" w:rsidRPr="003B399E">
              <w:rPr>
                <w:rFonts w:ascii="Times New Roman" w:eastAsia="MS Gothic" w:hAnsi="Times New Roman" w:cs="Times New Roman"/>
                <w:sz w:val="18"/>
                <w:szCs w:val="18"/>
              </w:rPr>
              <w:t xml:space="preserve"> </w:t>
            </w:r>
          </w:p>
          <w:p w14:paraId="0DE52791" w14:textId="7C631F7F" w:rsidR="00561F2D" w:rsidRPr="003B399E" w:rsidRDefault="00561F2D" w:rsidP="003B399E">
            <w:pPr>
              <w:tabs>
                <w:tab w:val="left" w:pos="5400"/>
              </w:tabs>
              <w:rPr>
                <w:rFonts w:ascii="Times New Roman" w:hAnsi="Times New Roman" w:cs="Times New Roman"/>
                <w:sz w:val="18"/>
                <w:szCs w:val="18"/>
              </w:rPr>
            </w:pPr>
          </w:p>
        </w:tc>
      </w:tr>
      <w:tr w:rsidR="00EB6E97" w:rsidRPr="003B399E" w14:paraId="5C2F6DE6" w14:textId="77777777" w:rsidTr="00EB6E97">
        <w:trPr>
          <w:trHeight w:val="294"/>
        </w:trPr>
        <w:tc>
          <w:tcPr>
            <w:tcW w:w="2119" w:type="dxa"/>
          </w:tcPr>
          <w:p w14:paraId="42AD9E31"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Data sources/ measurement</w:t>
            </w:r>
          </w:p>
        </w:tc>
        <w:tc>
          <w:tcPr>
            <w:tcW w:w="616" w:type="dxa"/>
          </w:tcPr>
          <w:p w14:paraId="199AA8F3"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8</w:t>
            </w:r>
            <w:r w:rsidRPr="003B399E">
              <w:rPr>
                <w:rFonts w:ascii="Times New Roman" w:hAnsi="Times New Roman" w:cs="Times New Roman"/>
                <w:bCs/>
                <w:sz w:val="18"/>
                <w:szCs w:val="18"/>
              </w:rPr>
              <w:t>*</w:t>
            </w:r>
          </w:p>
        </w:tc>
        <w:tc>
          <w:tcPr>
            <w:tcW w:w="2143" w:type="dxa"/>
          </w:tcPr>
          <w:p w14:paraId="5D504260"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i/>
                <w:sz w:val="18"/>
                <w:szCs w:val="18"/>
              </w:rPr>
              <w:t xml:space="preserve"> </w:t>
            </w:r>
            <w:r w:rsidRPr="003B399E">
              <w:rPr>
                <w:rFonts w:ascii="Times New Roman" w:hAnsi="Times New Roman" w:cs="Times New Roman"/>
                <w:sz w:val="18"/>
                <w:szCs w:val="18"/>
              </w:rPr>
              <w:t>For each variable of interest, give sources of data and details of methods of assessment (measurement). Describe comparability of assessment methods if there is more than one group</w:t>
            </w:r>
          </w:p>
        </w:tc>
        <w:tc>
          <w:tcPr>
            <w:tcW w:w="720" w:type="dxa"/>
          </w:tcPr>
          <w:p w14:paraId="6B0F3D61" w14:textId="58EC5516" w:rsidR="00561F2D" w:rsidRPr="003B399E" w:rsidRDefault="008D4385" w:rsidP="003B399E">
            <w:pPr>
              <w:tabs>
                <w:tab w:val="left" w:pos="5400"/>
              </w:tabs>
              <w:rPr>
                <w:rFonts w:ascii="Times New Roman" w:hAnsi="Times New Roman" w:cs="Times New Roman"/>
                <w:i/>
                <w:sz w:val="18"/>
                <w:szCs w:val="18"/>
              </w:rPr>
            </w:pPr>
            <w:r w:rsidRPr="003B399E">
              <w:rPr>
                <w:rFonts w:ascii="Times New Roman" w:hAnsi="Times New Roman" w:cs="Times New Roman"/>
                <w:i/>
                <w:sz w:val="18"/>
                <w:szCs w:val="18"/>
              </w:rPr>
              <w:t>4</w:t>
            </w:r>
          </w:p>
        </w:tc>
        <w:tc>
          <w:tcPr>
            <w:tcW w:w="4320" w:type="dxa"/>
          </w:tcPr>
          <w:p w14:paraId="10793D68" w14:textId="52BB171C" w:rsidR="00D61FFE" w:rsidRPr="00D61FFE" w:rsidRDefault="00803CCC" w:rsidP="00D61FFE">
            <w:pPr>
              <w:ind w:firstLine="720"/>
              <w:jc w:val="both"/>
              <w:rPr>
                <w:rFonts w:ascii="Times New Roman" w:eastAsia="MS Gothic" w:hAnsi="Times New Roman" w:cs="Times New Roman"/>
                <w:color w:val="000000"/>
                <w:sz w:val="18"/>
                <w:szCs w:val="18"/>
              </w:rPr>
            </w:pPr>
            <w:r w:rsidRPr="00D61FFE">
              <w:rPr>
                <w:rFonts w:ascii="Times New Roman" w:hAnsi="Times New Roman" w:cs="Times New Roman"/>
                <w:i/>
                <w:sz w:val="18"/>
                <w:szCs w:val="18"/>
              </w:rPr>
              <w:t>“</w:t>
            </w:r>
            <w:r w:rsidR="00063F2A" w:rsidRPr="00D61FFE">
              <w:rPr>
                <w:rFonts w:ascii="Times New Roman" w:eastAsia="MS Gothic" w:hAnsi="Times New Roman" w:cs="Times New Roman"/>
                <w:sz w:val="18"/>
                <w:szCs w:val="18"/>
                <w:u w:val="single"/>
              </w:rPr>
              <w:t xml:space="preserve">Laboratory analyses: </w:t>
            </w:r>
            <w:r w:rsidR="00D61FFE" w:rsidRPr="00D61FFE">
              <w:rPr>
                <w:rFonts w:ascii="Times New Roman" w:eastAsia="MS Gothic" w:hAnsi="Times New Roman" w:cs="Times New Roman"/>
                <w:color w:val="000000"/>
                <w:sz w:val="18"/>
                <w:szCs w:val="18"/>
              </w:rPr>
              <w:t xml:space="preserve">We extracted bacterial DNA directly from oral swabs and ETAs and amplified the V4 hypervariable region of the 16S rRNA gene for sequencing on the Illumina MiSeq platform </w:t>
            </w:r>
            <w:r w:rsidR="00D61FFE" w:rsidRPr="00D61FFE">
              <w:rPr>
                <w:rFonts w:ascii="Times New Roman" w:eastAsia="MS Gothic" w:hAnsi="Times New Roman" w:cs="Times New Roman"/>
                <w:color w:val="000000"/>
                <w:sz w:val="18"/>
                <w:szCs w:val="18"/>
              </w:rPr>
              <w:fldChar w:fldCharType="begin"/>
            </w:r>
            <w:r w:rsidR="00D61FFE" w:rsidRPr="00D61FFE">
              <w:rPr>
                <w:rFonts w:ascii="Times New Roman" w:eastAsia="MS Gothic" w:hAnsi="Times New Roman" w:cs="Times New Roman"/>
                <w:color w:val="000000"/>
                <w:sz w:val="18"/>
                <w:szCs w:val="18"/>
              </w:rPr>
              <w:instrText>ADDIN F1000_CSL_CITATION&lt;~#@#~&gt;[{"DOI":"10.1164/rccm.201210-1913OC","First":false,"Last":false,"PMCID":"PMC3734620","PMID":"23491408","abstract":"&lt;strong&gt;RATIONALE:&lt;/strong&gt; Results from 16S rDNA-encoding gene sequence-based, culture-independent techniques have led to conflicting conclusions about the composition of the lower respiratory tract microbiome.&lt;br&gt;&lt;br&gt;&lt;strong&gt;OBJECTIVES:&lt;/strong&gt; To compare the microbiome of the upper and lower respiratory tract in healthy HIV-uninfected nonsmokers and smokers in a multicenter cohort.&lt;br&gt;&lt;br&gt;&lt;strong&gt;METHODS:&lt;/strong&gt; Participants were nonsmokers and smokers without significant comorbidities. Oral washes and bronchoscopic alveolar lavages were collected in a standardized manner. Sequence analysis of bacterial 16S rRNA-encoding genes was performed, and the neutral model in community ecology was used to identify bacteria that were the most plausible members of a lung microbiome.&lt;br&gt;&lt;br&gt;&lt;strong&gt;MEASUREMENTS AND MAIN RESULTS:&lt;/strong&gt; Sixty-four participants were enrolled. Most bacteria identified in the lung were also in the mouth, but specific bacteria such as Enterobacteriaceae, Haemophilus, Methylobacterium, and Ralstonia species were disproportionally represented in the lungs compared with values predicted by the neutral model. Tropheryma was also in the lung, but not the mouth. Mouth communities differed between nonsmokers and smokers in species such as Porphyromonas, Neisseria, and Gemella, but lung bacterial populations did not.&lt;br&gt;&lt;br&gt;&lt;strong&gt;CONCLUSIONS:&lt;/strong&gt; This study is the largest to examine composition of the lower respiratory tract microbiome in healthy individuals and the first to use the neutral model to compare the lung to the mouth. Specific bacteria appear in significantly higher abundance in the lungs than would be expected if they originated from the mouth, demonstrating that the lung microbiome does not derive entirely from the mouth. The mouth microbiome differs in nonsmokers and smokers, but lung communities were not significantly altered by smoking.","author":[{"family":"Morris","given":"Alison"},{"family":"Beck","given":"James M"},{"family":"Schloss","given":"Patrick D"},{"family":"Campbell","given":"Thomas B"},{"family":"Crothers","given":"Kristina"},{"family":"Curtis","given":"Jeffrey L"},{"family":"Flores","given":"Sonia C"},{"family":"Fontenot","given":"Andrew P"},{"family":"Ghedin","given":"Elodie"},{"family":"Huang","given":"Laurence"},{"family":"Jablonski","given":"Kathleen"},{"family":"Kleerup","given":"Eric"},{"family":"Lynch","given":"Susan V"},{"family":"Sodergren","given":"Erica"},{"family":"Twigg","given":"Homer"},{"family":"Young","given":"Vincent B"},{"family":"Bassis","given":"Christine M"},{"family":"Venkataraman","given":"Arvind"},{"family":"Schmidt","given":"Thomas M"},{"family":"Weinstock","given":"George M"},{"family":"Lung HIV Microbiome Project"}],"authorYearDisplayFormat":false,"citation-label":"586795","container-title":"American Journal of Respiratory and Critical Care Medicine","container-title-short":"Am. J. Respir. Crit. Care Med.","id":"586795","invisible":false,"issue":"10","issued":{"date-parts":[["2013","5","15"]]},"journalAbbreviation":"Am. J. Respir. Crit. Care Med.","page":"1067-1075","suppress-author":false,"title":"Comparison of the respiratory microbiome in healthy nonsmokers and smokers.","type":"article-journal","volume":"187"}]</w:instrText>
            </w:r>
            <w:r w:rsidR="00D61FFE" w:rsidRPr="00D61FFE">
              <w:rPr>
                <w:rFonts w:ascii="Times New Roman" w:eastAsia="MS Gothic" w:hAnsi="Times New Roman" w:cs="Times New Roman"/>
                <w:color w:val="000000"/>
                <w:sz w:val="18"/>
                <w:szCs w:val="18"/>
              </w:rPr>
              <w:fldChar w:fldCharType="separate"/>
            </w:r>
            <w:r w:rsidR="00D61FFE" w:rsidRPr="00D61FFE">
              <w:rPr>
                <w:rFonts w:ascii="Times New Roman" w:eastAsia="MS Gothic" w:hAnsi="Times New Roman" w:cs="Times New Roman"/>
                <w:noProof/>
                <w:color w:val="000000"/>
                <w:sz w:val="18"/>
                <w:szCs w:val="18"/>
              </w:rPr>
              <w:t>(Morris et al., 2013)</w:t>
            </w:r>
            <w:r w:rsidR="00D61FFE" w:rsidRPr="00D61FFE">
              <w:rPr>
                <w:rFonts w:ascii="Times New Roman" w:eastAsia="MS Gothic" w:hAnsi="Times New Roman" w:cs="Times New Roman"/>
                <w:color w:val="000000"/>
                <w:sz w:val="18"/>
                <w:szCs w:val="18"/>
              </w:rPr>
              <w:fldChar w:fldCharType="end"/>
            </w:r>
            <w:r w:rsidR="00D61FFE" w:rsidRPr="00D61FFE">
              <w:rPr>
                <w:rFonts w:ascii="Times New Roman" w:eastAsia="MS Gothic" w:hAnsi="Times New Roman" w:cs="Times New Roman"/>
                <w:color w:val="000000"/>
                <w:sz w:val="18"/>
                <w:szCs w:val="18"/>
              </w:rPr>
              <w:t xml:space="preserve">. We also performed qPCR of the V3-V4 region of the 16S rRNA gene to obtain absolute bacterial loads in each sample </w:t>
            </w:r>
            <w:r w:rsidR="00D61FFE" w:rsidRPr="00D61FFE">
              <w:rPr>
                <w:rFonts w:ascii="Times New Roman" w:eastAsia="MS Gothic" w:hAnsi="Times New Roman" w:cs="Times New Roman"/>
                <w:color w:val="000000"/>
                <w:sz w:val="18"/>
                <w:szCs w:val="18"/>
              </w:rPr>
              <w:fldChar w:fldCharType="begin"/>
            </w:r>
            <w:r w:rsidR="00D61FFE" w:rsidRPr="00D61FFE">
              <w:rPr>
                <w:rFonts w:ascii="Times New Roman" w:eastAsia="MS Gothic" w:hAnsi="Times New Roman" w:cs="Times New Roman"/>
                <w:color w:val="000000"/>
                <w:sz w:val="18"/>
                <w:szCs w:val="18"/>
              </w:rPr>
              <w:instrText>ADDIN F1000_CSL_CITATION&lt;~#@#~&gt;[{"DOI":"10.1186/1471-2180-12-56","First":false,"Last":false,"PMCID":"PMC3464140","PMID":"22510143","abstract":"&lt;strong&gt;BACKGROUND:&lt;/strong&gt; Bacterial load quantification is a critical component of bacterial community analysis, but a culture-independent method capable of detecting and quantifying diverse bacteria is needed. Based on our analysis of a diverse collection of 16 S rRNA gene sequences, we designed a broad-coverage quantitative real-time PCR (qPCR) assay--BactQuant--for quantifying 16 S rRNA gene copy number and estimating bacterial load. We further utilized in silico evaluation to complement laboratory-based qPCR characterization to validate BactQuant.&lt;br&gt;&lt;br&gt;&lt;strong&gt;METHODS:&lt;/strong&gt; The aligned core set of 4,938 16 S rRNA gene sequences in the Greengenes database were analyzed for assay design. Cloned plasmid standards were generated and quantified using a qPCR-based approach. Coverage analysis was performed computationally using &gt;670,000 sequences and further evaluated following the Minimum Information for Publication of Quantitative Real-Time PCR Experiments (MIQE) guidelines.&lt;br&gt;&lt;br&gt;&lt;strong&gt;RESULTS:&lt;/strong&gt; A bacterial TaqMan® qPCR assay targeting a 466 bp region in V3-V4 was designed. Coverage analysis showed that 91% of the phyla, 96% of the genera, and &gt;80% of the 89,537 species analyzed contained at least one perfect sequence match to the BactQuant assay. Of the 106 bacterial species evaluated, amplification efficiencies ranged from 81 to 120%, with r2-value of &gt;0.99, including species with sequence mismatches. Inter- and intra-run coefficient of variance was &lt; 3% and &lt; 16% for Ct and copy number, respectively.&lt;br&gt;&lt;br&gt;&lt;strong&gt;CONCLUSIONS:&lt;/strong&gt; The BactQuant assay offers significantly broader coverage than a previously reported universal bacterial quantification assay BactQuant in vitro performance was better than the in silico predictions.","author":[{"family":"Liu","given":"Cindy M"},{"family":"Aziz","given":"Maliha"},{"family":"Kachur","given":"Sergey"},{"family":"Hsueh","given":"Po-Ren"},{"family":"Huang","given":"Yu-Tsung"},{"family":"Keim","given":"Paul"},{"family":"Price","given":"Lance B"}],"authorYearDisplayFormat":false,"citation-label":"5179545","container-title":"BMC Microbiology","container-title-short":"BMC Microbiol.","id":"5179545","invisible":false,"issued":{"date-parts":[["2012","4","17"]]},"journalAbbreviation":"BMC Microbiol.","page":"56","suppress-author":false,"title":"BactQuant: an enhanced broad-coverage bacterial quantitative real-time PCR assay.","type":"article-journal","volume":"12"}]</w:instrText>
            </w:r>
            <w:r w:rsidR="00D61FFE" w:rsidRPr="00D61FFE">
              <w:rPr>
                <w:rFonts w:ascii="Times New Roman" w:eastAsia="MS Gothic" w:hAnsi="Times New Roman" w:cs="Times New Roman"/>
                <w:color w:val="000000"/>
                <w:sz w:val="18"/>
                <w:szCs w:val="18"/>
              </w:rPr>
              <w:fldChar w:fldCharType="separate"/>
            </w:r>
            <w:r w:rsidR="00D61FFE" w:rsidRPr="00D61FFE">
              <w:rPr>
                <w:rFonts w:ascii="Times New Roman" w:eastAsia="MS Gothic" w:hAnsi="Times New Roman" w:cs="Times New Roman"/>
                <w:noProof/>
                <w:color w:val="000000"/>
                <w:sz w:val="18"/>
                <w:szCs w:val="18"/>
              </w:rPr>
              <w:t>(Liu et al., 2012)</w:t>
            </w:r>
            <w:r w:rsidR="00D61FFE" w:rsidRPr="00D61FFE">
              <w:rPr>
                <w:rFonts w:ascii="Times New Roman" w:eastAsia="MS Gothic" w:hAnsi="Times New Roman" w:cs="Times New Roman"/>
                <w:color w:val="000000"/>
                <w:sz w:val="18"/>
                <w:szCs w:val="18"/>
              </w:rPr>
              <w:fldChar w:fldCharType="end"/>
            </w:r>
            <w:r w:rsidR="00D61FFE" w:rsidRPr="00D61FFE">
              <w:rPr>
                <w:rFonts w:ascii="Times New Roman" w:eastAsia="MS Gothic" w:hAnsi="Times New Roman" w:cs="Times New Roman"/>
                <w:color w:val="000000"/>
                <w:sz w:val="18"/>
                <w:szCs w:val="18"/>
              </w:rPr>
              <w:t xml:space="preserve">. For plasma biomarker analyses, we constructed a custom Luminex multi-analyte panel (R&amp;D Systems, Minneapolis) </w:t>
            </w:r>
            <w:r w:rsidR="00D61FFE" w:rsidRPr="00D61FFE">
              <w:rPr>
                <w:rFonts w:ascii="Times New Roman" w:eastAsia="MS Gothic" w:hAnsi="Times New Roman" w:cs="Times New Roman"/>
                <w:color w:val="000000"/>
                <w:sz w:val="18"/>
                <w:szCs w:val="18"/>
              </w:rPr>
              <w:fldChar w:fldCharType="begin"/>
            </w:r>
            <w:r w:rsidR="00D61FFE" w:rsidRPr="00D61FFE">
              <w:rPr>
                <w:rFonts w:ascii="Times New Roman" w:eastAsia="MS Gothic" w:hAnsi="Times New Roman" w:cs="Times New Roman"/>
                <w:color w:val="000000"/>
                <w:sz w:val="18"/>
                <w:szCs w:val="18"/>
              </w:rPr>
              <w:instrText>ADDIN F1000_CSL_CITATION&lt;~#@#~&gt;[{"DOI":"10.1016/j.cyto.2016.09.018","First":false,"Last":false,"PMCID":"PMC5463452","PMID":"27940218","abstract":"&lt;strong&gt;BACKGROUND:&lt;/strong&gt; Circulating cytokines, chemokines, and soluble cytokine receptors can serve as biomarkers of inflammation and immune dysregulation. Good reliability of multiplex platforms, which allow for simultaneous, comprehensive biomarker assessment, is critical for their utility in epidemiologic studies. We examined the reliability of the Meso-Scale Discovery (MSD) platform to simultaneously quantitate 15 cytokines and chemokines and the Luminex platform (R&amp;D Systems) to quantitate 5 soluble receptors and 2 chemokines and cytokines and evaluated long-term within-person correlation of these biomarkers.&lt;br&gt;&lt;br&gt;&lt;strong&gt;METHODS:&lt;/strong&gt; The detectability and reliability of these assay systems were assessed using the same external controls across plates and archived sera from 250 HIV(-) men in the Multicenter AIDS Cohort Study. Using up to four visits per person from 1984 to 2009, age-adjusted intraclass correlation coefficients (ICC) of biomarkers with &gt;80% detectability (CCL11, CXCL8, CXCL10, CCL2, CCL4, CCL13, CCL17, CXCL13, IL-10, IL-12p70, IL-6, TNF-α, BAFF, sCD14, sCD27, sgp130, sIL-2Rα, and sTNF-R2) were obtained using linear mixed models.&lt;br&gt;&lt;br&gt;&lt;strong&gt;RESULTS:&lt;/strong&gt; Most biomarkers were detectable in 80% of control samples; IFN-γ, GM-CSF, and IL-2 were undetectable in &gt;20% of samples. Among the HIV-uninfected men, most biomarkers showed fair to strong within-person correlation (ICC&gt;0.40) up to 15years. The ICC for CXCL8 was good in the short term but decreased with increasing time between visits, becoming lower (ICC&lt; 0.40) after 8years.&lt;br&gt;&lt;br&gt;&lt;strong&gt;CONCLUSIONS:&lt;/strong&gt; These multiplexed assays showed acceptable reliability for use in epidemiologic research, despite some technical variability and limitations in cytokine quantitation. Most biomarkers displayed moderate-to-excellent intra-individual variability over the long term, suggesting their utility in prospective studies investigating etiologic associations with diverse chronic conditions.&lt;br&gt;&lt;br&gt;Copyright © 2016 Elsevier Ltd. All rights reserved.","author":[{"family":"McKay","given":"Heather S"},{"family":"Margolick","given":"Joseph B"},{"family":"Martínez-Maza","given":"Otoniel"},{"family":"Lopez","given":"Joseph"},{"family":"Phair","given":"John"},{"family":"Rappocciolo","given":"Giovanna"},{"family":"Denny","given":"Thomas N"},{"family":"Magpantay","given":"Larry I"},{"family":"Jacobson","given":"Lisa P"},{"family":"Bream","given":"Jay H"}],"authorYearDisplayFormat":false,"citation-label":"4180631","container-title":"Cytokine","container-title-short":"Cytokine","id":"4180631","invisible":false,"issued":{"date-parts":[["2017","2"]]},"journalAbbreviation":"Cytokine","page":"185-192","suppress-author":false,"title":"Multiplex assay reliability and long-term intra-individual variation of serologic inflammatory biomarkers.","type":"article-journal","volume":"90"}]</w:instrText>
            </w:r>
            <w:r w:rsidR="00D61FFE" w:rsidRPr="00D61FFE">
              <w:rPr>
                <w:rFonts w:ascii="Times New Roman" w:eastAsia="MS Gothic" w:hAnsi="Times New Roman" w:cs="Times New Roman"/>
                <w:color w:val="000000"/>
                <w:sz w:val="18"/>
                <w:szCs w:val="18"/>
              </w:rPr>
              <w:fldChar w:fldCharType="separate"/>
            </w:r>
            <w:r w:rsidR="00D61FFE" w:rsidRPr="00D61FFE">
              <w:rPr>
                <w:rFonts w:ascii="Times New Roman" w:eastAsia="MS Gothic" w:hAnsi="Times New Roman" w:cs="Times New Roman"/>
                <w:noProof/>
                <w:color w:val="000000"/>
                <w:sz w:val="18"/>
                <w:szCs w:val="18"/>
              </w:rPr>
              <w:t>(McKay et al., 2017)</w:t>
            </w:r>
            <w:r w:rsidR="00D61FFE" w:rsidRPr="00D61FFE">
              <w:rPr>
                <w:rFonts w:ascii="Times New Roman" w:eastAsia="MS Gothic" w:hAnsi="Times New Roman" w:cs="Times New Roman"/>
                <w:color w:val="000000"/>
                <w:sz w:val="18"/>
                <w:szCs w:val="18"/>
              </w:rPr>
              <w:fldChar w:fldCharType="end"/>
            </w:r>
            <w:r w:rsidR="00D61FFE" w:rsidRPr="00D61FFE">
              <w:rPr>
                <w:rFonts w:ascii="Times New Roman" w:eastAsia="MS Gothic" w:hAnsi="Times New Roman" w:cs="Times New Roman"/>
                <w:color w:val="000000"/>
                <w:sz w:val="18"/>
                <w:szCs w:val="18"/>
              </w:rPr>
              <w:t xml:space="preserve"> targeting biomarkers associated with pneumonia diagnosis (procalcitonin) and acute lung injury outcomes (RAGE: receptor of advanced glycation end-products, IL-6: interleukin-6, IL-8: interleukin-8, sTNFR1: soluble tumor necrosis factor receptor 1) </w:t>
            </w:r>
            <w:r w:rsidR="00D61FFE" w:rsidRPr="00D61FFE">
              <w:rPr>
                <w:rFonts w:ascii="Times New Roman" w:eastAsia="MS Gothic" w:hAnsi="Times New Roman" w:cs="Times New Roman"/>
                <w:color w:val="000000"/>
                <w:sz w:val="18"/>
                <w:szCs w:val="18"/>
              </w:rPr>
              <w:fldChar w:fldCharType="begin"/>
            </w:r>
            <w:r w:rsidR="00D61FFE" w:rsidRPr="00D61FFE">
              <w:rPr>
                <w:rFonts w:ascii="Times New Roman" w:eastAsia="MS Gothic" w:hAnsi="Times New Roman" w:cs="Times New Roman"/>
                <w:color w:val="000000"/>
                <w:sz w:val="18"/>
                <w:szCs w:val="18"/>
              </w:rPr>
              <w:instrText>ADDIN F1000_CSL_CITATION&lt;~#@#~&gt;[{"DOI":"10.1016/S2213-2600(14)70097-9","First":false,"Last":false,"PMCID":"PMC4154544","PMID":"24853585","abstract":"BACKGROUND: Subphenotypes have been identified within heterogeneous diseases such as asthma and breast cancer, with important therapeutic implications. We assessed whether subphenotypes exist within acute respiratory distress syndrome (ARDS), another heterogeneous disorder.METHODS: We used data from two ARDS randomised controlled trials (ARMA trial and ALVEOLI trial), sponsored by the National Heart, Lung, and Blood Institute. We applied latent class modelling to identify subphenotypes using clinical and biological data. We modelled data from both studies independently. We then tested the association of subphenotypes with clinical outcomes in both cohorts and with the response to positive end-expiratory pressure (PEEP) in the ALVEOLI cohort.FINDINGS: We analysed data for 1022 patients: 473 in the ARMA cohort and 549 in the ALVEOLI cohort. Independent latent class models indicated that a two-class (ie, two subphenotype) model was the best fit for both cohorts. In both cohorts, we identified a hyperinflammatory subphenotype (phenotype 2) that was characterised by higher plasma concentrations of inflammatory biomarkers, a higher prevalence of vasopressor use, lower serum bicarbonate concentrations, and a higher prevalence of sepsis than phenotype 1. Participants in phenotype 2 had higher mortality and fewer ventilator-free days and organ failure-free days in both cohorts than did those in phenotype 1 (p&lt;0·007 for all). In the ALVEOLI cohort, the effects of ventilation strategy (high PEEP vs low PEEP) on mortality, ventilator-free days and organ failure-free days differed by phenotype (p=0·049 for mortality, p=0·018 for ventilator-free days, p=0·003 for organ-failure-free days).INTERPRETATION: We have identified two subphenotypes within ARDS, one of which is categorised by more severe inflammation, shock, and metabolic acidosis and by worse clinical outcomes. Response to treatment in a randomised trial of PEEP strategies differed on the basis of subphenotype. Identification of ARDS subphenotypes might be useful in selecting patients for future clinical trials.FUNDING: National Institutes of Health.Copyright © 2014 Elsevier Ltd. All rights reserved.","author":[{"family":"Calfee","given":"Carolyn S"},{"family":"Delucchi","given":"Kevin"},{"family":"Parsons","given":"Polly E"},{"family":"Thompson","given":"B Taylor"},{"family":"Ware","given":"Lorraine B"},{"family":"Matthay","given":"Michael A"},{"family":"NHLBI ARDS Network"}],"authorYearDisplayFormat":false,"citation-label":"1244920","container-title":"The Lancet. Respiratory medicine","container-title-short":"Lancet Respir. Med.","id":"1244920","invisible":false,"issue":"8","issued":{"date-parts":[["2014","8"]]},"journalAbbreviation":"Lancet Respir. Med.","page":"611-620","suppress-author":false,"title":"Subphenotypes in acute respiratory distress syndrome: latent class analysis of data from two randomised controlled trials.","type":"article-journal","volume":"2"},{"DOI":"10.1164/rccm.201603-0645OC","First":false,"Last":false,"PMCID":"PMC5328179","PMID":"27513822","abstract":"&lt;strong&gt;RATIONALE:&lt;/strong&gt; We previously identified two acute respiratory distress syndrome (ARDS) subphenotypes in two separate randomized controlled trials with differential response to positive end-expiratory pressure.&lt;br&gt;&lt;br&gt;&lt;strong&gt;OBJECTIVES:&lt;/strong&gt; To identify these subphenotypes in a third ARDS cohort, to test whether subphenotypes respond differently to fluid management strategy, and to develop a practical model for subphenotype identification.&lt;br&gt;&lt;br&gt;&lt;strong&gt;METHODS:&lt;/strong&gt; We used latent class analysis of baseline clinical and plasma biomarker data to identify subphenotypes in FACTT (Fluid and Catheter Treatment Trial; n = 1,000). Logistic regression was used to test for an interaction between subphenotype and treatment for mortality. We used stepwise modeling to generate a model for subphenotype identification in FACTT and validated its accuracy in the two cohorts in which we previously identified ARDS subphenotypes.&lt;br&gt;&lt;br&gt;&lt;strong&gt;MEASUREMENTS AND MAIN RESULTS:&lt;/strong&gt; We confirmed that a two-class (two-subphenotype) model best described the study population. Subphenotype 2 was again characterized by higher inflammatory biomarkers and hypotension. Fluid management strategy had significantly different effects on 90-day mortality in the two subphenotypes (P = 0.0039 for interaction); mortality in subphenotype 1 was 26% with fluid-conservative strategy versus 18% with fluid-liberal, whereas mortality in subphenotype 2 was 40% with fluid-conservative strategy versus 50% in fluid-liberal. A three-variable model of IL-8, bicarbonate, and tumor necrosis factor receptor-1 accurately classified the subphenotypes.&lt;br&gt;&lt;br&gt;&lt;strong&gt;CONCLUSIONS:&lt;/strong&gt; This analysis confirms the presence of two ARDS subphenotypes that can be accurately identified with a limited number of variables and that responded differently to randomly assigned fluid management. These findings support the presence of ARDS subtypes that may require different treatment approaches.","author":[{"family":"Famous","given":"Katie R"},{"family":"Delucchi","given":"Kevin"},{"family":"Ware","given":"Lorraine B"},{"family":"Kangelaris","given":"Kirsten N"},{"family":"Liu","given":"Kathleen D"},{"family":"Thompson","given":"B Taylor"},{"family":"Calfee","given":"Carolyn S"},{"family":"ARDS Network"}],"authorYearDisplayFormat":false,"citation-label":"3014850","container-title":"American Journal of Respiratory and Critical Care Medicine","container-title-short":"Am. J. Respir. Crit. Care Med.","id":"3014850","invisible":false,"issue":"3","issued":{"date-parts":[["2017","2","1"]]},"journalAbbreviation":"Am. J. Respir. Crit. Care Med.","page":"331-338","suppress-author":false,"title":"Acute respiratory distress syndrome subphenotypes respond differently to randomized fluid management strategy.","type":"article-journal","volume":"195"},{"DOI":"10.1186/1471-2334-12-15","First":false,"Last":false,"PMCID":"PMC3274434","PMID":"22264245","abstract":"&lt;strong&gt;BACKGROUND:&lt;/strong&gt; Community-acquired pneumonia (CAP) is considered the most important cause of death from infectious disease in developed countries. Severity assessment scores partially address the difficulties in identifying high-risk patients. A lack of specific and valid pathophysiologic severity markers affect early and effective sepsis therapy. HMGB-1, sRAGE and RAGE have been involved in sepsis and their potential as severity markers has been proposed. The aim of this study was to evaluate HMGB-1, RAGE and sRAGE levels in patients with CAP-associated sepsis and determine their possible association with clinical outcome.&lt;br&gt;&lt;br&gt;&lt;strong&gt;METHOD:&lt;/strong&gt; We evaluated 33 patients with CAP-associated sepsis admitted to the emergency room and followed in the medical wards. Severity assessment scores (CURB-65, PSI, APACHE II, SOFA) and serologic markers (HMGB-1, RAGE, sRAGE) were evaluated on admission.&lt;br&gt;&lt;br&gt;&lt;strong&gt;RESULTS:&lt;/strong&gt; Thirty patients with a diagnosis of CAP-associated sepsis were enrolled in the study within 24 hours after admission. Fourteen (46.6%) had pandemic (H1N1) influenza A virus, 2 (6.6%) had seasonal influenza A and 14 other diagnoses. Of the patients in the study group, 16 (53.3%) had a fatal outcome. ARDS was observed in 17 (56.6%) and a total of 22 patients had severe sepsis on admission (73%). The SOFA score showed the greatest difference between surviving and non-surviving groups (P = .003) with similar results in ARDS patients (P = .005). sRAGE levels tended to be higher in non-surviving (P = .058) and ARDS patients (P = .058). Logistic regression modeling demonstrated that SOFA (P = .013) and sRAGE (P = .05) were the only variables that modified the probability of a fatal outcome.&lt;br&gt;&lt;br&gt;&lt;strong&gt;CONCLUSION:&lt;/strong&gt; The association of elevated sRAGE with a fatal outcome suggests that it may have an independent causal effect in CAP. SOFA scores were the only clinical factor with the ability to identify surviving and ARDS patients.","author":[{"family":"Narvaez-Rivera","given":"Rodrigo M"},{"family":"Rendon","given":"Adrian"},{"family":"Salinas-Carmona","given":"Mario C"},{"family":"Rosas-Taraco","given":"Adrian G"}],"authorYearDisplayFormat":false,"citation-label":"4471732","container-title":"BMC Infectious Diseases","container-title-short":"BMC Infect. Dis.","id":"4471732","invisible":false,"issued":{"date-parts":[["2012","1","20"]]},"journalAbbreviation":"BMC Infect. Dis.","page":"15","suppress-author":false,"title":"Soluble RAGE as a severity marker in community acquired pneumonia associated sepsis.","type":"article-journal","volume":"12"}]</w:instrText>
            </w:r>
            <w:r w:rsidR="00D61FFE" w:rsidRPr="00D61FFE">
              <w:rPr>
                <w:rFonts w:ascii="Times New Roman" w:eastAsia="MS Gothic" w:hAnsi="Times New Roman" w:cs="Times New Roman"/>
                <w:color w:val="000000"/>
                <w:sz w:val="18"/>
                <w:szCs w:val="18"/>
              </w:rPr>
              <w:fldChar w:fldCharType="separate"/>
            </w:r>
            <w:r w:rsidR="00D61FFE" w:rsidRPr="00D61FFE">
              <w:rPr>
                <w:rFonts w:ascii="Times New Roman" w:eastAsia="MS Gothic" w:hAnsi="Times New Roman" w:cs="Times New Roman"/>
                <w:noProof/>
                <w:color w:val="000000"/>
                <w:sz w:val="18"/>
                <w:szCs w:val="18"/>
              </w:rPr>
              <w:t>(Calfee et al., 2014; Famous et al., 2017; Narvaez-Rivera et al., 2012)</w:t>
            </w:r>
            <w:r w:rsidR="00D61FFE" w:rsidRPr="00D61FFE">
              <w:rPr>
                <w:rFonts w:ascii="Times New Roman" w:eastAsia="MS Gothic" w:hAnsi="Times New Roman" w:cs="Times New Roman"/>
                <w:color w:val="000000"/>
                <w:sz w:val="18"/>
                <w:szCs w:val="18"/>
              </w:rPr>
              <w:fldChar w:fldCharType="end"/>
            </w:r>
            <w:r w:rsidR="00D61FFE" w:rsidRPr="00D61FFE">
              <w:rPr>
                <w:rFonts w:ascii="Times New Roman" w:eastAsia="MS Gothic" w:hAnsi="Times New Roman" w:cs="Times New Roman"/>
                <w:color w:val="000000"/>
                <w:sz w:val="18"/>
                <w:szCs w:val="18"/>
              </w:rPr>
              <w:t>. Clinical microbiologic cultures were processed per standard procedures as described in the Supplement.”</w:t>
            </w:r>
          </w:p>
          <w:p w14:paraId="42B2B0A4" w14:textId="770B884F" w:rsidR="00561F2D" w:rsidRPr="003B399E" w:rsidRDefault="00561F2D" w:rsidP="003B399E">
            <w:pPr>
              <w:tabs>
                <w:tab w:val="left" w:pos="5400"/>
              </w:tabs>
              <w:rPr>
                <w:rFonts w:ascii="Times New Roman" w:hAnsi="Times New Roman" w:cs="Times New Roman"/>
                <w:i/>
                <w:sz w:val="18"/>
                <w:szCs w:val="18"/>
              </w:rPr>
            </w:pPr>
          </w:p>
        </w:tc>
      </w:tr>
      <w:tr w:rsidR="00EB6E97" w:rsidRPr="003B399E" w14:paraId="3AC9198C" w14:textId="77777777" w:rsidTr="00EB6E97">
        <w:tc>
          <w:tcPr>
            <w:tcW w:w="2119" w:type="dxa"/>
          </w:tcPr>
          <w:p w14:paraId="22980718"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Bias</w:t>
            </w:r>
          </w:p>
        </w:tc>
        <w:tc>
          <w:tcPr>
            <w:tcW w:w="616" w:type="dxa"/>
          </w:tcPr>
          <w:p w14:paraId="3D54E4D5"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9</w:t>
            </w:r>
          </w:p>
        </w:tc>
        <w:tc>
          <w:tcPr>
            <w:tcW w:w="2143" w:type="dxa"/>
          </w:tcPr>
          <w:p w14:paraId="7CDB934C"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Describe any efforts to address potential sources of bias</w:t>
            </w:r>
          </w:p>
        </w:tc>
        <w:tc>
          <w:tcPr>
            <w:tcW w:w="720" w:type="dxa"/>
          </w:tcPr>
          <w:p w14:paraId="0EAEB53C" w14:textId="77777777" w:rsidR="00561F2D"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Supplement</w:t>
            </w:r>
          </w:p>
        </w:tc>
        <w:tc>
          <w:tcPr>
            <w:tcW w:w="4320" w:type="dxa"/>
          </w:tcPr>
          <w:p w14:paraId="5F6B848E" w14:textId="77777777" w:rsidR="00561F2D"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Positive and Negative control samples</w:t>
            </w:r>
          </w:p>
        </w:tc>
      </w:tr>
      <w:tr w:rsidR="00EB6E97" w:rsidRPr="003B399E" w14:paraId="39F4F863" w14:textId="77777777" w:rsidTr="00EB6E97">
        <w:tc>
          <w:tcPr>
            <w:tcW w:w="2119" w:type="dxa"/>
          </w:tcPr>
          <w:p w14:paraId="4FE5E128" w14:textId="77777777" w:rsidR="00561F2D" w:rsidRPr="003B399E" w:rsidRDefault="00561F2D"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Study size</w:t>
            </w:r>
          </w:p>
        </w:tc>
        <w:tc>
          <w:tcPr>
            <w:tcW w:w="616" w:type="dxa"/>
          </w:tcPr>
          <w:p w14:paraId="40FB9871" w14:textId="77777777" w:rsidR="00561F2D" w:rsidRPr="003B399E" w:rsidRDefault="00561F2D"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10</w:t>
            </w:r>
          </w:p>
        </w:tc>
        <w:tc>
          <w:tcPr>
            <w:tcW w:w="2143" w:type="dxa"/>
          </w:tcPr>
          <w:p w14:paraId="0F1409E2" w14:textId="77777777" w:rsidR="00561F2D" w:rsidRPr="003B399E" w:rsidRDefault="00561F2D"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Explain how the study size was arrived at</w:t>
            </w:r>
          </w:p>
        </w:tc>
        <w:tc>
          <w:tcPr>
            <w:tcW w:w="720" w:type="dxa"/>
          </w:tcPr>
          <w:p w14:paraId="0ECBECFC" w14:textId="7D8917D6" w:rsidR="00561F2D"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5</w:t>
            </w:r>
          </w:p>
        </w:tc>
        <w:tc>
          <w:tcPr>
            <w:tcW w:w="4320" w:type="dxa"/>
          </w:tcPr>
          <w:p w14:paraId="404F36C5" w14:textId="77777777" w:rsidR="00561F2D"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“56 patients were enrolled”</w:t>
            </w:r>
          </w:p>
        </w:tc>
      </w:tr>
    </w:tbl>
    <w:p w14:paraId="05E9B91F" w14:textId="77777777" w:rsidR="00561F2D" w:rsidRPr="003B399E" w:rsidRDefault="00561F2D" w:rsidP="003B399E">
      <w:pPr>
        <w:pStyle w:val="TableTitle"/>
        <w:spacing w:line="240" w:lineRule="auto"/>
        <w:rPr>
          <w:szCs w:val="24"/>
        </w:rPr>
      </w:pPr>
    </w:p>
    <w:p w14:paraId="726F94DA" w14:textId="77777777" w:rsidR="00803CCC" w:rsidRPr="003B399E" w:rsidRDefault="00803CCC" w:rsidP="003B399E">
      <w:pPr>
        <w:pStyle w:val="TableTitle"/>
        <w:spacing w:line="240" w:lineRule="auto"/>
        <w:rPr>
          <w:szCs w:val="24"/>
        </w:rPr>
      </w:pPr>
    </w:p>
    <w:tbl>
      <w:tblPr>
        <w:tblW w:w="10008" w:type="dxa"/>
        <w:tblBorders>
          <w:top w:val="single" w:sz="4" w:space="0" w:color="auto"/>
          <w:bottom w:val="single" w:sz="4" w:space="0" w:color="auto"/>
          <w:insideH w:val="single" w:sz="4" w:space="0" w:color="auto"/>
        </w:tblBorders>
        <w:tblLook w:val="0000" w:firstRow="0" w:lastRow="0" w:firstColumn="0" w:lastColumn="0" w:noHBand="0" w:noVBand="0"/>
      </w:tblPr>
      <w:tblGrid>
        <w:gridCol w:w="1521"/>
        <w:gridCol w:w="749"/>
        <w:gridCol w:w="2428"/>
        <w:gridCol w:w="810"/>
        <w:gridCol w:w="4500"/>
      </w:tblGrid>
      <w:tr w:rsidR="00EB6E97" w:rsidRPr="003B399E" w14:paraId="708B8F95" w14:textId="77777777" w:rsidTr="00D3062F">
        <w:tc>
          <w:tcPr>
            <w:tcW w:w="1521" w:type="dxa"/>
          </w:tcPr>
          <w:p w14:paraId="3DAE710C" w14:textId="77777777" w:rsidR="00803CCC" w:rsidRPr="003B399E" w:rsidRDefault="00803CC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Quantitative variables</w:t>
            </w:r>
          </w:p>
        </w:tc>
        <w:tc>
          <w:tcPr>
            <w:tcW w:w="749" w:type="dxa"/>
          </w:tcPr>
          <w:p w14:paraId="6833AAF4"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11</w:t>
            </w:r>
          </w:p>
        </w:tc>
        <w:tc>
          <w:tcPr>
            <w:tcW w:w="2428" w:type="dxa"/>
          </w:tcPr>
          <w:p w14:paraId="21324B6D"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Explain how quantitative variables were handled in the analyses. If applicable, describe which groupings were chosen and why</w:t>
            </w:r>
          </w:p>
        </w:tc>
        <w:tc>
          <w:tcPr>
            <w:tcW w:w="810" w:type="dxa"/>
          </w:tcPr>
          <w:p w14:paraId="218466F2" w14:textId="0F646DB2"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4-5</w:t>
            </w:r>
          </w:p>
        </w:tc>
        <w:tc>
          <w:tcPr>
            <w:tcW w:w="4500" w:type="dxa"/>
          </w:tcPr>
          <w:p w14:paraId="6E6695BE" w14:textId="127340D8" w:rsidR="00803CCC" w:rsidRPr="003B399E" w:rsidRDefault="00803CCC" w:rsidP="00D3062F">
            <w:pPr>
              <w:ind w:firstLine="720"/>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eastAsia="MS Gothic" w:hAnsi="Times New Roman" w:cs="Times New Roman"/>
                <w:sz w:val="18"/>
                <w:szCs w:val="18"/>
                <w:u w:val="single"/>
              </w:rPr>
              <w:t>Data processing and statistical analysis methods</w:t>
            </w:r>
            <w:r w:rsidR="00063F2A" w:rsidRPr="003B399E">
              <w:rPr>
                <w:rFonts w:ascii="Times New Roman" w:eastAsia="MS Gothic" w:hAnsi="Times New Roman" w:cs="Times New Roman"/>
                <w:sz w:val="18"/>
                <w:szCs w:val="18"/>
              </w:rPr>
              <w:t>: From derived 16S sequences, we applied a custom pipeline for Operational Taxonomic Units (OTUs-taxa) classification (Supplement)</w:t>
            </w:r>
            <w:r w:rsidR="00117CF7">
              <w:rPr>
                <w:rFonts w:ascii="Times New Roman" w:eastAsia="MS Gothic" w:hAnsi="Times New Roman" w:cs="Times New Roman"/>
                <w:sz w:val="18"/>
                <w:szCs w:val="18"/>
              </w:rPr>
              <w:t>…</w:t>
            </w:r>
            <w:r w:rsidR="00063F2A" w:rsidRPr="003B399E">
              <w:rPr>
                <w:rFonts w:ascii="Times New Roman" w:hAnsi="Times New Roman" w:cs="Times New Roman"/>
                <w:sz w:val="18"/>
                <w:szCs w:val="18"/>
              </w:rPr>
              <w:t xml:space="preserve">pathogen or oral taxa dominance with linear regression models. </w:t>
            </w:r>
          </w:p>
        </w:tc>
      </w:tr>
      <w:tr w:rsidR="00EB6E97" w:rsidRPr="003B399E" w14:paraId="786ABC40" w14:textId="77777777" w:rsidTr="00D3062F">
        <w:tc>
          <w:tcPr>
            <w:tcW w:w="1521" w:type="dxa"/>
            <w:vMerge w:val="restart"/>
          </w:tcPr>
          <w:p w14:paraId="3510472F"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Statistical methods</w:t>
            </w:r>
          </w:p>
        </w:tc>
        <w:tc>
          <w:tcPr>
            <w:tcW w:w="749" w:type="dxa"/>
            <w:vMerge w:val="restart"/>
          </w:tcPr>
          <w:p w14:paraId="4C8799E2"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12</w:t>
            </w:r>
          </w:p>
        </w:tc>
        <w:tc>
          <w:tcPr>
            <w:tcW w:w="2428" w:type="dxa"/>
          </w:tcPr>
          <w:p w14:paraId="09275BB5"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a</w:t>
            </w:r>
            <w:r w:rsidRPr="003B399E">
              <w:rPr>
                <w:rFonts w:ascii="Times New Roman" w:hAnsi="Times New Roman" w:cs="Times New Roman"/>
                <w:sz w:val="18"/>
                <w:szCs w:val="18"/>
              </w:rPr>
              <w:t>) Describe all statistical methods, including those used to control for confounding</w:t>
            </w:r>
          </w:p>
        </w:tc>
        <w:tc>
          <w:tcPr>
            <w:tcW w:w="810" w:type="dxa"/>
          </w:tcPr>
          <w:p w14:paraId="45F5D1BF" w14:textId="1AD1105F"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4-5</w:t>
            </w:r>
          </w:p>
        </w:tc>
        <w:tc>
          <w:tcPr>
            <w:tcW w:w="4500" w:type="dxa"/>
          </w:tcPr>
          <w:p w14:paraId="027C5F90"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As above</w:t>
            </w:r>
          </w:p>
        </w:tc>
      </w:tr>
      <w:tr w:rsidR="00EB6E97" w:rsidRPr="003B399E" w14:paraId="39C075A9" w14:textId="77777777" w:rsidTr="00D3062F">
        <w:tc>
          <w:tcPr>
            <w:tcW w:w="1521" w:type="dxa"/>
            <w:vMerge/>
          </w:tcPr>
          <w:p w14:paraId="31C4D226" w14:textId="77777777" w:rsidR="00803CCC" w:rsidRPr="003B399E" w:rsidRDefault="00803CCC" w:rsidP="003B399E">
            <w:pPr>
              <w:tabs>
                <w:tab w:val="left" w:pos="5400"/>
              </w:tabs>
              <w:rPr>
                <w:rFonts w:ascii="Times New Roman" w:hAnsi="Times New Roman" w:cs="Times New Roman"/>
                <w:bCs/>
                <w:sz w:val="18"/>
                <w:szCs w:val="18"/>
              </w:rPr>
            </w:pPr>
          </w:p>
        </w:tc>
        <w:tc>
          <w:tcPr>
            <w:tcW w:w="749" w:type="dxa"/>
            <w:vMerge/>
          </w:tcPr>
          <w:p w14:paraId="66BEBFC3"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3ECF9260"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b</w:t>
            </w:r>
            <w:r w:rsidRPr="003B399E">
              <w:rPr>
                <w:rFonts w:ascii="Times New Roman" w:hAnsi="Times New Roman" w:cs="Times New Roman"/>
                <w:sz w:val="18"/>
                <w:szCs w:val="18"/>
              </w:rPr>
              <w:t>) Describe any methods used to examine subgroups and interactions</w:t>
            </w:r>
          </w:p>
        </w:tc>
        <w:tc>
          <w:tcPr>
            <w:tcW w:w="810" w:type="dxa"/>
          </w:tcPr>
          <w:p w14:paraId="3C2F545A" w14:textId="616DC3A8"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4-5</w:t>
            </w:r>
          </w:p>
        </w:tc>
        <w:tc>
          <w:tcPr>
            <w:tcW w:w="4500" w:type="dxa"/>
          </w:tcPr>
          <w:p w14:paraId="7EC3D49D"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As above</w:t>
            </w:r>
          </w:p>
        </w:tc>
      </w:tr>
      <w:tr w:rsidR="00EB6E97" w:rsidRPr="003B399E" w14:paraId="048147A1" w14:textId="77777777" w:rsidTr="00D3062F">
        <w:tc>
          <w:tcPr>
            <w:tcW w:w="1521" w:type="dxa"/>
            <w:vMerge/>
          </w:tcPr>
          <w:p w14:paraId="276E9A28" w14:textId="77777777" w:rsidR="00803CCC" w:rsidRPr="003B399E" w:rsidRDefault="00803CCC" w:rsidP="003B399E">
            <w:pPr>
              <w:tabs>
                <w:tab w:val="left" w:pos="5400"/>
              </w:tabs>
              <w:rPr>
                <w:rFonts w:ascii="Times New Roman" w:hAnsi="Times New Roman" w:cs="Times New Roman"/>
                <w:bCs/>
                <w:sz w:val="18"/>
                <w:szCs w:val="18"/>
              </w:rPr>
            </w:pPr>
          </w:p>
        </w:tc>
        <w:tc>
          <w:tcPr>
            <w:tcW w:w="749" w:type="dxa"/>
            <w:vMerge/>
          </w:tcPr>
          <w:p w14:paraId="591CA820"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3B6ACB49"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c</w:t>
            </w:r>
            <w:r w:rsidRPr="003B399E">
              <w:rPr>
                <w:rFonts w:ascii="Times New Roman" w:hAnsi="Times New Roman" w:cs="Times New Roman"/>
                <w:sz w:val="18"/>
                <w:szCs w:val="18"/>
              </w:rPr>
              <w:t>) Explain how missing data were addressed</w:t>
            </w:r>
          </w:p>
        </w:tc>
        <w:tc>
          <w:tcPr>
            <w:tcW w:w="810" w:type="dxa"/>
          </w:tcPr>
          <w:p w14:paraId="0B058C6F" w14:textId="25FB582A"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4-5</w:t>
            </w:r>
          </w:p>
        </w:tc>
        <w:tc>
          <w:tcPr>
            <w:tcW w:w="4500" w:type="dxa"/>
          </w:tcPr>
          <w:p w14:paraId="6EE93ACA"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 xml:space="preserve">Complete case analysis. </w:t>
            </w:r>
          </w:p>
        </w:tc>
      </w:tr>
      <w:tr w:rsidR="00EB6E97" w:rsidRPr="003B399E" w14:paraId="6BADBB36" w14:textId="77777777" w:rsidTr="00D3062F">
        <w:tc>
          <w:tcPr>
            <w:tcW w:w="1521" w:type="dxa"/>
            <w:vMerge/>
          </w:tcPr>
          <w:p w14:paraId="6EA5A2DC" w14:textId="77777777" w:rsidR="00803CCC" w:rsidRPr="003B399E" w:rsidRDefault="00803CCC" w:rsidP="003B399E">
            <w:pPr>
              <w:tabs>
                <w:tab w:val="left" w:pos="5400"/>
              </w:tabs>
              <w:rPr>
                <w:rFonts w:ascii="Times New Roman" w:hAnsi="Times New Roman" w:cs="Times New Roman"/>
                <w:bCs/>
                <w:sz w:val="18"/>
                <w:szCs w:val="18"/>
              </w:rPr>
            </w:pPr>
          </w:p>
        </w:tc>
        <w:tc>
          <w:tcPr>
            <w:tcW w:w="749" w:type="dxa"/>
            <w:vMerge/>
          </w:tcPr>
          <w:p w14:paraId="6365B4AD"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4FD13A45"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d</w:t>
            </w:r>
            <w:r w:rsidRPr="003B399E">
              <w:rPr>
                <w:rFonts w:ascii="Times New Roman" w:hAnsi="Times New Roman" w:cs="Times New Roman"/>
                <w:sz w:val="18"/>
                <w:szCs w:val="18"/>
              </w:rPr>
              <w:t xml:space="preserve">) </w:t>
            </w:r>
            <w:r w:rsidRPr="003B399E">
              <w:rPr>
                <w:rFonts w:ascii="Times New Roman" w:hAnsi="Times New Roman" w:cs="Times New Roman"/>
                <w:bCs/>
                <w:i/>
                <w:sz w:val="18"/>
                <w:szCs w:val="18"/>
              </w:rPr>
              <w:t>Cohort study</w:t>
            </w:r>
            <w:r w:rsidRPr="003B399E">
              <w:rPr>
                <w:rFonts w:ascii="Times New Roman" w:hAnsi="Times New Roman" w:cs="Times New Roman"/>
                <w:sz w:val="18"/>
                <w:szCs w:val="18"/>
              </w:rPr>
              <w:t>—If applicable, explain how loss to follow-up was addressed</w:t>
            </w:r>
          </w:p>
        </w:tc>
        <w:tc>
          <w:tcPr>
            <w:tcW w:w="810" w:type="dxa"/>
          </w:tcPr>
          <w:p w14:paraId="28B558B6"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50190A52"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Not applicable</w:t>
            </w:r>
          </w:p>
        </w:tc>
      </w:tr>
      <w:tr w:rsidR="00EB6E97" w:rsidRPr="003B399E" w14:paraId="49D0A34D" w14:textId="77777777" w:rsidTr="00D3062F">
        <w:tc>
          <w:tcPr>
            <w:tcW w:w="1521" w:type="dxa"/>
            <w:vMerge/>
          </w:tcPr>
          <w:p w14:paraId="02F3F524" w14:textId="77777777" w:rsidR="00803CCC" w:rsidRPr="003B399E" w:rsidRDefault="00803CCC" w:rsidP="003B399E">
            <w:pPr>
              <w:tabs>
                <w:tab w:val="left" w:pos="5400"/>
              </w:tabs>
              <w:rPr>
                <w:rFonts w:ascii="Times New Roman" w:hAnsi="Times New Roman" w:cs="Times New Roman"/>
                <w:bCs/>
                <w:sz w:val="18"/>
                <w:szCs w:val="18"/>
              </w:rPr>
            </w:pPr>
          </w:p>
        </w:tc>
        <w:tc>
          <w:tcPr>
            <w:tcW w:w="749" w:type="dxa"/>
            <w:vMerge/>
          </w:tcPr>
          <w:p w14:paraId="6410168E"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583E336F"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u w:val="single"/>
              </w:rPr>
              <w:t>e</w:t>
            </w:r>
            <w:r w:rsidRPr="003B399E">
              <w:rPr>
                <w:rFonts w:ascii="Times New Roman" w:hAnsi="Times New Roman" w:cs="Times New Roman"/>
                <w:sz w:val="18"/>
                <w:szCs w:val="18"/>
              </w:rPr>
              <w:t>) Describe any sensitivity analyses</w:t>
            </w:r>
          </w:p>
        </w:tc>
        <w:tc>
          <w:tcPr>
            <w:tcW w:w="810" w:type="dxa"/>
          </w:tcPr>
          <w:p w14:paraId="6547FEBE" w14:textId="4E161054"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9</w:t>
            </w:r>
          </w:p>
        </w:tc>
        <w:tc>
          <w:tcPr>
            <w:tcW w:w="4500" w:type="dxa"/>
          </w:tcPr>
          <w:p w14:paraId="16049B90" w14:textId="34D9753A" w:rsidR="00803CCC" w:rsidRPr="003B399E" w:rsidRDefault="00803CCC" w:rsidP="003B399E">
            <w:pPr>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 xml:space="preserve">However, in sensitivity analyses in which we coded </w:t>
            </w:r>
            <w:r w:rsidR="00063F2A" w:rsidRPr="003B399E">
              <w:rPr>
                <w:rFonts w:ascii="Times New Roman" w:hAnsi="Times New Roman" w:cs="Times New Roman"/>
                <w:i/>
                <w:sz w:val="18"/>
                <w:szCs w:val="18"/>
              </w:rPr>
              <w:t>Streptococcus</w:t>
            </w:r>
            <w:r w:rsidR="00063F2A" w:rsidRPr="003B399E">
              <w:rPr>
                <w:rFonts w:ascii="Times New Roman" w:hAnsi="Times New Roman" w:cs="Times New Roman"/>
                <w:sz w:val="18"/>
                <w:szCs w:val="18"/>
              </w:rPr>
              <w:t xml:space="preserve"> sequences as “pathogens”, the associations between pathogen abundance and host responses were attenuated and no longer statistically significant (data not shown), suggesting that </w:t>
            </w:r>
            <w:r w:rsidR="00063F2A" w:rsidRPr="003B399E">
              <w:rPr>
                <w:rFonts w:ascii="Times New Roman" w:hAnsi="Times New Roman" w:cs="Times New Roman"/>
                <w:i/>
                <w:sz w:val="18"/>
                <w:szCs w:val="18"/>
              </w:rPr>
              <w:t>Streptococcus</w:t>
            </w:r>
            <w:r w:rsidR="00063F2A" w:rsidRPr="003B399E">
              <w:rPr>
                <w:rFonts w:ascii="Times New Roman" w:hAnsi="Times New Roman" w:cs="Times New Roman"/>
                <w:sz w:val="18"/>
                <w:szCs w:val="18"/>
              </w:rPr>
              <w:t xml:space="preserve"> taxa detected in our samples are less likely to induce host inflammation and injury.</w:t>
            </w:r>
          </w:p>
        </w:tc>
      </w:tr>
      <w:tr w:rsidR="00EB6E97" w:rsidRPr="003B399E" w14:paraId="2C932738" w14:textId="77777777" w:rsidTr="00D3062F">
        <w:tc>
          <w:tcPr>
            <w:tcW w:w="10008" w:type="dxa"/>
            <w:gridSpan w:val="5"/>
          </w:tcPr>
          <w:p w14:paraId="64159F75" w14:textId="77777777" w:rsidR="00803CCC" w:rsidRPr="003B399E" w:rsidRDefault="00803CCC" w:rsidP="003B399E">
            <w:pPr>
              <w:pStyle w:val="TableSubHead"/>
              <w:tabs>
                <w:tab w:val="left" w:pos="5400"/>
              </w:tabs>
              <w:rPr>
                <w:sz w:val="18"/>
                <w:szCs w:val="18"/>
              </w:rPr>
            </w:pPr>
            <w:r w:rsidRPr="003B399E">
              <w:rPr>
                <w:sz w:val="18"/>
                <w:szCs w:val="18"/>
              </w:rPr>
              <w:t>Results</w:t>
            </w:r>
          </w:p>
        </w:tc>
      </w:tr>
      <w:tr w:rsidR="00EB6E97" w:rsidRPr="003B399E" w14:paraId="2047F1C7" w14:textId="77777777" w:rsidTr="00D3062F">
        <w:tc>
          <w:tcPr>
            <w:tcW w:w="0" w:type="auto"/>
            <w:vMerge w:val="restart"/>
          </w:tcPr>
          <w:p w14:paraId="24544F69" w14:textId="77777777" w:rsidR="00803CCC" w:rsidRPr="003B399E" w:rsidRDefault="00803CC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Participants</w:t>
            </w:r>
          </w:p>
        </w:tc>
        <w:tc>
          <w:tcPr>
            <w:tcW w:w="0" w:type="auto"/>
            <w:vMerge w:val="restart"/>
          </w:tcPr>
          <w:p w14:paraId="51772E3C"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13</w:t>
            </w:r>
            <w:r w:rsidRPr="003B399E">
              <w:rPr>
                <w:rFonts w:ascii="Times New Roman" w:hAnsi="Times New Roman" w:cs="Times New Roman"/>
                <w:bCs/>
                <w:sz w:val="18"/>
                <w:szCs w:val="18"/>
              </w:rPr>
              <w:t>*</w:t>
            </w:r>
          </w:p>
        </w:tc>
        <w:tc>
          <w:tcPr>
            <w:tcW w:w="2428" w:type="dxa"/>
          </w:tcPr>
          <w:p w14:paraId="64358B63"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(a) Report numbers of individuals at each stage of study—eg numbers potentially eligible, examined for eligibility, confirmed eligible, included in the study, completing follow-up, and analysed</w:t>
            </w:r>
          </w:p>
        </w:tc>
        <w:tc>
          <w:tcPr>
            <w:tcW w:w="810" w:type="dxa"/>
          </w:tcPr>
          <w:p w14:paraId="75313BC3" w14:textId="3F7D4CA5"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5</w:t>
            </w:r>
          </w:p>
        </w:tc>
        <w:tc>
          <w:tcPr>
            <w:tcW w:w="4500" w:type="dxa"/>
          </w:tcPr>
          <w:p w14:paraId="7CCEB022" w14:textId="77777777" w:rsidR="00803CCC" w:rsidRPr="003B399E" w:rsidRDefault="002732B6"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 xml:space="preserve">Complete case analysis. </w:t>
            </w:r>
          </w:p>
        </w:tc>
      </w:tr>
      <w:tr w:rsidR="00EB6E97" w:rsidRPr="003B399E" w14:paraId="51CB2E5E" w14:textId="77777777" w:rsidTr="00D3062F">
        <w:tc>
          <w:tcPr>
            <w:tcW w:w="0" w:type="auto"/>
            <w:vMerge/>
          </w:tcPr>
          <w:p w14:paraId="031328A7"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110B3B7A"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76F5829F"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(b) Give reasons for non-participation at each stage</w:t>
            </w:r>
          </w:p>
        </w:tc>
        <w:tc>
          <w:tcPr>
            <w:tcW w:w="810" w:type="dxa"/>
          </w:tcPr>
          <w:p w14:paraId="43A113A9"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157C04A7"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NA</w:t>
            </w:r>
          </w:p>
        </w:tc>
      </w:tr>
      <w:tr w:rsidR="00EB6E97" w:rsidRPr="003B399E" w14:paraId="265A8668" w14:textId="77777777" w:rsidTr="00D3062F">
        <w:tc>
          <w:tcPr>
            <w:tcW w:w="0" w:type="auto"/>
            <w:vMerge/>
          </w:tcPr>
          <w:p w14:paraId="7ABEB2B9"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00DB569A"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7995FAEE"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(c) Consider use of a flow diagram</w:t>
            </w:r>
          </w:p>
        </w:tc>
        <w:tc>
          <w:tcPr>
            <w:tcW w:w="810" w:type="dxa"/>
          </w:tcPr>
          <w:p w14:paraId="09C86404"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67B1AD84"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NA</w:t>
            </w:r>
          </w:p>
        </w:tc>
      </w:tr>
      <w:tr w:rsidR="00EB6E97" w:rsidRPr="003B399E" w14:paraId="037B0DC2" w14:textId="77777777" w:rsidTr="00D3062F">
        <w:tc>
          <w:tcPr>
            <w:tcW w:w="0" w:type="auto"/>
            <w:vMerge w:val="restart"/>
          </w:tcPr>
          <w:p w14:paraId="79E31B5F" w14:textId="77777777" w:rsidR="00803CCC" w:rsidRPr="003B399E" w:rsidRDefault="00803CC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Descriptive data</w:t>
            </w:r>
          </w:p>
        </w:tc>
        <w:tc>
          <w:tcPr>
            <w:tcW w:w="0" w:type="auto"/>
            <w:vMerge w:val="restart"/>
          </w:tcPr>
          <w:p w14:paraId="189DF251"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14</w:t>
            </w:r>
            <w:r w:rsidRPr="003B399E">
              <w:rPr>
                <w:rFonts w:ascii="Times New Roman" w:hAnsi="Times New Roman" w:cs="Times New Roman"/>
                <w:bCs/>
                <w:sz w:val="18"/>
                <w:szCs w:val="18"/>
              </w:rPr>
              <w:t>*</w:t>
            </w:r>
          </w:p>
        </w:tc>
        <w:tc>
          <w:tcPr>
            <w:tcW w:w="2428" w:type="dxa"/>
          </w:tcPr>
          <w:p w14:paraId="7E65C8FE"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(a) Give characteristics of study participants (eg demographic, clinical, social) and information on exposures and potential confounders</w:t>
            </w:r>
          </w:p>
        </w:tc>
        <w:tc>
          <w:tcPr>
            <w:tcW w:w="810" w:type="dxa"/>
          </w:tcPr>
          <w:p w14:paraId="21DCA1A0"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28313997"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 xml:space="preserve">Table 1. </w:t>
            </w:r>
          </w:p>
        </w:tc>
      </w:tr>
      <w:tr w:rsidR="00EB6E97" w:rsidRPr="003B399E" w14:paraId="5BA6946B" w14:textId="77777777" w:rsidTr="00D3062F">
        <w:tc>
          <w:tcPr>
            <w:tcW w:w="0" w:type="auto"/>
            <w:vMerge/>
          </w:tcPr>
          <w:p w14:paraId="22CB6BEC"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70F80929"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76844E38"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(b) Indicate number of participants with missing data for each variable of interest</w:t>
            </w:r>
          </w:p>
        </w:tc>
        <w:tc>
          <w:tcPr>
            <w:tcW w:w="810" w:type="dxa"/>
          </w:tcPr>
          <w:p w14:paraId="4CB9C2F0"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0D785020"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NA</w:t>
            </w:r>
          </w:p>
        </w:tc>
      </w:tr>
      <w:tr w:rsidR="00EB6E97" w:rsidRPr="003B399E" w14:paraId="269F6CC1" w14:textId="77777777" w:rsidTr="00D3062F">
        <w:tc>
          <w:tcPr>
            <w:tcW w:w="0" w:type="auto"/>
            <w:vMerge/>
          </w:tcPr>
          <w:p w14:paraId="2098C0F0"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1F2E7887"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54D29581"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 xml:space="preserve">(c) </w:t>
            </w:r>
            <w:r w:rsidRPr="003B399E">
              <w:rPr>
                <w:rFonts w:ascii="Times New Roman" w:hAnsi="Times New Roman" w:cs="Times New Roman"/>
                <w:i/>
                <w:sz w:val="18"/>
                <w:szCs w:val="18"/>
              </w:rPr>
              <w:t>Cohort study</w:t>
            </w:r>
            <w:r w:rsidRPr="003B399E">
              <w:rPr>
                <w:rFonts w:ascii="Times New Roman" w:hAnsi="Times New Roman" w:cs="Times New Roman"/>
                <w:sz w:val="18"/>
                <w:szCs w:val="18"/>
              </w:rPr>
              <w:t>—Summarise follow-up time (eg, average and total amount)</w:t>
            </w:r>
          </w:p>
        </w:tc>
        <w:tc>
          <w:tcPr>
            <w:tcW w:w="810" w:type="dxa"/>
          </w:tcPr>
          <w:p w14:paraId="2DBE5420"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79AE166E"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Table 1 – length of ICU stay</w:t>
            </w:r>
          </w:p>
        </w:tc>
      </w:tr>
      <w:tr w:rsidR="00EB6E97" w:rsidRPr="003B399E" w14:paraId="64F7BAC6" w14:textId="77777777" w:rsidTr="00D3062F">
        <w:trPr>
          <w:trHeight w:val="295"/>
        </w:trPr>
        <w:tc>
          <w:tcPr>
            <w:tcW w:w="0" w:type="auto"/>
          </w:tcPr>
          <w:p w14:paraId="4D1BE614" w14:textId="77777777" w:rsidR="00803CCC" w:rsidRPr="003B399E" w:rsidRDefault="00803CC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Outcome data</w:t>
            </w:r>
          </w:p>
        </w:tc>
        <w:tc>
          <w:tcPr>
            <w:tcW w:w="0" w:type="auto"/>
          </w:tcPr>
          <w:p w14:paraId="42566F6C"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15</w:t>
            </w:r>
            <w:r w:rsidRPr="003B399E">
              <w:rPr>
                <w:rFonts w:ascii="Times New Roman" w:hAnsi="Times New Roman" w:cs="Times New Roman"/>
                <w:bCs/>
                <w:sz w:val="18"/>
                <w:szCs w:val="18"/>
              </w:rPr>
              <w:t>*</w:t>
            </w:r>
          </w:p>
        </w:tc>
        <w:tc>
          <w:tcPr>
            <w:tcW w:w="2428" w:type="dxa"/>
          </w:tcPr>
          <w:p w14:paraId="08FD5A21"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i/>
                <w:sz w:val="18"/>
                <w:szCs w:val="18"/>
              </w:rPr>
              <w:t>Cohort study</w:t>
            </w:r>
            <w:r w:rsidRPr="003B399E">
              <w:rPr>
                <w:rFonts w:ascii="Times New Roman" w:hAnsi="Times New Roman" w:cs="Times New Roman"/>
                <w:sz w:val="18"/>
                <w:szCs w:val="18"/>
              </w:rPr>
              <w:t>—Report numbers of outcome events or summary measures over time</w:t>
            </w:r>
          </w:p>
        </w:tc>
        <w:tc>
          <w:tcPr>
            <w:tcW w:w="810" w:type="dxa"/>
          </w:tcPr>
          <w:p w14:paraId="7A7759EF" w14:textId="77777777" w:rsidR="00803CCC" w:rsidRPr="003B399E" w:rsidRDefault="00803CCC" w:rsidP="003B399E">
            <w:pPr>
              <w:tabs>
                <w:tab w:val="left" w:pos="5400"/>
              </w:tabs>
              <w:rPr>
                <w:rFonts w:ascii="Times New Roman" w:hAnsi="Times New Roman" w:cs="Times New Roman"/>
                <w:i/>
                <w:sz w:val="18"/>
                <w:szCs w:val="18"/>
              </w:rPr>
            </w:pPr>
          </w:p>
        </w:tc>
        <w:tc>
          <w:tcPr>
            <w:tcW w:w="4500" w:type="dxa"/>
          </w:tcPr>
          <w:p w14:paraId="4FC21DA2" w14:textId="77777777" w:rsidR="00803CCC" w:rsidRPr="003B399E" w:rsidRDefault="00803CCC" w:rsidP="003B399E">
            <w:pPr>
              <w:tabs>
                <w:tab w:val="left" w:pos="5400"/>
              </w:tabs>
              <w:rPr>
                <w:rFonts w:ascii="Times New Roman" w:hAnsi="Times New Roman" w:cs="Times New Roman"/>
                <w:i/>
                <w:sz w:val="18"/>
                <w:szCs w:val="18"/>
              </w:rPr>
            </w:pPr>
            <w:r w:rsidRPr="003B399E">
              <w:rPr>
                <w:rFonts w:ascii="Times New Roman" w:hAnsi="Times New Roman" w:cs="Times New Roman"/>
                <w:i/>
                <w:sz w:val="18"/>
                <w:szCs w:val="18"/>
              </w:rPr>
              <w:t xml:space="preserve">Table 1. </w:t>
            </w:r>
          </w:p>
        </w:tc>
      </w:tr>
      <w:tr w:rsidR="00EB6E97" w:rsidRPr="003B399E" w14:paraId="15528DC0" w14:textId="77777777" w:rsidTr="00D3062F">
        <w:tc>
          <w:tcPr>
            <w:tcW w:w="0" w:type="auto"/>
            <w:vMerge w:val="restart"/>
          </w:tcPr>
          <w:p w14:paraId="0EC51F7D" w14:textId="77777777" w:rsidR="00803CCC" w:rsidRPr="003B399E" w:rsidRDefault="00803CC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Main results</w:t>
            </w:r>
          </w:p>
        </w:tc>
        <w:tc>
          <w:tcPr>
            <w:tcW w:w="0" w:type="auto"/>
            <w:vMerge w:val="restart"/>
          </w:tcPr>
          <w:p w14:paraId="3B55C4EB" w14:textId="77777777" w:rsidR="00803CCC" w:rsidRPr="003B399E" w:rsidRDefault="00803CC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16</w:t>
            </w:r>
          </w:p>
        </w:tc>
        <w:tc>
          <w:tcPr>
            <w:tcW w:w="2428" w:type="dxa"/>
          </w:tcPr>
          <w:p w14:paraId="64704249"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a</w:t>
            </w:r>
            <w:r w:rsidRPr="003B399E">
              <w:rPr>
                <w:rFonts w:ascii="Times New Roman" w:hAnsi="Times New Roman" w:cs="Times New Roman"/>
                <w:sz w:val="18"/>
                <w:szCs w:val="18"/>
              </w:rPr>
              <w:t>) Give unadjusted estimates and, if applicable, confounder-adjusted estimates and their precision (eg, 95% confidence interval). Make clear which confounders were adjusted for and why they were included</w:t>
            </w:r>
          </w:p>
        </w:tc>
        <w:tc>
          <w:tcPr>
            <w:tcW w:w="810" w:type="dxa"/>
          </w:tcPr>
          <w:p w14:paraId="41ABDF55" w14:textId="44F21F85" w:rsidR="00803CCC" w:rsidRPr="003B399E" w:rsidRDefault="00803CCC" w:rsidP="003B399E">
            <w:pPr>
              <w:tabs>
                <w:tab w:val="left" w:pos="5400"/>
              </w:tabs>
              <w:rPr>
                <w:rFonts w:ascii="Times New Roman" w:hAnsi="Times New Roman" w:cs="Times New Roman"/>
                <w:sz w:val="18"/>
                <w:szCs w:val="18"/>
              </w:rPr>
            </w:pPr>
          </w:p>
        </w:tc>
        <w:tc>
          <w:tcPr>
            <w:tcW w:w="4500" w:type="dxa"/>
          </w:tcPr>
          <w:p w14:paraId="79A3A089" w14:textId="13569C2D" w:rsidR="00803CCC" w:rsidRPr="003B399E" w:rsidRDefault="00D61FFE" w:rsidP="00D61FFE">
            <w:pPr>
              <w:tabs>
                <w:tab w:val="left" w:pos="5400"/>
              </w:tabs>
              <w:rPr>
                <w:rFonts w:ascii="Times New Roman" w:hAnsi="Times New Roman" w:cs="Times New Roman"/>
                <w:sz w:val="18"/>
                <w:szCs w:val="18"/>
              </w:rPr>
            </w:pPr>
            <w:r>
              <w:rPr>
                <w:rFonts w:ascii="Times New Roman" w:hAnsi="Times New Roman" w:cs="Times New Roman"/>
                <w:sz w:val="18"/>
                <w:szCs w:val="18"/>
              </w:rPr>
              <w:t>Figures 2</w:t>
            </w:r>
            <w:r w:rsidR="00803CCC" w:rsidRPr="003B399E">
              <w:rPr>
                <w:rFonts w:ascii="Times New Roman" w:hAnsi="Times New Roman" w:cs="Times New Roman"/>
                <w:sz w:val="18"/>
                <w:szCs w:val="18"/>
              </w:rPr>
              <w:t xml:space="preserve">, </w:t>
            </w:r>
            <w:r>
              <w:rPr>
                <w:rFonts w:ascii="Times New Roman" w:hAnsi="Times New Roman" w:cs="Times New Roman"/>
                <w:sz w:val="18"/>
                <w:szCs w:val="18"/>
              </w:rPr>
              <w:t>4, 7</w:t>
            </w:r>
            <w:r w:rsidR="00803CCC" w:rsidRPr="003B399E">
              <w:rPr>
                <w:rFonts w:ascii="Times New Roman" w:hAnsi="Times New Roman" w:cs="Times New Roman"/>
                <w:sz w:val="18"/>
                <w:szCs w:val="18"/>
              </w:rPr>
              <w:t xml:space="preserve"> and Table </w:t>
            </w:r>
            <w:r>
              <w:rPr>
                <w:rFonts w:ascii="Times New Roman" w:hAnsi="Times New Roman" w:cs="Times New Roman"/>
                <w:sz w:val="18"/>
                <w:szCs w:val="18"/>
              </w:rPr>
              <w:t>2</w:t>
            </w:r>
            <w:r w:rsidR="00803CCC" w:rsidRPr="003B399E">
              <w:rPr>
                <w:rFonts w:ascii="Times New Roman" w:hAnsi="Times New Roman" w:cs="Times New Roman"/>
                <w:sz w:val="18"/>
                <w:szCs w:val="18"/>
              </w:rPr>
              <w:t xml:space="preserve"> </w:t>
            </w:r>
          </w:p>
        </w:tc>
      </w:tr>
      <w:tr w:rsidR="00EB6E97" w:rsidRPr="003B399E" w14:paraId="1BC44C69" w14:textId="77777777" w:rsidTr="00D3062F">
        <w:tc>
          <w:tcPr>
            <w:tcW w:w="0" w:type="auto"/>
            <w:vMerge/>
          </w:tcPr>
          <w:p w14:paraId="1B14BA78"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05425E85"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5E30CE62"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b</w:t>
            </w:r>
            <w:r w:rsidRPr="003B399E">
              <w:rPr>
                <w:rFonts w:ascii="Times New Roman" w:hAnsi="Times New Roman" w:cs="Times New Roman"/>
                <w:sz w:val="18"/>
                <w:szCs w:val="18"/>
              </w:rPr>
              <w:t>) Report category boundaries when continuous variables were categorized</w:t>
            </w:r>
          </w:p>
        </w:tc>
        <w:tc>
          <w:tcPr>
            <w:tcW w:w="810" w:type="dxa"/>
          </w:tcPr>
          <w:p w14:paraId="116A7D0A"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3D4BB0A4" w14:textId="0760107A" w:rsidR="00803CC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 xml:space="preserve">Supplementary </w:t>
            </w:r>
            <w:r w:rsidR="00803CCC" w:rsidRPr="003B399E">
              <w:rPr>
                <w:rFonts w:ascii="Times New Roman" w:hAnsi="Times New Roman" w:cs="Times New Roman"/>
                <w:sz w:val="18"/>
                <w:szCs w:val="18"/>
              </w:rPr>
              <w:t xml:space="preserve">Figure </w:t>
            </w:r>
            <w:r w:rsidR="00D61FFE">
              <w:rPr>
                <w:rFonts w:ascii="Times New Roman" w:hAnsi="Times New Roman" w:cs="Times New Roman"/>
                <w:sz w:val="18"/>
                <w:szCs w:val="18"/>
              </w:rPr>
              <w:t>5</w:t>
            </w:r>
          </w:p>
        </w:tc>
      </w:tr>
      <w:tr w:rsidR="00EB6E97" w:rsidRPr="003B399E" w14:paraId="1717B4A3" w14:textId="77777777" w:rsidTr="00D3062F">
        <w:tc>
          <w:tcPr>
            <w:tcW w:w="0" w:type="auto"/>
            <w:vMerge/>
          </w:tcPr>
          <w:p w14:paraId="54B420E6" w14:textId="77777777" w:rsidR="00803CCC" w:rsidRPr="003B399E" w:rsidRDefault="00803CCC" w:rsidP="003B399E">
            <w:pPr>
              <w:tabs>
                <w:tab w:val="left" w:pos="5400"/>
              </w:tabs>
              <w:rPr>
                <w:rFonts w:ascii="Times New Roman" w:hAnsi="Times New Roman" w:cs="Times New Roman"/>
                <w:bCs/>
                <w:sz w:val="18"/>
                <w:szCs w:val="18"/>
              </w:rPr>
            </w:pPr>
          </w:p>
        </w:tc>
        <w:tc>
          <w:tcPr>
            <w:tcW w:w="0" w:type="auto"/>
            <w:vMerge/>
          </w:tcPr>
          <w:p w14:paraId="1D5EFFB5" w14:textId="77777777" w:rsidR="00803CCC" w:rsidRPr="003B399E" w:rsidRDefault="00803CCC" w:rsidP="003B399E">
            <w:pPr>
              <w:tabs>
                <w:tab w:val="left" w:pos="5400"/>
              </w:tabs>
              <w:jc w:val="center"/>
              <w:rPr>
                <w:rFonts w:ascii="Times New Roman" w:hAnsi="Times New Roman" w:cs="Times New Roman"/>
                <w:sz w:val="18"/>
                <w:szCs w:val="18"/>
              </w:rPr>
            </w:pPr>
          </w:p>
        </w:tc>
        <w:tc>
          <w:tcPr>
            <w:tcW w:w="2428" w:type="dxa"/>
          </w:tcPr>
          <w:p w14:paraId="608488A9"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Pr="003B399E">
              <w:rPr>
                <w:rFonts w:ascii="Times New Roman" w:hAnsi="Times New Roman" w:cs="Times New Roman"/>
                <w:i/>
                <w:sz w:val="18"/>
                <w:szCs w:val="18"/>
              </w:rPr>
              <w:t>c</w:t>
            </w:r>
            <w:r w:rsidRPr="003B399E">
              <w:rPr>
                <w:rFonts w:ascii="Times New Roman" w:hAnsi="Times New Roman" w:cs="Times New Roman"/>
                <w:sz w:val="18"/>
                <w:szCs w:val="18"/>
              </w:rPr>
              <w:t>) If relevant, consider translating estimates of relative risk into absolute risk for a meaningful time period</w:t>
            </w:r>
          </w:p>
        </w:tc>
        <w:tc>
          <w:tcPr>
            <w:tcW w:w="810" w:type="dxa"/>
          </w:tcPr>
          <w:p w14:paraId="577BA74A" w14:textId="77777777" w:rsidR="00803CCC" w:rsidRPr="003B399E" w:rsidRDefault="00803CCC" w:rsidP="003B399E">
            <w:pPr>
              <w:tabs>
                <w:tab w:val="left" w:pos="5400"/>
              </w:tabs>
              <w:rPr>
                <w:rFonts w:ascii="Times New Roman" w:hAnsi="Times New Roman" w:cs="Times New Roman"/>
                <w:sz w:val="18"/>
                <w:szCs w:val="18"/>
              </w:rPr>
            </w:pPr>
          </w:p>
        </w:tc>
        <w:tc>
          <w:tcPr>
            <w:tcW w:w="4500" w:type="dxa"/>
          </w:tcPr>
          <w:p w14:paraId="3DCDB14D" w14:textId="77777777" w:rsidR="00803CCC" w:rsidRPr="003B399E" w:rsidRDefault="00803CC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NA</w:t>
            </w:r>
          </w:p>
        </w:tc>
      </w:tr>
    </w:tbl>
    <w:p w14:paraId="037986A5" w14:textId="77777777" w:rsidR="00803CCC" w:rsidRPr="003B399E" w:rsidRDefault="00803CCC" w:rsidP="003B399E">
      <w:pPr>
        <w:pStyle w:val="TableTitle"/>
        <w:spacing w:line="240" w:lineRule="auto"/>
        <w:rPr>
          <w:szCs w:val="24"/>
        </w:rPr>
      </w:pPr>
    </w:p>
    <w:tbl>
      <w:tblPr>
        <w:tblW w:w="10008" w:type="dxa"/>
        <w:tblBorders>
          <w:top w:val="single" w:sz="4" w:space="0" w:color="auto"/>
          <w:bottom w:val="single" w:sz="4" w:space="0" w:color="auto"/>
          <w:insideH w:val="single" w:sz="4" w:space="0" w:color="auto"/>
        </w:tblBorders>
        <w:tblLook w:val="0000" w:firstRow="0" w:lastRow="0" w:firstColumn="0" w:lastColumn="0" w:noHBand="0" w:noVBand="0"/>
      </w:tblPr>
      <w:tblGrid>
        <w:gridCol w:w="1368"/>
        <w:gridCol w:w="397"/>
        <w:gridCol w:w="2933"/>
        <w:gridCol w:w="1115"/>
        <w:gridCol w:w="9"/>
        <w:gridCol w:w="4186"/>
      </w:tblGrid>
      <w:tr w:rsidR="00EB6E97" w:rsidRPr="003B399E" w14:paraId="171E2555" w14:textId="77777777" w:rsidTr="00D3062F">
        <w:tc>
          <w:tcPr>
            <w:tcW w:w="0" w:type="auto"/>
          </w:tcPr>
          <w:p w14:paraId="682F089C"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Other analyses</w:t>
            </w:r>
          </w:p>
        </w:tc>
        <w:tc>
          <w:tcPr>
            <w:tcW w:w="0" w:type="auto"/>
          </w:tcPr>
          <w:p w14:paraId="6F6A2A00"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17</w:t>
            </w:r>
          </w:p>
        </w:tc>
        <w:tc>
          <w:tcPr>
            <w:tcW w:w="2933" w:type="dxa"/>
          </w:tcPr>
          <w:p w14:paraId="56DA4054"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Report other analyses done—eg analyses of subgroups and interactions, and sensitivity analyses</w:t>
            </w:r>
          </w:p>
        </w:tc>
        <w:tc>
          <w:tcPr>
            <w:tcW w:w="1124" w:type="dxa"/>
            <w:gridSpan w:val="2"/>
          </w:tcPr>
          <w:p w14:paraId="0DE2B9F3" w14:textId="59F039E8"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6-7</w:t>
            </w:r>
          </w:p>
        </w:tc>
        <w:tc>
          <w:tcPr>
            <w:tcW w:w="4186" w:type="dxa"/>
          </w:tcPr>
          <w:p w14:paraId="4E04542D" w14:textId="2EA2B63B" w:rsidR="001E241C" w:rsidRPr="003B399E" w:rsidRDefault="00063F2A"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Host-response models and network analyses</w:t>
            </w:r>
          </w:p>
        </w:tc>
      </w:tr>
      <w:tr w:rsidR="00EB6E97" w:rsidRPr="003B399E" w14:paraId="3CA69539" w14:textId="77777777" w:rsidTr="00D3062F">
        <w:trPr>
          <w:gridAfter w:val="2"/>
          <w:wAfter w:w="4195" w:type="dxa"/>
        </w:trPr>
        <w:tc>
          <w:tcPr>
            <w:tcW w:w="5813" w:type="dxa"/>
            <w:gridSpan w:val="4"/>
          </w:tcPr>
          <w:p w14:paraId="7A8ADF54" w14:textId="77777777" w:rsidR="001E241C" w:rsidRPr="003B399E" w:rsidRDefault="001E241C" w:rsidP="003B399E">
            <w:pPr>
              <w:pStyle w:val="TableSubHead"/>
              <w:tabs>
                <w:tab w:val="left" w:pos="5400"/>
              </w:tabs>
              <w:rPr>
                <w:sz w:val="18"/>
                <w:szCs w:val="18"/>
              </w:rPr>
            </w:pPr>
            <w:r w:rsidRPr="003B399E">
              <w:rPr>
                <w:sz w:val="18"/>
                <w:szCs w:val="18"/>
              </w:rPr>
              <w:t>Discussion</w:t>
            </w:r>
          </w:p>
        </w:tc>
      </w:tr>
      <w:tr w:rsidR="00EB6E97" w:rsidRPr="003B399E" w14:paraId="611EC4ED" w14:textId="77777777" w:rsidTr="00D3062F">
        <w:tc>
          <w:tcPr>
            <w:tcW w:w="0" w:type="auto"/>
          </w:tcPr>
          <w:p w14:paraId="5DB78159"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Key results</w:t>
            </w:r>
          </w:p>
        </w:tc>
        <w:tc>
          <w:tcPr>
            <w:tcW w:w="0" w:type="auto"/>
          </w:tcPr>
          <w:p w14:paraId="63EA24C6"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18</w:t>
            </w:r>
          </w:p>
        </w:tc>
        <w:tc>
          <w:tcPr>
            <w:tcW w:w="2933" w:type="dxa"/>
          </w:tcPr>
          <w:p w14:paraId="289199EC"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Summarise key results with reference to study objectives</w:t>
            </w:r>
          </w:p>
        </w:tc>
        <w:tc>
          <w:tcPr>
            <w:tcW w:w="1124" w:type="dxa"/>
            <w:gridSpan w:val="2"/>
          </w:tcPr>
          <w:p w14:paraId="74CAABFA" w14:textId="0C9D5143"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7</w:t>
            </w:r>
          </w:p>
        </w:tc>
        <w:tc>
          <w:tcPr>
            <w:tcW w:w="4186" w:type="dxa"/>
          </w:tcPr>
          <w:p w14:paraId="1E348D55" w14:textId="2060D853" w:rsidR="001E241C" w:rsidRPr="003B399E" w:rsidRDefault="001E241C" w:rsidP="00D3062F">
            <w:pPr>
              <w:tabs>
                <w:tab w:val="left" w:pos="5400"/>
              </w:tabs>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 xml:space="preserve">Our prospective study in mechanically-ventilated patients provides </w:t>
            </w:r>
            <w:r w:rsidR="00117CF7">
              <w:rPr>
                <w:rFonts w:ascii="Times New Roman" w:hAnsi="Times New Roman" w:cs="Times New Roman"/>
                <w:sz w:val="18"/>
                <w:szCs w:val="18"/>
              </w:rPr>
              <w:t>…</w:t>
            </w:r>
            <w:r w:rsidR="00063F2A" w:rsidRPr="003B399E">
              <w:rPr>
                <w:rFonts w:ascii="Times New Roman" w:hAnsi="Times New Roman" w:cs="Times New Roman"/>
                <w:sz w:val="18"/>
                <w:szCs w:val="18"/>
              </w:rPr>
              <w:t xml:space="preserve"> the host immune responses to dominant bacterial taxa in the lungs.</w:t>
            </w:r>
          </w:p>
        </w:tc>
      </w:tr>
      <w:tr w:rsidR="00EB6E97" w:rsidRPr="003B399E" w14:paraId="02D30B2E" w14:textId="77777777" w:rsidTr="00D3062F">
        <w:tc>
          <w:tcPr>
            <w:tcW w:w="0" w:type="auto"/>
          </w:tcPr>
          <w:p w14:paraId="7475AA23"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Limitations</w:t>
            </w:r>
          </w:p>
        </w:tc>
        <w:tc>
          <w:tcPr>
            <w:tcW w:w="0" w:type="auto"/>
          </w:tcPr>
          <w:p w14:paraId="610CEC16"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19</w:t>
            </w:r>
          </w:p>
        </w:tc>
        <w:tc>
          <w:tcPr>
            <w:tcW w:w="2933" w:type="dxa"/>
          </w:tcPr>
          <w:p w14:paraId="47C9ED12"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Discuss limitations of the study, taking into account sources of potential bias or imprecision. Discuss both direction and magnitude of any potential bias</w:t>
            </w:r>
          </w:p>
        </w:tc>
        <w:tc>
          <w:tcPr>
            <w:tcW w:w="1124" w:type="dxa"/>
            <w:gridSpan w:val="2"/>
          </w:tcPr>
          <w:p w14:paraId="2898A6A7" w14:textId="5074C713"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9</w:t>
            </w:r>
          </w:p>
        </w:tc>
        <w:tc>
          <w:tcPr>
            <w:tcW w:w="4186" w:type="dxa"/>
          </w:tcPr>
          <w:p w14:paraId="72A1369E" w14:textId="4D2802C9" w:rsidR="00063F2A" w:rsidRPr="003B399E" w:rsidRDefault="001E241C" w:rsidP="00D3062F">
            <w:pPr>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 xml:space="preserve">Our study has several limitations. </w:t>
            </w:r>
            <w:r w:rsidR="00117CF7">
              <w:rPr>
                <w:rFonts w:ascii="Times New Roman" w:hAnsi="Times New Roman" w:cs="Times New Roman"/>
                <w:sz w:val="18"/>
                <w:szCs w:val="18"/>
              </w:rPr>
              <w:t>…</w:t>
            </w:r>
            <w:r w:rsidR="00063F2A" w:rsidRPr="003B399E">
              <w:rPr>
                <w:rFonts w:ascii="Times New Roman" w:hAnsi="Times New Roman" w:cs="Times New Roman"/>
                <w:sz w:val="18"/>
                <w:szCs w:val="18"/>
              </w:rPr>
              <w:t xml:space="preserve"> to perform pragmatic comparisons in clinically challenging cases.”</w:t>
            </w:r>
          </w:p>
          <w:p w14:paraId="033E29B7" w14:textId="4FCAE556" w:rsidR="001E241C" w:rsidRPr="003B399E" w:rsidRDefault="001E241C" w:rsidP="003B399E">
            <w:pPr>
              <w:ind w:firstLine="360"/>
              <w:jc w:val="both"/>
              <w:rPr>
                <w:rFonts w:ascii="Times New Roman" w:hAnsi="Times New Roman" w:cs="Times New Roman"/>
                <w:sz w:val="18"/>
                <w:szCs w:val="18"/>
              </w:rPr>
            </w:pPr>
          </w:p>
        </w:tc>
      </w:tr>
      <w:tr w:rsidR="00EB6E97" w:rsidRPr="003B399E" w14:paraId="34DAC834" w14:textId="77777777" w:rsidTr="00D3062F">
        <w:tc>
          <w:tcPr>
            <w:tcW w:w="0" w:type="auto"/>
          </w:tcPr>
          <w:p w14:paraId="756091F1"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Interpretation</w:t>
            </w:r>
          </w:p>
        </w:tc>
        <w:tc>
          <w:tcPr>
            <w:tcW w:w="0" w:type="auto"/>
          </w:tcPr>
          <w:p w14:paraId="14CBBE2A"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20</w:t>
            </w:r>
          </w:p>
        </w:tc>
        <w:tc>
          <w:tcPr>
            <w:tcW w:w="2933" w:type="dxa"/>
          </w:tcPr>
          <w:p w14:paraId="674B0794"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Give a cautious overall interpretation of results considering objectives, limitations, multiplicity of analyses, results from similar studies, and other relevant evidence</w:t>
            </w:r>
          </w:p>
        </w:tc>
        <w:tc>
          <w:tcPr>
            <w:tcW w:w="1124" w:type="dxa"/>
            <w:gridSpan w:val="2"/>
          </w:tcPr>
          <w:p w14:paraId="446EAD0E" w14:textId="1A4FC26A"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9</w:t>
            </w:r>
          </w:p>
        </w:tc>
        <w:tc>
          <w:tcPr>
            <w:tcW w:w="4186" w:type="dxa"/>
          </w:tcPr>
          <w:p w14:paraId="64F1C854" w14:textId="1D57493B" w:rsidR="002732B6" w:rsidRPr="003B399E" w:rsidRDefault="002732B6" w:rsidP="003B399E">
            <w:pPr>
              <w:ind w:firstLine="360"/>
              <w:jc w:val="both"/>
              <w:rPr>
                <w:rFonts w:ascii="Times New Roman" w:hAnsi="Times New Roman" w:cs="Times New Roman"/>
                <w:sz w:val="18"/>
                <w:szCs w:val="18"/>
              </w:rPr>
            </w:pPr>
            <w:r w:rsidRPr="003B399E">
              <w:rPr>
                <w:rFonts w:ascii="Times New Roman" w:hAnsi="Times New Roman" w:cs="Times New Roman"/>
                <w:sz w:val="18"/>
                <w:szCs w:val="18"/>
              </w:rPr>
              <w:t>“</w:t>
            </w:r>
            <w:r w:rsidR="00063F2A" w:rsidRPr="003B399E">
              <w:rPr>
                <w:rFonts w:ascii="Times New Roman" w:hAnsi="Times New Roman" w:cs="Times New Roman"/>
                <w:sz w:val="18"/>
                <w:szCs w:val="18"/>
              </w:rPr>
              <w:t>In summary, our study provides proof-of-concept evidence that as NGS technologies develop further, they will become useful as pneumonia diagnostic tools in the ICU to allow for fast and reliable etiologic pathogen identification. Our results demonstrate the clinical relevance of comprehensive microbial community profiling to provide information beyond what is currently available in clinical practice by microbiologic cultures and to directly impact clinical decision-making. Further prospective study in larger patient cohorts will allow for meaningful integration of sequencing output in culture-independent definitions of pneumonia</w:t>
            </w:r>
            <w:r w:rsidRPr="003B399E">
              <w:rPr>
                <w:rFonts w:ascii="Times New Roman" w:hAnsi="Times New Roman" w:cs="Times New Roman"/>
                <w:sz w:val="18"/>
                <w:szCs w:val="18"/>
              </w:rPr>
              <w:t>.</w:t>
            </w:r>
            <w:r w:rsidR="00063F2A" w:rsidRPr="003B399E">
              <w:rPr>
                <w:rFonts w:ascii="Times New Roman" w:hAnsi="Times New Roman" w:cs="Times New Roman"/>
                <w:sz w:val="18"/>
                <w:szCs w:val="18"/>
              </w:rPr>
              <w:t>”</w:t>
            </w:r>
          </w:p>
          <w:p w14:paraId="2A9F1AFB" w14:textId="77777777" w:rsidR="001E241C" w:rsidRPr="003B399E" w:rsidRDefault="001E241C" w:rsidP="003B399E">
            <w:pPr>
              <w:tabs>
                <w:tab w:val="left" w:pos="5400"/>
              </w:tabs>
              <w:rPr>
                <w:rFonts w:ascii="Times New Roman" w:hAnsi="Times New Roman" w:cs="Times New Roman"/>
                <w:sz w:val="18"/>
                <w:szCs w:val="18"/>
              </w:rPr>
            </w:pPr>
          </w:p>
        </w:tc>
      </w:tr>
      <w:tr w:rsidR="00EB6E97" w:rsidRPr="003B399E" w14:paraId="7525E62D" w14:textId="77777777" w:rsidTr="00D3062F">
        <w:tc>
          <w:tcPr>
            <w:tcW w:w="0" w:type="auto"/>
          </w:tcPr>
          <w:p w14:paraId="483F557F"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Generalisability</w:t>
            </w:r>
          </w:p>
        </w:tc>
        <w:tc>
          <w:tcPr>
            <w:tcW w:w="0" w:type="auto"/>
          </w:tcPr>
          <w:p w14:paraId="40BFC479"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21</w:t>
            </w:r>
          </w:p>
        </w:tc>
        <w:tc>
          <w:tcPr>
            <w:tcW w:w="2933" w:type="dxa"/>
          </w:tcPr>
          <w:p w14:paraId="17E13FE9"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Discuss the generalisability (external validity) of the study results</w:t>
            </w:r>
          </w:p>
        </w:tc>
        <w:tc>
          <w:tcPr>
            <w:tcW w:w="1124" w:type="dxa"/>
            <w:gridSpan w:val="2"/>
          </w:tcPr>
          <w:p w14:paraId="375D7AFA" w14:textId="7FA25924"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9</w:t>
            </w:r>
          </w:p>
        </w:tc>
        <w:tc>
          <w:tcPr>
            <w:tcW w:w="4186" w:type="dxa"/>
          </w:tcPr>
          <w:p w14:paraId="18439E8B" w14:textId="779B7AF9" w:rsidR="001E241C" w:rsidRPr="003B399E" w:rsidRDefault="00063F2A"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Our study has several limitations. It is a single-center design and is limited by available sample size, despite being the largest study of its kind. Consequently, the panel of pathogenic bacteria detected by sequencing is limited,</w:t>
            </w:r>
            <w:r w:rsidRPr="003B399E">
              <w:rPr>
                <w:rFonts w:ascii="Times New Roman" w:hAnsi="Times New Roman" w:cs="Times New Roman"/>
                <w:sz w:val="18"/>
                <w:szCs w:val="18"/>
              </w:rPr>
              <w:fldChar w:fldCharType="begin"/>
            </w:r>
            <w:r w:rsidR="008D4385" w:rsidRPr="003B399E">
              <w:rPr>
                <w:rFonts w:ascii="Times New Roman" w:hAnsi="Times New Roman" w:cs="Times New Roman"/>
                <w:sz w:val="18"/>
                <w:szCs w:val="18"/>
              </w:rPr>
              <w:instrText>ADDIN F1000_CSL_CITATION&lt;~#@#~&gt;[{"DOI":"10.1371/journal.pone.0117617","First":false,"Last":false,"PMCID":"PMC4319838","PMID":"25658760","abstract":"According to World Health Organization statistics of 2011, infectious diseases remain in the top five causes of mortality worldwide. However, despite sophisticated research tools for microbial detection, rapid and accurate molecular diagnostics for identification of infection in humans have not been extensively adopted. Time-consuming culture-based methods remain to the forefront of clinical microbial detection. The 16S rRNA gene, a molecular marker for identification of bacterial species, is ubiquitous to members of this domain and, thanks to ever-expanding databases of sequence information, a useful tool for bacterial identification. In this study, we assembled an extensive repository of clinical isolates (n = 617), representing 30 medically important pathogenic species and originally identified using traditional culture-based or non-16S molecular methods. This strain repository was used to systematically evaluate the ability of 16S rRNA for species level identification. To enable the most accurate species level classification based on the paucity of sequence data accumulated in public databases, we built a Naïve Bayes classifier representing a diverse set of high-quality sequences from medically important bacterial organisms. We show that for species identification, a model-based approach is superior to an alignment based method. Overall, between 16S gene based and clinical identities, our study shows a genus-level concordance rate of 96% and a species-level concordance rate of 87.5%. We point to multiple cases of probable clinical misidentification with traditional culture based identification across a wide range of gram-negative rods and gram-positive cocci as well as common gram-negative cocci.","author":[{"family":"Srinivasan","given":"Ramya"},{"family":"Karaoz","given":"Ulas"},{"family":"Volegova","given":"Marina"},{"family":"MacKichan","given":"Joanna"},{"family":"Kato-Maeda","given":"Midori"},{"family":"Miller","given":"Steve"},{"family":"Nadarajan","given":"Rohan"},{"family":"Brodie","given":"Eoin L"},{"family":"Lynch","given":"Susan V"}],"authorYearDisplayFormat":false,"citation-label":"2838427","container-title":"Plos One","container-title-short":"PLoS ONE","id":"2838427","invisible":false,"issue":"2","issued":{"date-parts":[["2015","2","6"]]},"journalAbbreviation":"PLoS ONE","page":"e0117617","suppress-author":false,"title":"Use of 16S rRNA gene for identification of a broad range of clinically relevant bacterial pathogens.","type":"article-journal","volume":"10"}]</w:instrText>
            </w:r>
            <w:r w:rsidRPr="003B399E">
              <w:rPr>
                <w:rFonts w:ascii="Times New Roman" w:hAnsi="Times New Roman" w:cs="Times New Roman"/>
                <w:sz w:val="18"/>
                <w:szCs w:val="18"/>
              </w:rPr>
              <w:fldChar w:fldCharType="separate"/>
            </w:r>
            <w:r w:rsidR="008D4385" w:rsidRPr="003B399E">
              <w:rPr>
                <w:rFonts w:ascii="Times New Roman" w:hAnsi="Times New Roman" w:cs="Times New Roman"/>
                <w:noProof/>
                <w:sz w:val="18"/>
                <w:szCs w:val="18"/>
              </w:rPr>
              <w:t>(Srinivasan et al., 2015)</w:t>
            </w:r>
            <w:r w:rsidRPr="003B399E">
              <w:rPr>
                <w:rFonts w:ascii="Times New Roman" w:hAnsi="Times New Roman" w:cs="Times New Roman"/>
                <w:sz w:val="18"/>
                <w:szCs w:val="18"/>
              </w:rPr>
              <w:fldChar w:fldCharType="end"/>
            </w:r>
            <w:r w:rsidRPr="003B399E">
              <w:rPr>
                <w:rFonts w:ascii="Times New Roman" w:hAnsi="Times New Roman" w:cs="Times New Roman"/>
                <w:sz w:val="18"/>
                <w:szCs w:val="18"/>
              </w:rPr>
              <w:t xml:space="preserve"> and generalizing to other critically ill populations and bacteria should be cautious.</w:t>
            </w:r>
            <w:r w:rsidRPr="003B399E">
              <w:rPr>
                <w:rFonts w:ascii="Times New Roman" w:hAnsi="Times New Roman" w:cs="Times New Roman"/>
                <w:sz w:val="18"/>
                <w:szCs w:val="18"/>
              </w:rPr>
              <w:fldChar w:fldCharType="begin"/>
            </w:r>
            <w:r w:rsidR="008D4385" w:rsidRPr="003B399E">
              <w:rPr>
                <w:rFonts w:ascii="Times New Roman" w:hAnsi="Times New Roman" w:cs="Times New Roman"/>
                <w:sz w:val="18"/>
                <w:szCs w:val="18"/>
              </w:rPr>
              <w:instrText>ADDIN F1000_CSL_CITATION&lt;~#@#~&gt;[{"DOI":"10.1016/S2213-2600(14)70097-9","First":false,"Last":false,"PMCID":"PMC4154544","PMID":"24853585","abstract":"BACKGROUND: Subphenotypes have been identified within heterogeneous diseases such as asthma and breast cancer, with important therapeutic implications. We assessed whether subphenotypes exist within acute respiratory distress syndrome (ARDS), another heterogeneous disorder.METHODS: We used data from two ARDS randomised controlled trials (ARMA trial and ALVEOLI trial), sponsored by the National Heart, Lung, and Blood Institute. We applied latent class modelling to identify subphenotypes using clinical and biological data. We modelled data from both studies independently. We then tested the association of subphenotypes with clinical outcomes in both cohorts and with the response to positive end-expiratory pressure (PEEP) in the ALVEOLI cohort.FINDINGS: We analysed data for 1022 patients: 473 in the ARMA cohort and 549 in the ALVEOLI cohort. Independent latent class models indicated that a two-class (ie, two subphenotype) model was the best fit for both cohorts. In both cohorts, we identified a hyperinflammatory subphenotype (phenotype 2) that was characterised by higher plasma concentrations of inflammatory biomarkers, a higher prevalence of vasopressor use, lower serum bicarbonate concentrations, and a higher prevalence of sepsis than phenotype 1. Participants in phenotype 2 had higher mortality and fewer ventilator-free days and organ failure-free days in both cohorts than did those in phenotype 1 (p&lt;0·007 for all). In the ALVEOLI cohort, the effects of ventilation strategy (high PEEP vs low PEEP) on mortality, ventilator-free days and organ failure-free days differed by phenotype (p=0·049 for mortality, p=0·018 for ventilator-free days, p=0·003 for organ-failure-free days).INTERPRETATION: We have identified two subphenotypes within ARDS, one of which is categorised by more severe inflammation, shock, and metabolic acidosis and by worse clinical outcomes. Response to treatment in a randomised trial of PEEP strategies differed on the basis of subphenotype. Identification of ARDS subphenotypes might be useful in selecting patients for future clinical trials.FUNDING: National Institutes of Health.Copyright © 2014 Elsevier Ltd. All rights reserved.","author":[{"family":"Calfee","given":"Carolyn S"},{"family":"Delucchi","given":"Kevin"},{"family":"Parsons","given":"Polly E"},{"family":"Thompson","given":"B Taylor"},{"family":"Ware","given":"Lorraine B"},{"family":"Matthay","given":"Michael A"},{"family":"NHLBI ARDS Network"}],"authorYearDisplayFormat":false,"citation-label":"1244920","container-title":"The Lancet. Respiratory medicine","container-title-short":"Lancet Respir. Med.","id":"1244920","invisible":false,"issue":"8","issued":{"date-parts":[["2014","8"]]},"journalAbbreviation":"Lancet Respir. Med.","page":"611-620","suppress-author":false,"title":"Subphenotypes in acute respiratory distress syndrome: latent class analysis of data from two randomised controlled trials.","type":"article-journal","volume":"2"}]</w:instrText>
            </w:r>
            <w:r w:rsidRPr="003B399E">
              <w:rPr>
                <w:rFonts w:ascii="Times New Roman" w:hAnsi="Times New Roman" w:cs="Times New Roman"/>
                <w:sz w:val="18"/>
                <w:szCs w:val="18"/>
              </w:rPr>
              <w:fldChar w:fldCharType="separate"/>
            </w:r>
            <w:r w:rsidR="008D4385" w:rsidRPr="003B399E">
              <w:rPr>
                <w:rFonts w:ascii="Times New Roman" w:hAnsi="Times New Roman" w:cs="Times New Roman"/>
                <w:noProof/>
                <w:sz w:val="18"/>
                <w:szCs w:val="18"/>
              </w:rPr>
              <w:t>(Calfee et al., 2014)</w:t>
            </w:r>
            <w:r w:rsidRPr="003B399E">
              <w:rPr>
                <w:rFonts w:ascii="Times New Roman" w:hAnsi="Times New Roman" w:cs="Times New Roman"/>
                <w:sz w:val="18"/>
                <w:szCs w:val="18"/>
              </w:rPr>
              <w:fldChar w:fldCharType="end"/>
            </w:r>
          </w:p>
        </w:tc>
      </w:tr>
      <w:tr w:rsidR="00EB6E97" w:rsidRPr="003B399E" w14:paraId="3B15941E" w14:textId="77777777" w:rsidTr="00D3062F">
        <w:trPr>
          <w:gridAfter w:val="2"/>
          <w:wAfter w:w="4195" w:type="dxa"/>
        </w:trPr>
        <w:tc>
          <w:tcPr>
            <w:tcW w:w="1765" w:type="dxa"/>
            <w:gridSpan w:val="2"/>
          </w:tcPr>
          <w:p w14:paraId="49FC4894" w14:textId="77777777" w:rsidR="001E241C" w:rsidRPr="003B399E" w:rsidRDefault="001E241C" w:rsidP="003B399E">
            <w:pPr>
              <w:pStyle w:val="TableSubHead"/>
              <w:tabs>
                <w:tab w:val="left" w:pos="5400"/>
              </w:tabs>
              <w:rPr>
                <w:sz w:val="18"/>
                <w:szCs w:val="18"/>
              </w:rPr>
            </w:pPr>
            <w:r w:rsidRPr="003B399E">
              <w:rPr>
                <w:sz w:val="18"/>
                <w:szCs w:val="18"/>
              </w:rPr>
              <w:t>Other information</w:t>
            </w:r>
          </w:p>
        </w:tc>
        <w:tc>
          <w:tcPr>
            <w:tcW w:w="4048" w:type="dxa"/>
            <w:gridSpan w:val="2"/>
          </w:tcPr>
          <w:p w14:paraId="6E7935E5" w14:textId="77777777" w:rsidR="001E241C" w:rsidRPr="003B399E" w:rsidRDefault="001E241C" w:rsidP="003B399E">
            <w:pPr>
              <w:pStyle w:val="TableSubHead"/>
              <w:tabs>
                <w:tab w:val="left" w:pos="5400"/>
              </w:tabs>
              <w:rPr>
                <w:sz w:val="18"/>
                <w:szCs w:val="18"/>
              </w:rPr>
            </w:pPr>
          </w:p>
        </w:tc>
      </w:tr>
      <w:tr w:rsidR="00EB6E97" w:rsidRPr="003B399E" w14:paraId="22032D7A" w14:textId="77777777" w:rsidTr="00D3062F">
        <w:tc>
          <w:tcPr>
            <w:tcW w:w="0" w:type="auto"/>
          </w:tcPr>
          <w:p w14:paraId="45E01B8A" w14:textId="77777777" w:rsidR="001E241C" w:rsidRPr="003B399E" w:rsidRDefault="001E241C" w:rsidP="003B399E">
            <w:pPr>
              <w:tabs>
                <w:tab w:val="left" w:pos="5400"/>
              </w:tabs>
              <w:rPr>
                <w:rFonts w:ascii="Times New Roman" w:hAnsi="Times New Roman" w:cs="Times New Roman"/>
                <w:bCs/>
                <w:sz w:val="18"/>
                <w:szCs w:val="18"/>
              </w:rPr>
            </w:pPr>
            <w:r w:rsidRPr="003B399E">
              <w:rPr>
                <w:rFonts w:ascii="Times New Roman" w:hAnsi="Times New Roman" w:cs="Times New Roman"/>
                <w:bCs/>
                <w:sz w:val="18"/>
                <w:szCs w:val="18"/>
              </w:rPr>
              <w:t>Funding</w:t>
            </w:r>
          </w:p>
        </w:tc>
        <w:tc>
          <w:tcPr>
            <w:tcW w:w="0" w:type="auto"/>
          </w:tcPr>
          <w:p w14:paraId="418D5267" w14:textId="77777777" w:rsidR="001E241C" w:rsidRPr="003B399E" w:rsidRDefault="001E241C" w:rsidP="003B399E">
            <w:pPr>
              <w:tabs>
                <w:tab w:val="left" w:pos="5400"/>
              </w:tabs>
              <w:jc w:val="center"/>
              <w:rPr>
                <w:rFonts w:ascii="Times New Roman" w:hAnsi="Times New Roman" w:cs="Times New Roman"/>
                <w:sz w:val="18"/>
                <w:szCs w:val="18"/>
              </w:rPr>
            </w:pPr>
            <w:r w:rsidRPr="003B399E">
              <w:rPr>
                <w:rFonts w:ascii="Times New Roman" w:hAnsi="Times New Roman" w:cs="Times New Roman"/>
                <w:sz w:val="18"/>
                <w:szCs w:val="18"/>
              </w:rPr>
              <w:t>22</w:t>
            </w:r>
          </w:p>
        </w:tc>
        <w:tc>
          <w:tcPr>
            <w:tcW w:w="2933" w:type="dxa"/>
          </w:tcPr>
          <w:p w14:paraId="659F0804" w14:textId="77777777" w:rsidR="001E241C" w:rsidRPr="003B399E" w:rsidRDefault="001E241C"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Give the source of funding and the role of the funders for the present study and, if applicable, for the original study on which the present article is based</w:t>
            </w:r>
          </w:p>
        </w:tc>
        <w:tc>
          <w:tcPr>
            <w:tcW w:w="1124" w:type="dxa"/>
            <w:gridSpan w:val="2"/>
          </w:tcPr>
          <w:p w14:paraId="2103700D" w14:textId="1242B5F0" w:rsidR="001E241C" w:rsidRPr="003B399E" w:rsidRDefault="008D4385" w:rsidP="003B399E">
            <w:pPr>
              <w:tabs>
                <w:tab w:val="left" w:pos="5400"/>
              </w:tabs>
              <w:rPr>
                <w:rFonts w:ascii="Times New Roman" w:hAnsi="Times New Roman" w:cs="Times New Roman"/>
                <w:sz w:val="18"/>
                <w:szCs w:val="18"/>
              </w:rPr>
            </w:pPr>
            <w:r w:rsidRPr="003B399E">
              <w:rPr>
                <w:rFonts w:ascii="Times New Roman" w:hAnsi="Times New Roman" w:cs="Times New Roman"/>
                <w:sz w:val="18"/>
                <w:szCs w:val="18"/>
              </w:rPr>
              <w:t>10</w:t>
            </w:r>
          </w:p>
        </w:tc>
        <w:tc>
          <w:tcPr>
            <w:tcW w:w="4186" w:type="dxa"/>
          </w:tcPr>
          <w:p w14:paraId="7AA76159" w14:textId="024E9962" w:rsidR="00063F2A" w:rsidRPr="003B399E" w:rsidRDefault="00063F2A" w:rsidP="003B399E">
            <w:pPr>
              <w:rPr>
                <w:rFonts w:ascii="Times New Roman" w:eastAsia="Times New Roman" w:hAnsi="Times New Roman" w:cs="Times New Roman"/>
                <w:sz w:val="18"/>
                <w:szCs w:val="18"/>
              </w:rPr>
            </w:pPr>
            <w:r w:rsidRPr="003B399E">
              <w:rPr>
                <w:rFonts w:ascii="Times New Roman" w:hAnsi="Times New Roman" w:cs="Times New Roman"/>
                <w:b/>
                <w:sz w:val="18"/>
                <w:szCs w:val="18"/>
              </w:rPr>
              <w:t>Funding</w:t>
            </w:r>
            <w:r w:rsidRPr="003B399E">
              <w:rPr>
                <w:rFonts w:ascii="Times New Roman" w:hAnsi="Times New Roman" w:cs="Times New Roman"/>
                <w:sz w:val="18"/>
                <w:szCs w:val="18"/>
              </w:rPr>
              <w:t xml:space="preserve">: National Institutes of Health (T32 HL007562 (GK); </w:t>
            </w:r>
            <w:r w:rsidRPr="003B399E">
              <w:rPr>
                <w:rFonts w:ascii="Times New Roman" w:eastAsia="Times New Roman" w:hAnsi="Times New Roman" w:cs="Times New Roman"/>
                <w:sz w:val="18"/>
                <w:szCs w:val="18"/>
                <w:shd w:val="clear" w:color="auto" w:fill="FFFFFF"/>
              </w:rPr>
              <w:t>K23 HL139987 (GK);</w:t>
            </w:r>
            <w:r w:rsidRPr="003B399E">
              <w:rPr>
                <w:rFonts w:ascii="Times New Roman" w:hAnsi="Times New Roman" w:cs="Times New Roman"/>
                <w:sz w:val="18"/>
                <w:szCs w:val="18"/>
              </w:rPr>
              <w:t xml:space="preserve"> U01 HL098962 (AM); P01 HL114453 (BJM); R01 HL097376 (BJM); K24 HL123342 (AM); U01 HL137159 (DVM, PVB); R01 LM012087 (DVM, PVB); R01 HL086884 (JSL, WB); HL136143 (JSL, WB); </w:t>
            </w:r>
            <w:r w:rsidRPr="003B399E">
              <w:rPr>
                <w:rFonts w:ascii="Times New Roman" w:eastAsia="Times New Roman" w:hAnsi="Times New Roman" w:cs="Times New Roman"/>
                <w:sz w:val="18"/>
                <w:szCs w:val="18"/>
                <w:shd w:val="clear" w:color="auto" w:fill="FFFFFF"/>
              </w:rPr>
              <w:t>F32 HL137258-01 (JE))</w:t>
            </w:r>
          </w:p>
          <w:p w14:paraId="1BEE5A19" w14:textId="05FD1CFC" w:rsidR="001E241C" w:rsidRPr="003B399E" w:rsidRDefault="001E241C" w:rsidP="003B399E">
            <w:pPr>
              <w:tabs>
                <w:tab w:val="left" w:pos="5400"/>
              </w:tabs>
              <w:rPr>
                <w:rFonts w:ascii="Times New Roman" w:hAnsi="Times New Roman" w:cs="Times New Roman"/>
                <w:sz w:val="18"/>
                <w:szCs w:val="18"/>
              </w:rPr>
            </w:pPr>
          </w:p>
        </w:tc>
      </w:tr>
    </w:tbl>
    <w:p w14:paraId="6EF4643B" w14:textId="77777777" w:rsidR="00950883" w:rsidRPr="003B399E" w:rsidRDefault="00950883" w:rsidP="003B399E">
      <w:pPr>
        <w:pStyle w:val="TableNote"/>
        <w:tabs>
          <w:tab w:val="left" w:pos="5400"/>
        </w:tabs>
        <w:spacing w:line="240" w:lineRule="auto"/>
        <w:rPr>
          <w:szCs w:val="24"/>
        </w:rPr>
      </w:pPr>
    </w:p>
    <w:p w14:paraId="30B60D24" w14:textId="77777777" w:rsidR="00950883" w:rsidRPr="003B399E" w:rsidRDefault="00950883" w:rsidP="003B399E">
      <w:pPr>
        <w:pStyle w:val="TableNote"/>
        <w:tabs>
          <w:tab w:val="left" w:pos="5400"/>
        </w:tabs>
        <w:spacing w:line="240" w:lineRule="auto"/>
        <w:rPr>
          <w:szCs w:val="24"/>
        </w:rPr>
      </w:pPr>
      <w:r w:rsidRPr="003B399E">
        <w:rPr>
          <w:b/>
          <w:szCs w:val="24"/>
        </w:rPr>
        <w:t>Note:</w:t>
      </w:r>
      <w:r w:rsidRPr="003B399E">
        <w:rPr>
          <w:szCs w:val="24"/>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http://</w:t>
      </w:r>
      <w:r w:rsidRPr="003B399E">
        <w:rPr>
          <w:rStyle w:val="URL"/>
          <w:color w:val="auto"/>
          <w:szCs w:val="24"/>
        </w:rPr>
        <w:t>www.strobe-statement.org</w:t>
      </w:r>
      <w:r w:rsidRPr="003B399E">
        <w:rPr>
          <w:szCs w:val="24"/>
        </w:rPr>
        <w:t>.</w:t>
      </w:r>
    </w:p>
    <w:p w14:paraId="78D8EB41" w14:textId="77777777" w:rsidR="00DF2FC5" w:rsidRPr="003B399E" w:rsidRDefault="00DF2FC5" w:rsidP="003B399E">
      <w:pPr>
        <w:rPr>
          <w:rFonts w:ascii="Times New Roman" w:hAnsi="Times New Roman" w:cs="Times New Roman"/>
          <w:b/>
        </w:rPr>
      </w:pPr>
      <w:r w:rsidRPr="003B399E">
        <w:rPr>
          <w:rFonts w:ascii="Times New Roman" w:hAnsi="Times New Roman" w:cs="Times New Roman"/>
          <w:b/>
        </w:rPr>
        <w:br w:type="page"/>
      </w:r>
    </w:p>
    <w:p w14:paraId="34C61CAB" w14:textId="77777777" w:rsidR="00B64D98" w:rsidRPr="003B399E" w:rsidRDefault="00B64D98" w:rsidP="003B399E">
      <w:pPr>
        <w:rPr>
          <w:rFonts w:ascii="Times New Roman" w:hAnsi="Times New Roman" w:cs="Times New Roman"/>
        </w:rPr>
      </w:pPr>
      <w:r w:rsidRPr="003B399E">
        <w:rPr>
          <w:rFonts w:ascii="Times New Roman" w:hAnsi="Times New Roman" w:cs="Times New Roman"/>
          <w:b/>
        </w:rPr>
        <w:t>EXTENSIVE METHODS</w:t>
      </w:r>
    </w:p>
    <w:p w14:paraId="0658C3D3" w14:textId="77777777" w:rsidR="009C2A18" w:rsidRDefault="009C2A18" w:rsidP="003B399E">
      <w:pPr>
        <w:jc w:val="both"/>
        <w:rPr>
          <w:rFonts w:ascii="Times New Roman" w:hAnsi="Times New Roman" w:cs="Times New Roman"/>
          <w:b/>
          <w:u w:val="single"/>
        </w:rPr>
      </w:pPr>
    </w:p>
    <w:p w14:paraId="2F468FEF" w14:textId="77777777" w:rsidR="00B64D98" w:rsidRPr="00A40E06" w:rsidRDefault="00B64D98" w:rsidP="003B399E">
      <w:pPr>
        <w:jc w:val="both"/>
        <w:rPr>
          <w:rFonts w:ascii="Times New Roman" w:hAnsi="Times New Roman" w:cs="Times New Roman"/>
          <w:b/>
          <w:u w:val="single"/>
        </w:rPr>
      </w:pPr>
      <w:r w:rsidRPr="00A40E06">
        <w:rPr>
          <w:rFonts w:ascii="Times New Roman" w:hAnsi="Times New Roman" w:cs="Times New Roman"/>
          <w:b/>
          <w:u w:val="single"/>
        </w:rPr>
        <w:t xml:space="preserve">Sample acquisition: </w:t>
      </w:r>
    </w:p>
    <w:p w14:paraId="410C8610" w14:textId="77777777" w:rsidR="00556A61" w:rsidRPr="00A40E06" w:rsidRDefault="00D05298" w:rsidP="003B399E">
      <w:pPr>
        <w:jc w:val="both"/>
        <w:rPr>
          <w:rFonts w:ascii="Times New Roman" w:eastAsia="MS Gothic" w:hAnsi="Times New Roman" w:cs="Times New Roman"/>
          <w:u w:val="single"/>
        </w:rPr>
      </w:pPr>
      <w:r w:rsidRPr="00A40E06">
        <w:rPr>
          <w:rFonts w:ascii="Times New Roman" w:hAnsi="Times New Roman" w:cs="Times New Roman"/>
        </w:rPr>
        <w:t xml:space="preserve">Immediately after enrollment, we obtained baseline samples for microbiome analyses of the oral and lung communities and plasma samples for measurement of host-response biomarkers, with the following </w:t>
      </w:r>
      <w:r w:rsidR="00556A61" w:rsidRPr="00A40E06">
        <w:rPr>
          <w:rFonts w:ascii="Times New Roman" w:eastAsia="MS Gothic" w:hAnsi="Times New Roman" w:cs="Times New Roman"/>
        </w:rPr>
        <w:t>sample acquisition protocol:</w:t>
      </w:r>
      <w:r w:rsidR="00556A61" w:rsidRPr="00A40E06">
        <w:rPr>
          <w:rFonts w:ascii="Times New Roman" w:eastAsia="MS Gothic" w:hAnsi="Times New Roman" w:cs="Times New Roman"/>
          <w:u w:val="single"/>
        </w:rPr>
        <w:t xml:space="preserve"> </w:t>
      </w:r>
    </w:p>
    <w:p w14:paraId="187FDD2C" w14:textId="77777777" w:rsidR="00B30FD2" w:rsidRPr="00A40E06" w:rsidRDefault="00B30FD2" w:rsidP="003B399E">
      <w:pPr>
        <w:ind w:firstLine="720"/>
        <w:jc w:val="both"/>
        <w:rPr>
          <w:rFonts w:ascii="Times New Roman" w:eastAsia="MS Gothic" w:hAnsi="Times New Roman" w:cs="Times New Roman"/>
        </w:rPr>
      </w:pPr>
      <w:r w:rsidRPr="00A40E06">
        <w:rPr>
          <w:rFonts w:ascii="Times New Roman" w:eastAsia="MS Gothic" w:hAnsi="Times New Roman" w:cs="Times New Roman"/>
          <w:b/>
        </w:rPr>
        <w:t>Oral swabs</w:t>
      </w:r>
      <w:r w:rsidRPr="00A40E06">
        <w:rPr>
          <w:rFonts w:ascii="Times New Roman" w:eastAsia="MS Gothic" w:hAnsi="Times New Roman" w:cs="Times New Roman"/>
        </w:rPr>
        <w:t xml:space="preserve">: a sterile </w:t>
      </w:r>
      <w:r w:rsidR="0096621B" w:rsidRPr="00A40E06">
        <w:rPr>
          <w:rFonts w:ascii="Times New Roman" w:eastAsia="MS Gothic" w:hAnsi="Times New Roman" w:cs="Times New Roman"/>
        </w:rPr>
        <w:t>cotton</w:t>
      </w:r>
      <w:r w:rsidRPr="00A40E06">
        <w:rPr>
          <w:rFonts w:ascii="Times New Roman" w:eastAsia="MS Gothic" w:hAnsi="Times New Roman" w:cs="Times New Roman"/>
        </w:rPr>
        <w:t xml:space="preserve"> swab was gently rubbed on the base of the tongue dorsum for ~ 5secs and then capped in the collection tube, labeled and frozen to </w:t>
      </w:r>
      <w:r w:rsidR="00A614DF" w:rsidRPr="00A40E06">
        <w:rPr>
          <w:rFonts w:ascii="Times New Roman" w:hAnsi="Times New Roman" w:cs="Times New Roman"/>
        </w:rPr>
        <w:t xml:space="preserve">-80°C </w:t>
      </w:r>
      <w:r w:rsidRPr="00A40E06">
        <w:rPr>
          <w:rFonts w:ascii="Times New Roman" w:eastAsia="MS Gothic" w:hAnsi="Times New Roman" w:cs="Times New Roman"/>
        </w:rPr>
        <w:t xml:space="preserve">as soon as possible until sample processing. </w:t>
      </w:r>
    </w:p>
    <w:p w14:paraId="7C548DCA" w14:textId="77777777" w:rsidR="00B30FD2" w:rsidRPr="00A40E06" w:rsidRDefault="00B30FD2" w:rsidP="003B399E">
      <w:pPr>
        <w:ind w:firstLine="720"/>
        <w:jc w:val="both"/>
        <w:rPr>
          <w:rFonts w:ascii="Times New Roman" w:eastAsia="MS Gothic" w:hAnsi="Times New Roman" w:cs="Times New Roman"/>
        </w:rPr>
      </w:pPr>
      <w:r w:rsidRPr="00A40E06">
        <w:rPr>
          <w:rFonts w:ascii="Times New Roman" w:eastAsia="MS Gothic" w:hAnsi="Times New Roman" w:cs="Times New Roman"/>
          <w:b/>
        </w:rPr>
        <w:t>Endotracheal aspirates (ETAs)</w:t>
      </w:r>
      <w:r w:rsidRPr="00A40E06">
        <w:rPr>
          <w:rFonts w:ascii="Times New Roman" w:eastAsia="MS Gothic" w:hAnsi="Times New Roman" w:cs="Times New Roman"/>
        </w:rPr>
        <w:t xml:space="preserve">: Distal tracheal secretions were suctioned through a closed endotracheal tube suctioning system, similar to the ETAs obtained during routine clinical care for microbiologic culture studies. In cases that suctioning did not return adequate (&gt;5ml) amount of ETAs, we instilled 5cc of sterile saline through the tubing system and then repeated suctioning. </w:t>
      </w:r>
      <w:r w:rsidR="00A40EF4" w:rsidRPr="00A40E06">
        <w:rPr>
          <w:rFonts w:ascii="Times New Roman" w:eastAsia="MS Gothic" w:hAnsi="Times New Roman" w:cs="Times New Roman"/>
        </w:rPr>
        <w:t xml:space="preserve">In cases where sterile saline was used for sampling, we also collected the left-over saline not used for sample collection (~ 5cc) as a negative control to examine for procedural contamination of our samples. </w:t>
      </w:r>
      <w:r w:rsidRPr="00A40E06">
        <w:rPr>
          <w:rFonts w:ascii="Times New Roman" w:eastAsia="MS Gothic" w:hAnsi="Times New Roman" w:cs="Times New Roman"/>
        </w:rPr>
        <w:t xml:space="preserve">Samples were directly collected in sputum collection traps, labeled and frozen to </w:t>
      </w:r>
      <w:r w:rsidR="00A614DF" w:rsidRPr="00A40E06">
        <w:rPr>
          <w:rFonts w:ascii="Times New Roman" w:hAnsi="Times New Roman" w:cs="Times New Roman"/>
        </w:rPr>
        <w:t xml:space="preserve">-80°C </w:t>
      </w:r>
      <w:r w:rsidRPr="00A40E06">
        <w:rPr>
          <w:rFonts w:ascii="Times New Roman" w:eastAsia="MS Gothic" w:hAnsi="Times New Roman" w:cs="Times New Roman"/>
        </w:rPr>
        <w:t xml:space="preserve">as soon as possible until sample processing. </w:t>
      </w:r>
    </w:p>
    <w:p w14:paraId="52D0700C" w14:textId="34BC63C2" w:rsidR="00B30FD2" w:rsidRPr="00A40E06" w:rsidRDefault="00B30FD2" w:rsidP="003B399E">
      <w:pPr>
        <w:ind w:firstLine="720"/>
        <w:jc w:val="both"/>
        <w:rPr>
          <w:rFonts w:ascii="Times New Roman" w:eastAsia="MS Gothic" w:hAnsi="Times New Roman" w:cs="Times New Roman"/>
        </w:rPr>
      </w:pPr>
      <w:r w:rsidRPr="00A40E06">
        <w:rPr>
          <w:rFonts w:ascii="Times New Roman" w:eastAsia="MS Gothic" w:hAnsi="Times New Roman" w:cs="Times New Roman"/>
          <w:b/>
        </w:rPr>
        <w:t>Plasma samples</w:t>
      </w:r>
      <w:r w:rsidRPr="00A40E06">
        <w:rPr>
          <w:rFonts w:ascii="Times New Roman" w:eastAsia="MS Gothic" w:hAnsi="Times New Roman" w:cs="Times New Roman"/>
        </w:rPr>
        <w:t>: At the same time of respiratory sample collections, we also collected blood samples (10cc) (through central venous or arterial access or phlebotomy) collected in sodium citrate anticoagulated tubes (“blue-top”)</w:t>
      </w:r>
      <w:r w:rsidR="002D0B51" w:rsidRPr="00A40E06">
        <w:rPr>
          <w:rFonts w:ascii="Times New Roman" w:eastAsia="MS Gothic" w:hAnsi="Times New Roman" w:cs="Times New Roman"/>
        </w:rPr>
        <w:t xml:space="preserve"> provided that the patients’ hemoglobin concentration was &gt;8g/dl to avoid risks of iatrogenic anemia. Samples </w:t>
      </w:r>
      <w:r w:rsidRPr="00A40E06">
        <w:rPr>
          <w:rFonts w:ascii="Times New Roman" w:eastAsia="MS Gothic" w:hAnsi="Times New Roman" w:cs="Times New Roman"/>
        </w:rPr>
        <w:t xml:space="preserve">were </w:t>
      </w:r>
      <w:r w:rsidR="002D0B51" w:rsidRPr="00A40E06">
        <w:rPr>
          <w:rFonts w:ascii="Times New Roman" w:eastAsia="MS Gothic" w:hAnsi="Times New Roman" w:cs="Times New Roman"/>
        </w:rPr>
        <w:t xml:space="preserve">then </w:t>
      </w:r>
      <w:r w:rsidRPr="00A40E06">
        <w:rPr>
          <w:rFonts w:ascii="Times New Roman" w:eastAsia="MS Gothic" w:hAnsi="Times New Roman" w:cs="Times New Roman"/>
        </w:rPr>
        <w:t xml:space="preserve">transferred to the research laboratory for same day centrifugation and plasma collection and storage to </w:t>
      </w:r>
      <w:r w:rsidR="00A614DF" w:rsidRPr="00A40E06">
        <w:rPr>
          <w:rFonts w:ascii="Times New Roman" w:hAnsi="Times New Roman" w:cs="Times New Roman"/>
        </w:rPr>
        <w:t>-80°C</w:t>
      </w:r>
      <w:r w:rsidRPr="00A40E06">
        <w:rPr>
          <w:rFonts w:ascii="Times New Roman" w:eastAsia="MS Gothic" w:hAnsi="Times New Roman" w:cs="Times New Roman"/>
        </w:rPr>
        <w:t xml:space="preserve">. </w:t>
      </w:r>
    </w:p>
    <w:p w14:paraId="21676B55" w14:textId="77777777" w:rsidR="00556A61" w:rsidRPr="00A40E06" w:rsidRDefault="00556A61" w:rsidP="003B399E">
      <w:pPr>
        <w:jc w:val="both"/>
        <w:rPr>
          <w:rFonts w:ascii="Times New Roman" w:eastAsia="MS Gothic" w:hAnsi="Times New Roman" w:cs="Times New Roman"/>
        </w:rPr>
      </w:pPr>
    </w:p>
    <w:p w14:paraId="178D4FBB" w14:textId="77777777" w:rsidR="00CE2511" w:rsidRPr="00A40E06" w:rsidRDefault="00CE2511" w:rsidP="003B399E">
      <w:pPr>
        <w:jc w:val="both"/>
        <w:rPr>
          <w:rFonts w:ascii="Times New Roman" w:eastAsia="MS Gothic" w:hAnsi="Times New Roman" w:cs="Times New Roman"/>
          <w:b/>
          <w:u w:val="single"/>
        </w:rPr>
      </w:pPr>
      <w:r w:rsidRPr="00A40E06">
        <w:rPr>
          <w:rFonts w:ascii="Times New Roman" w:eastAsia="MS Gothic" w:hAnsi="Times New Roman" w:cs="Times New Roman"/>
          <w:b/>
          <w:u w:val="single"/>
        </w:rPr>
        <w:t xml:space="preserve">Clinical data recording: </w:t>
      </w:r>
    </w:p>
    <w:p w14:paraId="23388716" w14:textId="3A4BC844" w:rsidR="003B3829" w:rsidRPr="00A40E06" w:rsidRDefault="003B3829" w:rsidP="003B399E">
      <w:pPr>
        <w:jc w:val="both"/>
        <w:rPr>
          <w:rFonts w:ascii="Times New Roman" w:hAnsi="Times New Roman" w:cs="Times New Roman"/>
        </w:rPr>
      </w:pPr>
      <w:r w:rsidRPr="00A40E06">
        <w:rPr>
          <w:rFonts w:ascii="Times New Roman" w:hAnsi="Times New Roman" w:cs="Times New Roman"/>
        </w:rPr>
        <w:t>For each patient, we recorded detailed data abstracted from the electronic medical record</w:t>
      </w:r>
      <w:r w:rsidR="00E21B65" w:rsidRPr="00A40E06">
        <w:rPr>
          <w:rFonts w:ascii="Times New Roman" w:hAnsi="Times New Roman" w:cs="Times New Roman"/>
        </w:rPr>
        <w:t xml:space="preserve"> </w:t>
      </w:r>
      <w:r w:rsidR="00B34C4B" w:rsidRPr="00A40E06">
        <w:rPr>
          <w:rFonts w:ascii="Times New Roman" w:hAnsi="Times New Roman" w:cs="Times New Roman"/>
        </w:rPr>
        <w:t xml:space="preserve">(EMR) </w:t>
      </w:r>
      <w:r w:rsidR="00E21B65" w:rsidRPr="00A40E06">
        <w:rPr>
          <w:rFonts w:ascii="Times New Roman" w:hAnsi="Times New Roman" w:cs="Times New Roman"/>
        </w:rPr>
        <w:t>that were used in downstream analyses</w:t>
      </w:r>
      <w:r w:rsidRPr="00A40E06">
        <w:rPr>
          <w:rFonts w:ascii="Times New Roman" w:hAnsi="Times New Roman" w:cs="Times New Roman"/>
        </w:rPr>
        <w:t>.</w:t>
      </w:r>
      <w:r w:rsidR="00B34C4B" w:rsidRPr="00A40E06">
        <w:rPr>
          <w:rFonts w:ascii="Times New Roman" w:hAnsi="Times New Roman" w:cs="Times New Roman"/>
        </w:rPr>
        <w:t xml:space="preserve"> Demographic and medical history data were collected from the EMR on the day of enrollment. Vital signs, laboratory results, mechanical ventilation parameters and chest radiography within 24hrs from enrollment were reviewed and the physiologically worse values (e.g. lowest blood pressure, or highest creatinine value) were recorded. </w:t>
      </w:r>
    </w:p>
    <w:p w14:paraId="4AA31BC7" w14:textId="77777777" w:rsidR="00811E0E" w:rsidRPr="00A40E06" w:rsidRDefault="003B3829" w:rsidP="003B399E">
      <w:pPr>
        <w:jc w:val="both"/>
        <w:rPr>
          <w:rFonts w:ascii="Times New Roman" w:hAnsi="Times New Roman" w:cs="Times New Roman"/>
        </w:rPr>
      </w:pPr>
      <w:r w:rsidRPr="00A40E06">
        <w:rPr>
          <w:rFonts w:ascii="Times New Roman" w:hAnsi="Times New Roman" w:cs="Times New Roman"/>
          <w:u w:val="single"/>
        </w:rPr>
        <w:t>Demographic information</w:t>
      </w:r>
      <w:r w:rsidRPr="00A40E06">
        <w:rPr>
          <w:rFonts w:ascii="Times New Roman" w:hAnsi="Times New Roman" w:cs="Times New Roman"/>
        </w:rPr>
        <w:t xml:space="preserve">: age, sex, </w:t>
      </w:r>
      <w:r w:rsidR="00811E0E" w:rsidRPr="00A40E06">
        <w:rPr>
          <w:rFonts w:ascii="Times New Roman" w:hAnsi="Times New Roman" w:cs="Times New Roman"/>
        </w:rPr>
        <w:t xml:space="preserve">height, weight, body mass index. </w:t>
      </w:r>
    </w:p>
    <w:p w14:paraId="6E6D7164" w14:textId="77777777" w:rsidR="00811E0E" w:rsidRPr="00A40E06" w:rsidRDefault="00811E0E" w:rsidP="003B399E">
      <w:pPr>
        <w:jc w:val="both"/>
        <w:rPr>
          <w:rFonts w:ascii="Times New Roman" w:hAnsi="Times New Roman" w:cs="Times New Roman"/>
        </w:rPr>
      </w:pPr>
      <w:r w:rsidRPr="00A40E06">
        <w:rPr>
          <w:rFonts w:ascii="Times New Roman" w:hAnsi="Times New Roman" w:cs="Times New Roman"/>
          <w:u w:val="single"/>
        </w:rPr>
        <w:t>P</w:t>
      </w:r>
      <w:r w:rsidR="003B3829" w:rsidRPr="00A40E06">
        <w:rPr>
          <w:rFonts w:ascii="Times New Roman" w:hAnsi="Times New Roman" w:cs="Times New Roman"/>
          <w:u w:val="single"/>
        </w:rPr>
        <w:t>ertinent medical history data</w:t>
      </w:r>
      <w:r w:rsidRPr="00A40E06">
        <w:rPr>
          <w:rFonts w:ascii="Times New Roman" w:hAnsi="Times New Roman" w:cs="Times New Roman"/>
        </w:rPr>
        <w:t xml:space="preserve">: history of cardiac arrest, diabetes, chronic obstructive lung disease, congestive heart failure, chronic kidney disease, active neoplasm, chronic liver disease, history of pulmonary fibrosis, solid organ transplant, active immunosuppression. </w:t>
      </w:r>
    </w:p>
    <w:p w14:paraId="77A3E9D5" w14:textId="77777777" w:rsidR="00811E0E" w:rsidRPr="00A40E06" w:rsidRDefault="00811E0E" w:rsidP="003B399E">
      <w:pPr>
        <w:jc w:val="both"/>
        <w:rPr>
          <w:rFonts w:ascii="Times New Roman" w:hAnsi="Times New Roman" w:cs="Times New Roman"/>
        </w:rPr>
      </w:pPr>
      <w:r w:rsidRPr="00A40E06">
        <w:rPr>
          <w:rFonts w:ascii="Times New Roman" w:hAnsi="Times New Roman" w:cs="Times New Roman"/>
          <w:u w:val="single"/>
        </w:rPr>
        <w:t>Vital signs</w:t>
      </w:r>
      <w:r w:rsidRPr="00A40E06">
        <w:rPr>
          <w:rFonts w:ascii="Times New Roman" w:hAnsi="Times New Roman" w:cs="Times New Roman"/>
        </w:rPr>
        <w:t>:</w:t>
      </w:r>
      <w:r w:rsidR="00D42762" w:rsidRPr="00A40E06">
        <w:rPr>
          <w:rFonts w:ascii="Times New Roman" w:hAnsi="Times New Roman" w:cs="Times New Roman"/>
        </w:rPr>
        <w:t xml:space="preserve"> temperature, heart rate, systolic blood pressure (lowest), mean arterial pressure (lowest).</w:t>
      </w:r>
    </w:p>
    <w:p w14:paraId="664E8EC8" w14:textId="77777777" w:rsidR="00D42762" w:rsidRPr="00A40E06" w:rsidRDefault="00811E0E" w:rsidP="003B399E">
      <w:pPr>
        <w:jc w:val="both"/>
        <w:rPr>
          <w:rFonts w:ascii="Times New Roman" w:hAnsi="Times New Roman" w:cs="Times New Roman"/>
        </w:rPr>
      </w:pPr>
      <w:r w:rsidRPr="00A40E06">
        <w:rPr>
          <w:rFonts w:ascii="Times New Roman" w:hAnsi="Times New Roman" w:cs="Times New Roman"/>
          <w:u w:val="single"/>
        </w:rPr>
        <w:t>L</w:t>
      </w:r>
      <w:r w:rsidR="00D42762" w:rsidRPr="00A40E06">
        <w:rPr>
          <w:rFonts w:ascii="Times New Roman" w:hAnsi="Times New Roman" w:cs="Times New Roman"/>
          <w:u w:val="single"/>
        </w:rPr>
        <w:t xml:space="preserve">aboratory results: </w:t>
      </w:r>
      <w:r w:rsidR="00D42762" w:rsidRPr="00A40E06">
        <w:rPr>
          <w:rFonts w:ascii="Times New Roman" w:hAnsi="Times New Roman" w:cs="Times New Roman"/>
        </w:rPr>
        <w:t xml:space="preserve">white blood cell count, hemoglobin, platelets, carbon dioxide serum concentration, glucose, arterial pHa, partial pressure of oxygen concentration, partial pressure of carbon dioxide concentration. </w:t>
      </w:r>
    </w:p>
    <w:p w14:paraId="6EC878FA" w14:textId="084EBACA" w:rsidR="00D42762" w:rsidRPr="00A40E06" w:rsidRDefault="00D42762" w:rsidP="003B399E">
      <w:pPr>
        <w:jc w:val="both"/>
        <w:rPr>
          <w:rFonts w:ascii="Times New Roman" w:hAnsi="Times New Roman" w:cs="Times New Roman"/>
        </w:rPr>
      </w:pPr>
      <w:r w:rsidRPr="00A40E06">
        <w:rPr>
          <w:rFonts w:ascii="Times New Roman" w:hAnsi="Times New Roman" w:cs="Times New Roman"/>
          <w:u w:val="single"/>
        </w:rPr>
        <w:t>M</w:t>
      </w:r>
      <w:r w:rsidR="003B3829" w:rsidRPr="00A40E06">
        <w:rPr>
          <w:rFonts w:ascii="Times New Roman" w:hAnsi="Times New Roman" w:cs="Times New Roman"/>
          <w:u w:val="single"/>
        </w:rPr>
        <w:t>echanical ventilation parameters</w:t>
      </w:r>
      <w:r w:rsidRPr="00A40E06">
        <w:rPr>
          <w:rFonts w:ascii="Times New Roman" w:hAnsi="Times New Roman" w:cs="Times New Roman"/>
        </w:rPr>
        <w:t xml:space="preserve">: </w:t>
      </w:r>
      <w:r w:rsidR="00E21B65" w:rsidRPr="00A40E06">
        <w:rPr>
          <w:rFonts w:ascii="Times New Roman" w:hAnsi="Times New Roman" w:cs="Times New Roman"/>
        </w:rPr>
        <w:t xml:space="preserve">respiratory rate, tidal volume per </w:t>
      </w:r>
      <w:r w:rsidR="00240682" w:rsidRPr="00A40E06">
        <w:rPr>
          <w:rFonts w:ascii="Times New Roman" w:hAnsi="Times New Roman" w:cs="Times New Roman"/>
        </w:rPr>
        <w:t xml:space="preserve">kilogram </w:t>
      </w:r>
      <w:r w:rsidR="00E21B65" w:rsidRPr="00A40E06">
        <w:rPr>
          <w:rFonts w:ascii="Times New Roman" w:hAnsi="Times New Roman" w:cs="Times New Roman"/>
        </w:rPr>
        <w:t xml:space="preserve">ideal body weight, positive end-expiratory pressure, peak inspiratory pressure. </w:t>
      </w:r>
    </w:p>
    <w:p w14:paraId="1BD6055C" w14:textId="77777777" w:rsidR="00D42762" w:rsidRPr="00A40E06" w:rsidRDefault="00D42762" w:rsidP="003B399E">
      <w:pPr>
        <w:jc w:val="both"/>
        <w:rPr>
          <w:rFonts w:ascii="Times New Roman" w:hAnsi="Times New Roman" w:cs="Times New Roman"/>
        </w:rPr>
      </w:pPr>
      <w:r w:rsidRPr="00A40E06">
        <w:rPr>
          <w:rFonts w:ascii="Times New Roman" w:hAnsi="Times New Roman" w:cs="Times New Roman"/>
          <w:u w:val="single"/>
        </w:rPr>
        <w:t>C</w:t>
      </w:r>
      <w:r w:rsidR="003B3829" w:rsidRPr="00A40E06">
        <w:rPr>
          <w:rFonts w:ascii="Times New Roman" w:hAnsi="Times New Roman" w:cs="Times New Roman"/>
          <w:u w:val="single"/>
        </w:rPr>
        <w:t>hest radiography</w:t>
      </w:r>
      <w:r w:rsidRPr="00A40E06">
        <w:rPr>
          <w:rFonts w:ascii="Times New Roman" w:hAnsi="Times New Roman" w:cs="Times New Roman"/>
        </w:rPr>
        <w:t>: presence of bilateral infiltrates, abnormal chest x-ray</w:t>
      </w:r>
      <w:r w:rsidR="00E21B65" w:rsidRPr="00A40E06">
        <w:rPr>
          <w:rFonts w:ascii="Times New Roman" w:hAnsi="Times New Roman" w:cs="Times New Roman"/>
        </w:rPr>
        <w:t xml:space="preserve"> at enrollment. </w:t>
      </w:r>
    </w:p>
    <w:p w14:paraId="7C985BAE" w14:textId="4F6081F1" w:rsidR="005304DB" w:rsidRPr="00A40E06" w:rsidRDefault="00D42762" w:rsidP="003B399E">
      <w:pPr>
        <w:jc w:val="both"/>
        <w:rPr>
          <w:rFonts w:ascii="Times New Roman" w:hAnsi="Times New Roman" w:cs="Times New Roman"/>
        </w:rPr>
      </w:pPr>
      <w:r w:rsidRPr="00A40E06">
        <w:rPr>
          <w:rFonts w:ascii="Times New Roman" w:hAnsi="Times New Roman" w:cs="Times New Roman"/>
          <w:u w:val="single"/>
        </w:rPr>
        <w:t>C</w:t>
      </w:r>
      <w:r w:rsidR="003B3829" w:rsidRPr="00A40E06">
        <w:rPr>
          <w:rFonts w:ascii="Times New Roman" w:hAnsi="Times New Roman" w:cs="Times New Roman"/>
          <w:u w:val="single"/>
        </w:rPr>
        <w:t>linical microbiology results</w:t>
      </w:r>
      <w:r w:rsidR="00E21B65" w:rsidRPr="00A40E06">
        <w:rPr>
          <w:rFonts w:ascii="Times New Roman" w:hAnsi="Times New Roman" w:cs="Times New Roman"/>
        </w:rPr>
        <w:t xml:space="preserve">: </w:t>
      </w:r>
      <w:r w:rsidR="005304DB" w:rsidRPr="00A40E06">
        <w:rPr>
          <w:rFonts w:ascii="Times New Roman" w:hAnsi="Times New Roman" w:cs="Times New Roman"/>
        </w:rPr>
        <w:t>W</w:t>
      </w:r>
      <w:r w:rsidR="00E21B65" w:rsidRPr="00A40E06">
        <w:rPr>
          <w:rFonts w:ascii="Times New Roman" w:hAnsi="Times New Roman" w:cs="Times New Roman"/>
        </w:rPr>
        <w:t xml:space="preserve">e considered </w:t>
      </w:r>
      <w:r w:rsidR="005304DB" w:rsidRPr="00A40E06">
        <w:rPr>
          <w:rFonts w:ascii="Times New Roman" w:hAnsi="Times New Roman" w:cs="Times New Roman"/>
        </w:rPr>
        <w:t xml:space="preserve">clinical microbiologic results from </w:t>
      </w:r>
      <w:r w:rsidR="003B3829" w:rsidRPr="00A40E06">
        <w:rPr>
          <w:rFonts w:ascii="Times New Roman" w:hAnsi="Times New Roman" w:cs="Times New Roman"/>
        </w:rPr>
        <w:t>samples obtained within 48hrs of research sample timing acquisition</w:t>
      </w:r>
      <w:r w:rsidR="005304DB" w:rsidRPr="00A40E06">
        <w:rPr>
          <w:rFonts w:ascii="Times New Roman" w:hAnsi="Times New Roman" w:cs="Times New Roman"/>
        </w:rPr>
        <w:t xml:space="preserve"> so that such samples would be reflective of the same infectious process being studied by next-generation sequencing. Clinical cultures were obtained at the discretion of the treat</w:t>
      </w:r>
      <w:r w:rsidR="008B5BBF" w:rsidRPr="00A40E06">
        <w:rPr>
          <w:rFonts w:ascii="Times New Roman" w:hAnsi="Times New Roman" w:cs="Times New Roman"/>
        </w:rPr>
        <w:t xml:space="preserve">ing physicians who were not involved in the MICALIR study. </w:t>
      </w:r>
      <w:r w:rsidR="005304DB" w:rsidRPr="00A40E06">
        <w:rPr>
          <w:rFonts w:ascii="Times New Roman" w:hAnsi="Times New Roman" w:cs="Times New Roman"/>
        </w:rPr>
        <w:t>We considered microbiologic cultures of respiratory specimens (</w:t>
      </w:r>
      <w:r w:rsidR="005304DB" w:rsidRPr="00A40E06">
        <w:rPr>
          <w:rFonts w:ascii="Times New Roman" w:eastAsia="MS Gothic" w:hAnsi="Times New Roman" w:cs="Times New Roman"/>
        </w:rPr>
        <w:t>sputum</w:t>
      </w:r>
      <w:r w:rsidR="00422A81" w:rsidRPr="00A40E06">
        <w:rPr>
          <w:rFonts w:ascii="Times New Roman" w:eastAsia="MS Gothic" w:hAnsi="Times New Roman" w:cs="Times New Roman"/>
        </w:rPr>
        <w:t>, ETA</w:t>
      </w:r>
      <w:r w:rsidR="005304DB" w:rsidRPr="00A40E06">
        <w:rPr>
          <w:rFonts w:ascii="Times New Roman" w:eastAsia="MS Gothic" w:hAnsi="Times New Roman" w:cs="Times New Roman"/>
        </w:rPr>
        <w:t xml:space="preserve"> or bronchoalveolar lavage - BAL) as positive when </w:t>
      </w:r>
      <w:r w:rsidR="005304DB" w:rsidRPr="00A40E06">
        <w:rPr>
          <w:rFonts w:ascii="Times New Roman" w:hAnsi="Times New Roman" w:cs="Times New Roman"/>
        </w:rPr>
        <w:t>pathogenic bacterial species had been isolated by the clinical laboratory. Cultures were considered as negative when no organism growth was observed or presence of “normal respiratory flora” was reported, as per standard clinical practices.</w:t>
      </w:r>
      <w:r w:rsidR="008B5BBF" w:rsidRPr="00A40E06">
        <w:rPr>
          <w:rFonts w:ascii="Times New Roman" w:hAnsi="Times New Roman" w:cs="Times New Roman"/>
        </w:rPr>
        <w:t xml:space="preserve"> For blood cultures, we considered results as positive when there was reported growth of organisms not deemed as skin contaminants by the treating physicians. </w:t>
      </w:r>
      <w:r w:rsidR="00DC579E" w:rsidRPr="00A40E06">
        <w:rPr>
          <w:rFonts w:ascii="Times New Roman" w:hAnsi="Times New Roman" w:cs="Times New Roman"/>
        </w:rPr>
        <w:t xml:space="preserve">We also recorded results of respiratory viral panel testing performed in nasopharyngeal swabs or sputum/BAL samples. </w:t>
      </w:r>
    </w:p>
    <w:p w14:paraId="7C022A6D" w14:textId="754F9715" w:rsidR="00DB7812" w:rsidRPr="00A40E06" w:rsidRDefault="00DB7812" w:rsidP="003B399E">
      <w:pPr>
        <w:jc w:val="both"/>
        <w:rPr>
          <w:rFonts w:ascii="Times New Roman" w:eastAsia="MS Gothic" w:hAnsi="Times New Roman" w:cs="Times New Roman"/>
        </w:rPr>
      </w:pPr>
      <w:r w:rsidRPr="00A40E06">
        <w:rPr>
          <w:rFonts w:ascii="Times New Roman" w:eastAsia="MS Gothic" w:hAnsi="Times New Roman" w:cs="Times New Roman"/>
          <w:u w:val="single"/>
        </w:rPr>
        <w:t xml:space="preserve">Severity of illness scores: </w:t>
      </w:r>
      <w:r w:rsidRPr="00A40E06">
        <w:rPr>
          <w:rFonts w:ascii="Times New Roman" w:eastAsia="MS Gothic" w:hAnsi="Times New Roman" w:cs="Times New Roman"/>
        </w:rPr>
        <w:t>sequential organ failure assessment (SOFA) score (</w:t>
      </w:r>
      <w:r w:rsidRPr="00A40E06">
        <w:rPr>
          <w:rFonts w:ascii="Times New Roman" w:hAnsi="Times New Roman" w:cs="Times New Roman"/>
        </w:rPr>
        <w:t>calculation does not include the neurologic component of SOFA score because all patients were intubated and receiving sedative medications, impairing our ability to perform assessment of the Glasgow Coma Scale in a consistent and reproducible fashion).</w:t>
      </w:r>
      <w:r w:rsidR="00B34C4B" w:rsidRPr="00A40E06">
        <w:rPr>
          <w:rFonts w:ascii="Times New Roman" w:hAnsi="Times New Roman" w:cs="Times New Roman"/>
        </w:rPr>
        <w:t xml:space="preserve"> SOFA score was calculated </w:t>
      </w:r>
      <w:r w:rsidR="001B4C01" w:rsidRPr="00A40E06">
        <w:rPr>
          <w:rFonts w:ascii="Times New Roman" w:hAnsi="Times New Roman" w:cs="Times New Roman"/>
        </w:rPr>
        <w:t xml:space="preserve">by using the physiologically worse values within 24hrs of enrollment. </w:t>
      </w:r>
    </w:p>
    <w:p w14:paraId="7A22A07D" w14:textId="77777777" w:rsidR="00DB7812" w:rsidRPr="00A40E06" w:rsidRDefault="00DB7812" w:rsidP="003B399E">
      <w:pPr>
        <w:jc w:val="both"/>
        <w:rPr>
          <w:rFonts w:ascii="Times New Roman" w:hAnsi="Times New Roman" w:cs="Times New Roman"/>
        </w:rPr>
      </w:pPr>
      <w:r w:rsidRPr="00A40E06">
        <w:rPr>
          <w:rFonts w:ascii="Times New Roman" w:eastAsia="MS Gothic" w:hAnsi="Times New Roman" w:cs="Times New Roman"/>
          <w:u w:val="single"/>
        </w:rPr>
        <w:t>Medication administration</w:t>
      </w:r>
      <w:r w:rsidRPr="00A40E06">
        <w:rPr>
          <w:rFonts w:ascii="Times New Roman" w:eastAsia="MS Gothic" w:hAnsi="Times New Roman" w:cs="Times New Roman"/>
        </w:rPr>
        <w:t xml:space="preserve">: We recorded </w:t>
      </w:r>
      <w:r w:rsidRPr="00A40E06">
        <w:rPr>
          <w:rFonts w:ascii="Times New Roman" w:hAnsi="Times New Roman" w:cs="Times New Roman"/>
        </w:rPr>
        <w:t xml:space="preserve">antibiotics and vasopressors administered during the first week of ICU course from intubation. </w:t>
      </w:r>
    </w:p>
    <w:p w14:paraId="1D73D638" w14:textId="77777777" w:rsidR="00E037A8" w:rsidRPr="00A40E06" w:rsidRDefault="00E037A8" w:rsidP="003B399E">
      <w:pPr>
        <w:jc w:val="both"/>
        <w:rPr>
          <w:rFonts w:ascii="Times New Roman" w:hAnsi="Times New Roman" w:cs="Times New Roman"/>
        </w:rPr>
      </w:pPr>
      <w:r w:rsidRPr="00A40E06">
        <w:rPr>
          <w:rFonts w:ascii="Times New Roman" w:hAnsi="Times New Roman" w:cs="Times New Roman"/>
          <w:u w:val="single"/>
        </w:rPr>
        <w:t>Outcomes</w:t>
      </w:r>
      <w:r w:rsidRPr="00A40E06">
        <w:rPr>
          <w:rFonts w:ascii="Times New Roman" w:hAnsi="Times New Roman" w:cs="Times New Roman"/>
        </w:rPr>
        <w:t xml:space="preserve">: length of ICU stay, ventilator-free days (VFD), 30-day mortality, incident shock and occurrence of acute kidney injury (AKI) within the first week of ICU stay. </w:t>
      </w:r>
    </w:p>
    <w:p w14:paraId="7FEDF117" w14:textId="77777777" w:rsidR="00DB7812" w:rsidRPr="00A40E06" w:rsidRDefault="00DB7812" w:rsidP="003B399E">
      <w:pPr>
        <w:jc w:val="both"/>
        <w:rPr>
          <w:rFonts w:ascii="Times New Roman" w:hAnsi="Times New Roman" w:cs="Times New Roman"/>
          <w:u w:val="single"/>
        </w:rPr>
      </w:pPr>
    </w:p>
    <w:p w14:paraId="6646FBE2" w14:textId="77777777" w:rsidR="00DB7812" w:rsidRPr="00A40E06" w:rsidRDefault="00DB7812" w:rsidP="003B399E">
      <w:pPr>
        <w:jc w:val="both"/>
        <w:rPr>
          <w:rFonts w:ascii="Times New Roman" w:hAnsi="Times New Roman" w:cs="Times New Roman"/>
          <w:b/>
          <w:u w:val="single"/>
        </w:rPr>
      </w:pPr>
      <w:r w:rsidRPr="00A40E06">
        <w:rPr>
          <w:rFonts w:ascii="Times New Roman" w:hAnsi="Times New Roman" w:cs="Times New Roman"/>
          <w:b/>
          <w:u w:val="single"/>
        </w:rPr>
        <w:t xml:space="preserve">Clinical Phenotyping: </w:t>
      </w:r>
    </w:p>
    <w:p w14:paraId="4C3A091C" w14:textId="612316C1" w:rsidR="00DB7812" w:rsidRPr="00A40E06" w:rsidRDefault="00DB7812" w:rsidP="003B399E">
      <w:pPr>
        <w:jc w:val="both"/>
        <w:rPr>
          <w:rFonts w:ascii="Times New Roman" w:hAnsi="Times New Roman" w:cs="Times New Roman"/>
        </w:rPr>
      </w:pPr>
      <w:r w:rsidRPr="00A40E06">
        <w:rPr>
          <w:rFonts w:ascii="Times New Roman" w:hAnsi="Times New Roman" w:cs="Times New Roman"/>
        </w:rPr>
        <w:t>A consensus committee of clinical experts (GDK, JE, WB, JSL, AM, BJM) reviewed all available clinical, laboratory, microbiologic and radiographic data for the enrolled patients and performed retrospective classifications of their acute respiratory failure in terms of etiology and severity. All classifications were performed blinded to microbiome sequencing and host biomarker data, following implicit review of the available data and reaching consensus among the committee members. We diagnosed sepsis,</w:t>
      </w:r>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F1000_CSL_CITATION&lt;~#@#~&gt;[{"DOI":"10.1001/jama.2016.0287","First":false,"Last":false,"PMCID":"PMC4968574","PMID":"26903338","author":[{"family":"Singer","given":"Mervyn"},{"family":"Deutschman","given":"Clifford S"},{"family":"Seymour","given":"Christopher Warren"},{"family":"Shankar-Hari","given":"Manu"},{"family":"Annane","given":"Djillali"},{"family":"Bauer","given":"Michael"},{"family":"Bellomo","given":"Rinaldo"},{"family":"Bernard","given":"Gordon R"},{"family":"Chiche","given":"Jean-Daniel"},{"family":"Coopersmith","given":"Craig M"},{"family":"Hotchkiss","given":"Richard S"},{"family":"Levy","given":"Mitchell M"},{"family":"Marshall","given":"John C"},{"family":"Martin","given":"Greg S"},{"family":"Opal","given":"Steven M"},{"family":"Rubenfeld","given":"Gordon D"},{"family":"van der Poll","given":"Tom"},{"family":"Vincent","given":"Jean-Louis"},{"family":"Angus","given":"Derek C"}],"authorYearDisplayFormat":false,"citation-label":"1301043","container-title":"The Journal of the American Medical Association","container-title-short":"JAMA","id":"1301043","invisible":false,"issue":"8","issued":{"date-parts":[["2016","2","23"]]},"journalAbbreviation":"JAMA","page":"801-810","suppress-author":false,"title":"The Third International Consensus Definitions for Sepsis and Septic Shock (Sepsis-3).","type":"article-journal","volume":"315"}]</w:instrText>
      </w:r>
      <w:r w:rsidRPr="00A40E06">
        <w:rPr>
          <w:rFonts w:ascii="Times New Roman" w:hAnsi="Times New Roman" w:cs="Times New Roman"/>
        </w:rPr>
        <w:fldChar w:fldCharType="separate"/>
      </w:r>
      <w:r w:rsidR="008D4385" w:rsidRPr="00A40E06">
        <w:rPr>
          <w:rFonts w:ascii="Times New Roman" w:hAnsi="Times New Roman" w:cs="Times New Roman"/>
          <w:noProof/>
        </w:rPr>
        <w:t>(Singer et al., 2016)</w:t>
      </w:r>
      <w:r w:rsidRPr="00A40E06">
        <w:rPr>
          <w:rFonts w:ascii="Times New Roman" w:hAnsi="Times New Roman" w:cs="Times New Roman"/>
        </w:rPr>
        <w:fldChar w:fldCharType="end"/>
      </w:r>
      <w:r w:rsidRPr="00A40E06">
        <w:rPr>
          <w:rFonts w:ascii="Times New Roman" w:hAnsi="Times New Roman" w:cs="Times New Roman"/>
        </w:rPr>
        <w:t xml:space="preserve"> acute respiratory distress syndrome (ARDS),</w:t>
      </w:r>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F1000_CSL_CITATION&lt;~#@#~&gt;[{"DOI":"10.1001/jama.2012.5669","First":false,"Last":false,"PMID":"22797452","abstract":"The acute respiratory distress syndrome (ARDS) was defined in 1994 by the American-European Consensus Conference (AECC); since then, issues regarding the reliability and validity of this definition have emerged. Using a consensus process, a panel of experts convened in 2011 (an initiative of the European Society of Intensive Care Medicine endorsed by the American Thoracic Society and the Society of Critical Care Medicine) developed the Berlin Definition, focusing on feasibility, reliability, validity, and objective evaluation of its performance. A draft definition proposed 3 mutually exclusive categories of ARDS based on degree of hypoxemia: mild (200 mm Hg &lt; PaO2/FIO2 ≤ 300 mm Hg), moderate (100 mm Hg &lt; PaO2/FIO2 ≤ 200 mm Hg), and severe (PaO2/FIO2 ≤ 100 mm Hg) and 4 ancillary variables for severe ARDS: radiographic severity, respiratory system compliance (≤40 mL/cm H2O), positive end-expiratory pressure (≥10 cm H2O), and corrected expired volume per minute (≥10 L/min). The draft Berlin Definition was empirically evaluated using patient-level meta-analysis of 4188 patients with ARDS from 4 multicenter clinical data sets and 269 patients with ARDS from 3 single-center data sets containing physiologic information. The 4 ancillary variables did not contribute to the predictive validity of severe ARDS for mortality and were removed from the definition. Using the Berlin Definition, stages of mild, moderate, and severe ARDS were associated with increased mortality (27%; 95% CI, 24%-30%; 32%; 95% CI, 29%-34%; and 45%; 95% CI, 42%-48%, respectively; P &lt; .001) and increased median duration of mechanical ventilation in survivors (5 days; interquartile [IQR], 2-11; 7 days; IQR, 4-14; and 9 days; IQR, 5-17, respectively; P &lt; .001). Compared with the AECC definition, the final Berlin Definition had better predictive validity for mortality, with an area under the receiver operating curve of 0.577 (95% CI, 0.561-0.593) vs 0.536 (95% CI, 0.520-0.553; P &lt; .001). This updated and revised Berlin Definition for ARDS addresses a number of the limitations of the AECC definition. The approach of combining consensus discussions with empirical evaluation may serve as a model to create more accurate, evidence-based, critical illness syndrome definitions and to better inform clinical care, research, and health services planning.","author":[{"family":"ARDS Definition Task Force"},{"family":"Ranieri","given":"V Marco"},{"family":"Rubenfeld","given":"Gordon D"},{"family":"Thompson","given":"B Taylor"},{"family":"Ferguson","given":"Niall D"},{"family":"Caldwell","given":"Ellen"},{"family":"Fan","given":"Eddy"},{"family":"Camporota","given":"Luigi"},{"family":"Slutsky","given":"Arthur S"}],"authorYearDisplayFormat":false,"citation-label":"585910","container-title":"The Journal of the American Medical Association","container-title-short":"JAMA","id":"585910","invisible":false,"issue":"23","issued":{"date-parts":[["2012","6","20"]]},"journalAbbreviation":"JAMA","page":"2526-2533","suppress-author":false,"title":"Acute respiratory distress syndrome: the Berlin Definition.","type":"article-journal","volume":"307"}]</w:instrText>
      </w:r>
      <w:r w:rsidRPr="00A40E06">
        <w:rPr>
          <w:rFonts w:ascii="Times New Roman" w:hAnsi="Times New Roman" w:cs="Times New Roman"/>
        </w:rPr>
        <w:fldChar w:fldCharType="separate"/>
      </w:r>
      <w:r w:rsidR="008D4385" w:rsidRPr="00A40E06">
        <w:rPr>
          <w:rFonts w:ascii="Times New Roman" w:hAnsi="Times New Roman" w:cs="Times New Roman"/>
          <w:noProof/>
        </w:rPr>
        <w:t>(ARDS Definition Task Force et al., 2012)</w:t>
      </w:r>
      <w:r w:rsidRPr="00A40E06">
        <w:rPr>
          <w:rFonts w:ascii="Times New Roman" w:hAnsi="Times New Roman" w:cs="Times New Roman"/>
        </w:rPr>
        <w:fldChar w:fldCharType="end"/>
      </w:r>
      <w:r w:rsidRPr="00A40E06">
        <w:rPr>
          <w:rFonts w:ascii="Times New Roman" w:hAnsi="Times New Roman" w:cs="Times New Roman"/>
        </w:rPr>
        <w:t xml:space="preserve"> pneumonia or aspiration,</w:t>
      </w:r>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F1000_CSL_CITATION&lt;~#@#~&gt;[{"First":false,"Last":false,"PMID":"15942330","abstract":"&lt;strong&gt;OBJECTIVE:&lt;/strong&gt; Clinical predictors for acute respiratory distress syndrome (ARDS) have been studied in few prospective studies. Although transfusions are common in the intensive care unit, the role of submassive transfusion in non-trauma-related ARDS has not been studied. We describe here the clinical predictors of ARDS risk and mortality including the role of red cell transfusion.&lt;br&gt;&lt;br&gt;&lt;strong&gt;DESIGN:&lt;/strong&gt; Observational prospective cohort.&lt;br&gt;&lt;br&gt;&lt;strong&gt;SETTING:&lt;/strong&gt; Intensive care unit of Massachusetts General Hospital.&lt;br&gt;&lt;br&gt;&lt;strong&gt;PATIENTS:&lt;/strong&gt; We studied 688 patients with sepsis, trauma, aspiration, and hypertransfusion.&lt;br&gt;&lt;br&gt;&lt;strong&gt;INTERVENTIONS:&lt;/strong&gt; None.&lt;br&gt;&lt;br&gt;&lt;strong&gt;MEASUREMENTS AND MAIN RESULTS:&lt;/strong&gt; Two hundred twenty-one (32%) subjects developed ARDS with a 60-day mortality rate of 46%. Significant predictors for ARDS on multivariate analyses included trauma (adjusted odds ratio [ORadj] 0.22, 95% confidence interval [CI] 0.09-0.53), diabetes (ORadj 0.58, 95% CI 0.36-0.92), direct pulmonary injury (ORadj 3.78, 95% CI 2.45-5.81), hematologic failure (ORadj 1.84, 95% CI 1.05-3.21), transfer from another hospital (ORadj 2.08, 95% CI 1.33-3.25), respiratory rate &gt;33 breaths/min (ORadj 2.39, 95% CI 1.51-3.78), hematocrit &gt;37.5% (ORadj 1.77, 95% CI 1.14-2.77), arterial pH &lt;7.33 (ORadj 2.00, 95% CI 1.31-3.05), and albumin &lt;/=2.3 g/dL (ORadj 1.80, 95% CI 1.18-2.73). Packed red blood cell transfusion was associated with ARDS (ORadj 1.52, 95% CI 1.00-2.31, p = .05). Significant predictors for mortality in ARDS included age (ORadj 1.96, 95% CI 1.50-2.53), Acute Physiology and Chronic Health Evaluation III score (ORadj 1.78, 95% CI 1.16-2.73), trauma (ORadj 0.075, 95% CI 0.006-0.96), corticosteroids before ARDS (ORadj 4.65, 95% CI 1.47-14.7), and arterial pH &lt;7.22 (ORadj 2.32, 95% CI 1.02-5.25). Packed red blood cell transfusions were associated with increased mortality in ARDS (ORadj 1.10 per unit transfused; 95% CI 1.04-1.17) with a significant dose-dependent response (p = .02).&lt;br&gt;&lt;br&gt;&lt;strong&gt;CONCLUSIONS:&lt;/strong&gt; Important predictors for the development of and mortality in ARDS were identified. Packed red blood cell transfusion was associated with an increased development of and increased mortality in ARDS.","author":[{"family":"Gong","given":"Michelle Ng"},{"family":"Thompson","given":"B Taylor"},{"family":"Williams","given":"Paige"},{"family":"Pothier","given":"Lucille"},{"family":"Boyce","given":"Paul D"},{"family":"Christiani","given":"David C"}],"authorYearDisplayFormat":false,"citation-label":"1791268","container-title":"Critical Care Medicine","container-title-short":"Crit. Care Med.","id":"1791268","invisible":false,"issue":"6","issued":{"date-parts":[["2005","6"]]},"journalAbbreviation":"Crit. Care Med.","page":"1191-1198","suppress-author":false,"title":"Clinical predictors of and mortality in acute respiratory distress syndrome: potential role of red cell transfusion.","type":"article-journal","volume":"33"}]</w:instrText>
      </w:r>
      <w:r w:rsidRPr="00A40E06">
        <w:rPr>
          <w:rFonts w:ascii="Times New Roman" w:hAnsi="Times New Roman" w:cs="Times New Roman"/>
        </w:rPr>
        <w:fldChar w:fldCharType="separate"/>
      </w:r>
      <w:r w:rsidR="008D4385" w:rsidRPr="00A40E06">
        <w:rPr>
          <w:rFonts w:ascii="Times New Roman" w:hAnsi="Times New Roman" w:cs="Times New Roman"/>
          <w:noProof/>
        </w:rPr>
        <w:t>(Gong et al., 2005)</w:t>
      </w:r>
      <w:r w:rsidRPr="00A40E06">
        <w:rPr>
          <w:rFonts w:ascii="Times New Roman" w:hAnsi="Times New Roman" w:cs="Times New Roman"/>
        </w:rPr>
        <w:fldChar w:fldCharType="end"/>
      </w:r>
      <w:r w:rsidRPr="00A40E06">
        <w:rPr>
          <w:rFonts w:ascii="Times New Roman" w:hAnsi="Times New Roman" w:cs="Times New Roman"/>
        </w:rPr>
        <w:t xml:space="preserve"> and intubation for airway protection without risk factors for ARDS</w:t>
      </w:r>
      <w:r w:rsidR="00212D41">
        <w:rPr>
          <w:rFonts w:ascii="Times New Roman" w:hAnsi="Times New Roman" w:cs="Times New Roman"/>
        </w:rPr>
        <w:t xml:space="preserve"> </w:t>
      </w:r>
      <w:bookmarkStart w:id="2" w:name="_GoBack"/>
      <w:bookmarkEnd w:id="2"/>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F1000_CSL_CITATION&lt;~#@#~&gt;[{"DOI":"10.1016/S2213-2600(16)30305-8","First":false,"Last":false,"PMID":"27717861","author":[{"family":"Neto","given":"Ary Serpa"},{"family":"Barbas","given":"Carmen S V"},{"family":"Simonis","given":"Fabienne D"},{"family":"Artigas-Raventós","given":"Antonio"},{"family":"Canet","given":"Jaume"},{"family":"Determann","given":"Rogier M"},{"family":"Anstey","given":"James"},{"family":"Hedenstierna","given":"Goran"},{"family":"Hemmes","given":"Sabrine N T"},{"family":"Hermans","given":"Greet"},{"family":"Hiesmayr","given":"Michael"},{"family":"Hollmann","given":"Markus W"},{"family":"Jaber","given":"Samir"},{"family":"Martin-Loeches","given":"Ignacio"},{"family":"Mills","given":"Gary H"},{"family":"Pearse","given":"Rupert M"},{"family":"Putensen","given":"Christian"},{"family":"Schmid","given":"Werner"},{"family":"Severgnini","given":"Paolo"},{"family":"Smith","given":"Roger"},{"family":"Treschan","given":"Tanja A"},{"family":"Tschernko","given":"Edda M"},{"family":"Melo","given":"Marcos F V"},{"family":"Wrigge","given":"Hermann"},{"family":"de Abreu","given":"Marcelo Gama"},{"family":"Pelosi","given":"Paolo"},{"family":"Schultz","given":"Marcus J"},{"family":"PRoVENT"},{"family":"PROVE Network investigators"}],"authorYearDisplayFormat":false,"citation-label":"2918077","container-title":"The Lancet. Respiratory medicine","container-title-short":"Lancet Respir. Med.","id":"2918077","invisible":false,"issue":"11","issued":{"date-parts":[["2016","11"]]},"journalAbbreviation":"Lancet Respir. Med.","page":"882-893","suppress-author":false,"title":"Epidemiological characteristics, practice of ventilation, and clinical outcome in patients at risk of acute respiratory distress syndrome in intensive care units from 16 countries (PRoVENT): an international, multicentre, prospective study.","type":"article-journal","volume":"4"}]</w:instrText>
      </w:r>
      <w:r w:rsidRPr="00A40E06">
        <w:rPr>
          <w:rFonts w:ascii="Times New Roman" w:hAnsi="Times New Roman" w:cs="Times New Roman"/>
        </w:rPr>
        <w:fldChar w:fldCharType="separate"/>
      </w:r>
      <w:r w:rsidR="008D4385" w:rsidRPr="00A40E06">
        <w:rPr>
          <w:rFonts w:ascii="Times New Roman" w:hAnsi="Times New Roman" w:cs="Times New Roman"/>
          <w:noProof/>
        </w:rPr>
        <w:t>(Neto et al., 2016)</w:t>
      </w:r>
      <w:r w:rsidRPr="00A40E06">
        <w:rPr>
          <w:rFonts w:ascii="Times New Roman" w:hAnsi="Times New Roman" w:cs="Times New Roman"/>
        </w:rPr>
        <w:fldChar w:fldCharType="end"/>
      </w:r>
      <w:r w:rsidRPr="00A40E06">
        <w:rPr>
          <w:rFonts w:ascii="Times New Roman" w:hAnsi="Times New Roman" w:cs="Times New Roman"/>
        </w:rPr>
        <w:t xml:space="preserve"> per established criteria. </w:t>
      </w:r>
    </w:p>
    <w:p w14:paraId="6C9D87C4" w14:textId="77777777" w:rsidR="00AA366A" w:rsidRPr="00A40E06" w:rsidRDefault="00AA366A" w:rsidP="00AA366A">
      <w:pPr>
        <w:jc w:val="both"/>
        <w:rPr>
          <w:rFonts w:ascii="Times New Roman" w:eastAsia="MS Gothic" w:hAnsi="Times New Roman" w:cs="Times New Roman"/>
          <w:color w:val="000000"/>
        </w:rPr>
      </w:pPr>
    </w:p>
    <w:p w14:paraId="726E525A" w14:textId="77777777" w:rsidR="00AA366A" w:rsidRPr="00A40E06" w:rsidRDefault="00AA366A" w:rsidP="00AA366A">
      <w:pPr>
        <w:jc w:val="both"/>
        <w:rPr>
          <w:rFonts w:ascii="Times New Roman" w:eastAsia="MS Gothic" w:hAnsi="Times New Roman" w:cs="Times New Roman"/>
          <w:b/>
          <w:u w:val="single"/>
        </w:rPr>
      </w:pPr>
      <w:r w:rsidRPr="00A40E06">
        <w:rPr>
          <w:rFonts w:ascii="Times New Roman" w:eastAsia="MS Gothic" w:hAnsi="Times New Roman" w:cs="Times New Roman"/>
          <w:b/>
          <w:u w:val="single"/>
        </w:rPr>
        <w:t xml:space="preserve">Laboratory methods: </w:t>
      </w:r>
    </w:p>
    <w:p w14:paraId="2BF913A5" w14:textId="77777777" w:rsidR="009C2A18" w:rsidRPr="00A40E06" w:rsidRDefault="009C2A18" w:rsidP="009C2A18">
      <w:pPr>
        <w:jc w:val="both"/>
        <w:rPr>
          <w:rFonts w:ascii="Times New Roman" w:hAnsi="Times New Roman" w:cs="Times New Roman"/>
          <w:u w:val="single"/>
        </w:rPr>
      </w:pPr>
      <w:r w:rsidRPr="00A40E06">
        <w:rPr>
          <w:rFonts w:ascii="Times New Roman" w:hAnsi="Times New Roman" w:cs="Times New Roman"/>
          <w:u w:val="single"/>
        </w:rPr>
        <w:t>Positive and Negative experimental control samples:</w:t>
      </w:r>
    </w:p>
    <w:p w14:paraId="0D735D0A" w14:textId="77777777" w:rsidR="009C2A18" w:rsidRPr="00A40E06" w:rsidRDefault="009C2A18" w:rsidP="009C2A18">
      <w:pPr>
        <w:ind w:firstLine="720"/>
        <w:jc w:val="both"/>
        <w:rPr>
          <w:rFonts w:ascii="Times New Roman" w:hAnsi="Times New Roman" w:cs="Times New Roman"/>
        </w:rPr>
      </w:pPr>
      <w:r w:rsidRPr="00A40E06">
        <w:rPr>
          <w:rFonts w:ascii="Times New Roman" w:hAnsi="Times New Roman" w:cs="Times New Roman"/>
        </w:rPr>
        <w:t xml:space="preserve">We considered three types of experimental negative control samples used to assess for possible contamination events from sample collection to DNA extraction and PCR amplification: </w:t>
      </w:r>
    </w:p>
    <w:p w14:paraId="1DC4EFAC" w14:textId="77777777" w:rsidR="009C2A18" w:rsidRPr="00A40E06" w:rsidRDefault="009C2A18" w:rsidP="009C2A18">
      <w:pPr>
        <w:pStyle w:val="ListParagraph"/>
        <w:numPr>
          <w:ilvl w:val="0"/>
          <w:numId w:val="4"/>
        </w:numPr>
        <w:jc w:val="both"/>
        <w:rPr>
          <w:rFonts w:ascii="Times New Roman" w:eastAsia="MS Gothic" w:hAnsi="Times New Roman" w:cs="Times New Roman"/>
        </w:rPr>
      </w:pPr>
      <w:r w:rsidRPr="00A40E06">
        <w:rPr>
          <w:rFonts w:ascii="Times New Roman" w:hAnsi="Times New Roman" w:cs="Times New Roman"/>
          <w:b/>
        </w:rPr>
        <w:t>Endotracheal aspirate controls</w:t>
      </w:r>
      <w:r w:rsidRPr="00A40E06">
        <w:rPr>
          <w:rFonts w:ascii="Times New Roman" w:hAnsi="Times New Roman" w:cs="Times New Roman"/>
        </w:rPr>
        <w:t xml:space="preserve">: </w:t>
      </w:r>
      <w:r w:rsidRPr="00A40E06">
        <w:rPr>
          <w:rFonts w:ascii="Times New Roman" w:eastAsia="MS Gothic" w:hAnsi="Times New Roman" w:cs="Times New Roman"/>
        </w:rPr>
        <w:t xml:space="preserve">In cases where sterile saline was used for sampling of ETAs, we collected the left-over saline not used for sample collection (~ 5cc) as a negative control to examine for contamination of the ETA from bacterial populations present in what is clinically considered sterile saline syringes. We extracted DNA from these saline samples and performed PCR amplification and 16S rRNA gene sequencing as performed for all clinical samples. </w:t>
      </w:r>
    </w:p>
    <w:p w14:paraId="272B6550" w14:textId="77777777" w:rsidR="009C2A18" w:rsidRPr="00A40E06" w:rsidRDefault="009C2A18" w:rsidP="009C2A18">
      <w:pPr>
        <w:pStyle w:val="ListParagraph"/>
        <w:numPr>
          <w:ilvl w:val="0"/>
          <w:numId w:val="4"/>
        </w:numPr>
        <w:jc w:val="both"/>
        <w:rPr>
          <w:rFonts w:ascii="Times New Roman" w:eastAsia="MS Gothic" w:hAnsi="Times New Roman" w:cs="Times New Roman"/>
        </w:rPr>
      </w:pPr>
      <w:r w:rsidRPr="00A40E06">
        <w:rPr>
          <w:rFonts w:ascii="Times New Roman" w:eastAsia="MS Gothic" w:hAnsi="Times New Roman" w:cs="Times New Roman"/>
          <w:b/>
        </w:rPr>
        <w:t>DNA extraction negative controls</w:t>
      </w:r>
      <w:r w:rsidRPr="00A40E06">
        <w:rPr>
          <w:rFonts w:ascii="Times New Roman" w:eastAsia="MS Gothic" w:hAnsi="Times New Roman" w:cs="Times New Roman"/>
        </w:rPr>
        <w:t>: We added DNA-free sterile water in one extraction column per each batch of clinical sample DNA extractions (~12-15 samples per experiment).</w:t>
      </w:r>
    </w:p>
    <w:p w14:paraId="46DA8102" w14:textId="77777777" w:rsidR="009C2A18" w:rsidRPr="00A40E06" w:rsidRDefault="009C2A18" w:rsidP="009C2A18">
      <w:pPr>
        <w:pStyle w:val="ListParagraph"/>
        <w:numPr>
          <w:ilvl w:val="0"/>
          <w:numId w:val="4"/>
        </w:numPr>
        <w:jc w:val="both"/>
        <w:rPr>
          <w:rFonts w:ascii="Times New Roman" w:eastAsia="MS Gothic" w:hAnsi="Times New Roman" w:cs="Times New Roman"/>
        </w:rPr>
      </w:pPr>
      <w:r w:rsidRPr="00A40E06">
        <w:rPr>
          <w:rFonts w:ascii="Times New Roman" w:eastAsia="MS Gothic" w:hAnsi="Times New Roman" w:cs="Times New Roman"/>
          <w:b/>
        </w:rPr>
        <w:t>PCR-negative controls</w:t>
      </w:r>
      <w:r w:rsidRPr="00A40E06">
        <w:rPr>
          <w:rFonts w:ascii="Times New Roman" w:eastAsia="MS Gothic" w:hAnsi="Times New Roman" w:cs="Times New Roman"/>
        </w:rPr>
        <w:t xml:space="preserve">: We added DNA-free sterile water in the PCR reaction mix in amount equal to the amount of template DNA from clinical samples used (typically 6 microliters). </w:t>
      </w:r>
    </w:p>
    <w:p w14:paraId="4794067D" w14:textId="77777777" w:rsidR="009C2A18" w:rsidRPr="00A40E06" w:rsidRDefault="009C2A18" w:rsidP="009C2A18">
      <w:pPr>
        <w:ind w:left="720"/>
        <w:jc w:val="both"/>
        <w:rPr>
          <w:rFonts w:ascii="Times New Roman" w:hAnsi="Times New Roman" w:cs="Times New Roman"/>
        </w:rPr>
      </w:pPr>
      <w:r w:rsidRPr="00A40E06">
        <w:rPr>
          <w:rFonts w:ascii="Times New Roman" w:hAnsi="Times New Roman" w:cs="Times New Roman"/>
        </w:rPr>
        <w:t xml:space="preserve">As PCR amplification positive controls, we utilized the ZymoBIOMICS Microbial Community DNA Standard (Zymo Research, Irvine, CA), a mock microbial community consisting of genomic DNA of eight bacterial strains. We utilized 1 </w:t>
      </w:r>
      <w:r w:rsidRPr="00A40E06">
        <w:rPr>
          <w:rFonts w:ascii="Times New Roman" w:hAnsi="Times New Roman" w:cs="Times New Roman"/>
          <w:lang w:val="el-GR"/>
        </w:rPr>
        <w:t>microliter</w:t>
      </w:r>
      <w:r w:rsidRPr="00A40E06">
        <w:rPr>
          <w:rFonts w:ascii="Times New Roman" w:hAnsi="Times New Roman" w:cs="Times New Roman"/>
        </w:rPr>
        <w:t xml:space="preserve"> of the genomic mixture with concentration of 10ng/microliter for each reaction.</w:t>
      </w:r>
    </w:p>
    <w:p w14:paraId="28D91B4D" w14:textId="77777777" w:rsidR="009C2A18" w:rsidRPr="00A40E06" w:rsidRDefault="009C2A18" w:rsidP="00AA366A">
      <w:pPr>
        <w:jc w:val="both"/>
        <w:rPr>
          <w:rFonts w:ascii="Times New Roman" w:eastAsia="MS Gothic" w:hAnsi="Times New Roman" w:cs="Times New Roman"/>
          <w:b/>
          <w:u w:val="single"/>
        </w:rPr>
      </w:pPr>
    </w:p>
    <w:p w14:paraId="0D5A331F" w14:textId="77777777" w:rsidR="00AA366A" w:rsidRPr="00A40E06" w:rsidRDefault="00AA366A" w:rsidP="00AA366A">
      <w:pPr>
        <w:jc w:val="both"/>
        <w:rPr>
          <w:rFonts w:ascii="Times New Roman" w:eastAsia="MS Gothic" w:hAnsi="Times New Roman" w:cs="Times New Roman"/>
        </w:rPr>
      </w:pPr>
      <w:r w:rsidRPr="00A40E06">
        <w:rPr>
          <w:rFonts w:ascii="Times New Roman" w:eastAsia="MS Gothic" w:hAnsi="Times New Roman" w:cs="Times New Roman"/>
          <w:u w:val="single"/>
        </w:rPr>
        <w:t>DNA extractions</w:t>
      </w:r>
      <w:r w:rsidRPr="00A40E06">
        <w:rPr>
          <w:rFonts w:ascii="Times New Roman" w:eastAsia="MS Gothic" w:hAnsi="Times New Roman" w:cs="Times New Roman"/>
        </w:rPr>
        <w:t>: We extracted bacterial DNA directly from samples (oral swabs and endotracheal aspirates - ETAs) using the Powersoil (MoBio) extraction kit following the manufacturer’s instructions, as previously described.</w:t>
      </w:r>
      <w:r w:rsidRPr="00A40E06">
        <w:rPr>
          <w:rFonts w:ascii="Times New Roman" w:eastAsia="MS Gothic" w:hAnsi="Times New Roman" w:cs="Times New Roman"/>
        </w:rPr>
        <w:fldChar w:fldCharType="begin"/>
      </w:r>
      <w:r w:rsidRPr="00A40E06">
        <w:rPr>
          <w:rFonts w:ascii="Times New Roman" w:eastAsia="MS Gothic" w:hAnsi="Times New Roman" w:cs="Times New Roman"/>
        </w:rPr>
        <w:instrText>ADDIN F1000_CSL_CITATION&lt;~#@#~&gt;[{"DOI":"10.1164/rccm.201210-1913OC","First":false,"Last":false,"PMCID":"PMC3734620","PMID":"23491408","abstract":"&lt;strong&gt;RATIONALE:&lt;/strong&gt; Results from 16S rDNA-encoding gene sequence-based, culture-independent techniques have led to conflicting conclusions about the composition of the lower respiratory tract microbiome.&lt;br&gt;&lt;br&gt;&lt;strong&gt;OBJECTIVES:&lt;/strong&gt; To compare the microbiome of the upper and lower respiratory tract in healthy HIV-uninfected nonsmokers and smokers in a multicenter cohort.&lt;br&gt;&lt;br&gt;&lt;strong&gt;METHODS:&lt;/strong&gt; Participants were nonsmokers and smokers without significant comorbidities. Oral washes and bronchoscopic alveolar lavages were collected in a standardized manner. Sequence analysis of bacterial 16S rRNA-encoding genes was performed, and the neutral model in community ecology was used to identify bacteria that were the most plausible members of a lung microbiome.&lt;br&gt;&lt;br&gt;&lt;strong&gt;MEASUREMENTS AND MAIN RESULTS:&lt;/strong&gt; Sixty-four participants were enrolled. Most bacteria identified in the lung were also in the mouth, but specific bacteria such as Enterobacteriaceae, Haemophilus, Methylobacterium, and Ralstonia species were disproportionally represented in the lungs compared with values predicted by the neutral model. Tropheryma was also in the lung, but not the mouth. Mouth communities differed between nonsmokers and smokers in species such as Porphyromonas, Neisseria, and Gemella, but lung bacterial populations did not.&lt;br&gt;&lt;br&gt;&lt;strong&gt;CONCLUSIONS:&lt;/strong&gt; This study is the largest to examine composition of the lower respiratory tract microbiome in healthy individuals and the first to use the neutral model to compare the lung to the mouth. Specific bacteria appear in significantly higher abundance in the lungs than would be expected if they originated from the mouth, demonstrating that the lung microbiome does not derive entirely from the mouth. The mouth microbiome differs in nonsmokers and smokers, but lung communities were not significantly altered by smoking.","author":[{"family":"Morris","given":"Alison"},{"family":"Beck","given":"James M"},{"family":"Schloss","given":"Patrick D"},{"family":"Campbell","given":"Thomas B"},{"family":"Crothers","given":"Kristina"},{"family":"Curtis","given":"Jeffrey L"},{"family":"Flores","given":"Sonia C"},{"family":"Fontenot","given":"Andrew P"},{"family":"Ghedin","given":"Elodie"},{"family":"Huang","given":"Laurence"},{"family":"Jablonski","given":"Kathleen"},{"family":"Kleerup","given":"Eric"},{"family":"Lynch","given":"Susan V"},{"family":"Sodergren","given":"Erica"},{"family":"Twigg","given":"Homer"},{"family":"Young","given":"Vincent B"},{"family":"Bassis","given":"Christine M"},{"family":"Venkataraman","given":"Arvind"},{"family":"Schmidt","given":"Thomas M"},{"family":"Weinstock","given":"George M"},{"family":"Lung HIV Microbiome Project"}],"authorYearDisplayFormat":false,"citation-label":"586795","container-title":"American Journal of Respiratory and Critical Care Medicine","container-title-short":"Am. J. Respir. Crit. Care Med.","id":"586795","invisible":false,"issue":"10","issued":{"date-parts":[["2013","5","15"]]},"journalAbbreviation":"Am. J. Respir. Crit. Care Med.","page":"1067-1075","suppress-author":false,"title":"Comparison of the respiratory microbiome in healthy nonsmokers and smokers.","type":"article-journal","volume":"187"}]</w:instrText>
      </w:r>
      <w:r w:rsidRPr="00A40E06">
        <w:rPr>
          <w:rFonts w:ascii="Times New Roman" w:eastAsia="MS Gothic" w:hAnsi="Times New Roman" w:cs="Times New Roman"/>
        </w:rPr>
        <w:fldChar w:fldCharType="separate"/>
      </w:r>
      <w:r w:rsidRPr="00A40E06">
        <w:rPr>
          <w:rFonts w:ascii="Times New Roman" w:eastAsia="MS Gothic" w:hAnsi="Times New Roman" w:cs="Times New Roman"/>
          <w:noProof/>
        </w:rPr>
        <w:t>(Morris et al., 2013)</w:t>
      </w:r>
      <w:r w:rsidRPr="00A40E06">
        <w:rPr>
          <w:rFonts w:ascii="Times New Roman" w:eastAsia="MS Gothic" w:hAnsi="Times New Roman" w:cs="Times New Roman"/>
        </w:rPr>
        <w:fldChar w:fldCharType="end"/>
      </w:r>
      <w:r w:rsidRPr="00A40E06">
        <w:rPr>
          <w:rFonts w:ascii="Times New Roman" w:eastAsia="MS Gothic" w:hAnsi="Times New Roman" w:cs="Times New Roman"/>
        </w:rPr>
        <w:t xml:space="preserve"> Due to high viscosity of ETA samples, we pretreated them with Dithiotreitol (0.1% DTT in phosphate buffered saline) in 1:1 dilution in order to dissolve the mucus and allow usability in DNA extraction columns. </w:t>
      </w:r>
    </w:p>
    <w:p w14:paraId="14C9BE4F" w14:textId="77777777" w:rsidR="009C2A18" w:rsidRPr="00A40E06" w:rsidRDefault="009C2A18" w:rsidP="00AA366A">
      <w:pPr>
        <w:jc w:val="both"/>
        <w:rPr>
          <w:rFonts w:ascii="Times New Roman" w:eastAsia="MS Gothic" w:hAnsi="Times New Roman" w:cs="Times New Roman"/>
        </w:rPr>
      </w:pPr>
    </w:p>
    <w:p w14:paraId="5867D971" w14:textId="77777777" w:rsidR="00AA366A" w:rsidRPr="00A40E06" w:rsidRDefault="00AA366A" w:rsidP="00AA366A">
      <w:pPr>
        <w:jc w:val="both"/>
        <w:rPr>
          <w:rFonts w:ascii="Times New Roman" w:hAnsi="Times New Roman" w:cs="Times New Roman"/>
        </w:rPr>
      </w:pPr>
      <w:r w:rsidRPr="00A40E06">
        <w:rPr>
          <w:rFonts w:ascii="Times New Roman" w:eastAsia="MS Gothic" w:hAnsi="Times New Roman" w:cs="Times New Roman"/>
          <w:u w:val="single"/>
        </w:rPr>
        <w:t>16S rRNA gene sequencing</w:t>
      </w:r>
      <w:r w:rsidRPr="00A40E06">
        <w:rPr>
          <w:rFonts w:ascii="Times New Roman" w:eastAsia="MS Gothic" w:hAnsi="Times New Roman" w:cs="Times New Roman"/>
        </w:rPr>
        <w:t xml:space="preserve">: </w:t>
      </w:r>
      <w:r w:rsidRPr="00A40E06">
        <w:rPr>
          <w:rFonts w:ascii="Times New Roman" w:hAnsi="Times New Roman" w:cs="Times New Roman"/>
        </w:rPr>
        <w:t>We amplified extracted DNA by PCR using the method of Caporaso et al.</w:t>
      </w:r>
      <w:r w:rsidRPr="00A40E06">
        <w:rPr>
          <w:rFonts w:ascii="Times New Roman" w:hAnsi="Times New Roman" w:cs="Times New Roman"/>
        </w:rPr>
        <w:fldChar w:fldCharType="begin"/>
      </w:r>
      <w:r w:rsidRPr="00A40E06">
        <w:rPr>
          <w:rFonts w:ascii="Times New Roman" w:hAnsi="Times New Roman" w:cs="Times New Roman"/>
        </w:rPr>
        <w:instrText>ADDIN F1000_CSL_CITATION&lt;~#@#~&gt;[{"DOI":"10.1038/ismej.2012.8","First":false,"Last":false,"PMCID":"PMC3400413","PMID":"22402401","abstract":"DNA sequencing continues to decrease in cost with the Illumina HiSeq2000 generating up to 600 Gb of paired-end 100 base reads in a ten-day run. Here we present a protocol for community amplicon sequencing on the HiSeq2000 and MiSeq Illumina platforms, and apply that protocol to sequence 24 microbial communities from host-associated and free-living environments. A critical question as more sequencing platforms become available is whether biological conclusions derived on one platform are consistent with what would be derived on a different platform. We show that the protocol developed for these instruments successfully recaptures known biological results, and additionally that biological conclusions are consistent across sequencing platforms (the HiSeq2000 versus the MiSeq) and across the sequenced regions of amplicons.","author":[{"family":"Caporaso","given":"J Gregory"},{"family":"Lauber","given":"Christian L"},{"family":"Walters","given":"William A"},{"family":"Berg-Lyons","given":"Donna"},{"family":"Huntley","given":"James"},{"family":"Fierer","given":"Noah"},{"family":"Owens","given":"Sarah M"},{"family":"Betley","given":"Jason"},{"family":"Fraser","given":"Louise"},{"family":"Bauer","given":"Markus"},{"family":"Gormley","given":"Niall"},{"family":"Gilbert","given":"Jack A"},{"family":"Smith","given":"Geoff"},{"family":"Knight","given":"Rob"}],"authorYearDisplayFormat":false,"citation-label":"427817","container-title":"The ISME Journal","container-title-short":"ISME J.","id":"427817","invisible":false,"issue":"8","issued":{"date-parts":[["2012","8"]]},"journalAbbreviation":"ISME J.","page":"1621-1624","suppress-author":false,"title":"Ultra-high-throughput microbial community analysis on the Illumina HiSeq and MiSeq platforms.","type":"article-journal","volume":"6"}]</w:instrText>
      </w:r>
      <w:r w:rsidRPr="00A40E06">
        <w:rPr>
          <w:rFonts w:ascii="Times New Roman" w:hAnsi="Times New Roman" w:cs="Times New Roman"/>
        </w:rPr>
        <w:fldChar w:fldCharType="separate"/>
      </w:r>
      <w:r w:rsidRPr="00A40E06">
        <w:rPr>
          <w:rFonts w:ascii="Times New Roman" w:hAnsi="Times New Roman" w:cs="Times New Roman"/>
          <w:noProof/>
        </w:rPr>
        <w:t>(Caporaso et al., 2012)</w:t>
      </w:r>
      <w:r w:rsidRPr="00A40E06">
        <w:rPr>
          <w:rFonts w:ascii="Times New Roman" w:hAnsi="Times New Roman" w:cs="Times New Roman"/>
        </w:rPr>
        <w:fldChar w:fldCharType="end"/>
      </w:r>
      <w:r w:rsidRPr="00A40E06">
        <w:rPr>
          <w:rFonts w:ascii="Times New Roman" w:hAnsi="Times New Roman" w:cs="Times New Roman"/>
        </w:rPr>
        <w:t xml:space="preserve"> and the Q5 HS High-Fidelity polymerase (NEB) targeting the V4 hypervariable region of the 16S rRNA gene. We utilized reagent controls for each step of the process (DNA extraction and PCR amplification). We amplified four microliters per reaction of each sample with a single barcode in triplicate 25 microliter reactions. Cycle conditions were 98˚C for 30s, then 33 cycles of 98˚C for 10s, 57˚C for 30s, 72˚C for 30s, with a final extension step of 72˚C for 2 min. We combined triplicates and purified with the AMPure XP beads (Beckman) at a 0.8:1 ratio (beads:DNA) to remove primer-dimers. We quantitated eluted DNA on a Qubit fluorimeter (Life Technologies). We performed sample pooling on ice by combining 20 ng of each purified band. For negative controls and poorly performing samples, we used 20 microliters of each sample. We purified the sample pool with the MinElute PCR purification kit. The final sample pool underwent two more purifications – AMPure XP beads to 0.8:1 to remove all traces of primer dimers and a final cleanup in Purelink PCR Purification Kit (Life Technologies). We quantitated the purified pool in triplicate on the Qubit fluorimeter prior to preparing for sequencing. We prepared the sequencing pool according to instructions by Illumina, with an added incubation at 95˚C for 2 minutes immediately following the initial dilution to 20 picomolar. We then diluted the sequencing pool to a final concentration of 7 pM + 15% PhiX control. Amplicons were sequenced on the Miseq platform. </w:t>
      </w:r>
    </w:p>
    <w:p w14:paraId="1A968876" w14:textId="77777777" w:rsidR="009C2A18" w:rsidRPr="00A40E06" w:rsidRDefault="009C2A18" w:rsidP="00AA366A">
      <w:pPr>
        <w:jc w:val="both"/>
        <w:rPr>
          <w:rFonts w:ascii="Times New Roman" w:hAnsi="Times New Roman" w:cs="Times New Roman"/>
        </w:rPr>
      </w:pPr>
    </w:p>
    <w:p w14:paraId="230DB233" w14:textId="77777777" w:rsidR="00AA366A" w:rsidRPr="00A40E06" w:rsidRDefault="00AA366A" w:rsidP="00AA366A">
      <w:pPr>
        <w:jc w:val="both"/>
        <w:rPr>
          <w:rFonts w:ascii="Times New Roman" w:eastAsia="Times New Roman" w:hAnsi="Times New Roman" w:cs="Times New Roman"/>
          <w:color w:val="212121"/>
        </w:rPr>
      </w:pPr>
      <w:r w:rsidRPr="00A40E06">
        <w:rPr>
          <w:rFonts w:ascii="Times New Roman" w:hAnsi="Times New Roman" w:cs="Times New Roman"/>
          <w:u w:val="single"/>
        </w:rPr>
        <w:t>16S rRNA gene quantitative PCR (qPCR):</w:t>
      </w:r>
      <w:r w:rsidRPr="00A40E06">
        <w:rPr>
          <w:rFonts w:ascii="Times New Roman" w:hAnsi="Times New Roman" w:cs="Times New Roman"/>
        </w:rPr>
        <w:t xml:space="preserve"> We performed </w:t>
      </w:r>
      <w:r w:rsidRPr="00A40E06">
        <w:rPr>
          <w:rFonts w:ascii="Times New Roman" w:eastAsia="Times New Roman" w:hAnsi="Times New Roman" w:cs="Times New Roman"/>
          <w:color w:val="212121"/>
        </w:rPr>
        <w:t xml:space="preserve">qPCR reactions of the V3-V4 region of the 16S rRNA gene to quantify the bacterial load in each sample, with the BactQuant protocol </w:t>
      </w:r>
      <w:r w:rsidRPr="00A40E06">
        <w:rPr>
          <w:rFonts w:ascii="Times New Roman" w:eastAsia="Times New Roman" w:hAnsi="Times New Roman" w:cs="Times New Roman"/>
          <w:color w:val="212121"/>
        </w:rPr>
        <w:fldChar w:fldCharType="begin"/>
      </w:r>
      <w:r w:rsidRPr="00A40E06">
        <w:rPr>
          <w:rFonts w:ascii="Times New Roman" w:eastAsia="Times New Roman" w:hAnsi="Times New Roman" w:cs="Times New Roman"/>
          <w:color w:val="212121"/>
        </w:rPr>
        <w:instrText>ADDIN F1000_CSL_CITATION&lt;~#@#~&gt;[{"DOI":"10.1186/1471-2180-12-56","First":false,"Last":false,"PMCID":"PMC3464140","PMID":"22510143","abstract":"&lt;strong&gt;BACKGROUND:&lt;/strong&gt; Bacterial load quantification is a critical component of bacterial community analysis, but a culture-independent method capable of detecting and quantifying diverse bacteria is needed. Based on our analysis of a diverse collection of 16 S rRNA gene sequences, we designed a broad-coverage quantitative real-time PCR (qPCR) assay--BactQuant--for quantifying 16 S rRNA gene copy number and estimating bacterial load. We further utilized in silico evaluation to complement laboratory-based qPCR characterization to validate BactQuant.&lt;br&gt;&lt;br&gt;&lt;strong&gt;METHODS:&lt;/strong&gt; The aligned core set of 4,938 16 S rRNA gene sequences in the Greengenes database were analyzed for assay design. Cloned plasmid standards were generated and quantified using a qPCR-based approach. Coverage analysis was performed computationally using &gt;670,000 sequences and further evaluated following the Minimum Information for Publication of Quantitative Real-Time PCR Experiments (MIQE) guidelines.&lt;br&gt;&lt;br&gt;&lt;strong&gt;RESULTS:&lt;/strong&gt; A bacterial TaqMan® qPCR assay targeting a 466 bp region in V3-V4 was designed. Coverage analysis showed that 91% of the phyla, 96% of the genera, and &gt;80% of the 89,537 species analyzed contained at least one perfect sequence match to the BactQuant assay. Of the 106 bacterial species evaluated, amplification efficiencies ranged from 81 to 120%, with r2-value of &gt;0.99, including species with sequence mismatches. Inter- and intra-run coefficient of variance was &lt; 3% and &lt; 16% for Ct and copy number, respectively.&lt;br&gt;&lt;br&gt;&lt;strong&gt;CONCLUSIONS:&lt;/strong&gt; The BactQuant assay offers significantly broader coverage than a previously reported universal bacterial quantification assay BactQuant in vitro performance was better than the in silico predictions.","author":[{"family":"Liu","given":"Cindy M"},{"family":"Aziz","given":"Maliha"},{"family":"Kachur","given":"Sergey"},{"family":"Hsueh","given":"Po-Ren"},{"family":"Huang","given":"Yu-Tsung"},{"family":"Keim","given":"Paul"},{"family":"Price","given":"Lance B"}],"authorYearDisplayFormat":false,"citation-label":"5179545","container-title":"BMC Microbiology","container-title-short":"BMC Microbiol.","id":"5179545","invisible":false,"issued":{"date-parts":[["2012","4","17"]]},"journalAbbreviation":"BMC Microbiol.","page":"56","suppress-author":false,"title":"BactQuant: an enhanced broad-coverage bacterial quantitative real-time PCR assay.","type":"article-journal","volume":"12"}]</w:instrText>
      </w:r>
      <w:r w:rsidRPr="00A40E06">
        <w:rPr>
          <w:rFonts w:ascii="Times New Roman" w:eastAsia="Times New Roman" w:hAnsi="Times New Roman" w:cs="Times New Roman"/>
          <w:color w:val="212121"/>
        </w:rPr>
        <w:fldChar w:fldCharType="separate"/>
      </w:r>
      <w:r w:rsidRPr="00A40E06">
        <w:rPr>
          <w:rFonts w:ascii="Times New Roman" w:eastAsia="Times New Roman" w:hAnsi="Times New Roman" w:cs="Times New Roman"/>
          <w:noProof/>
          <w:color w:val="212121"/>
        </w:rPr>
        <w:t>(Liu et al., 2012)</w:t>
      </w:r>
      <w:r w:rsidRPr="00A40E06">
        <w:rPr>
          <w:rFonts w:ascii="Times New Roman" w:eastAsia="Times New Roman" w:hAnsi="Times New Roman" w:cs="Times New Roman"/>
          <w:color w:val="212121"/>
        </w:rPr>
        <w:fldChar w:fldCharType="end"/>
      </w:r>
      <w:r w:rsidRPr="00A40E06">
        <w:rPr>
          <w:rFonts w:ascii="Times New Roman" w:eastAsia="Times New Roman" w:hAnsi="Times New Roman" w:cs="Times New Roman"/>
          <w:color w:val="212121"/>
        </w:rPr>
        <w:t>. PCR reactions were prepared in a total volume of 20µL, which consisted of 2µL of 10XPCR buffer, 3.5 mmol/L MgCl</w:t>
      </w:r>
      <w:r w:rsidRPr="00A40E06">
        <w:rPr>
          <w:rFonts w:ascii="Times New Roman" w:eastAsia="Times New Roman" w:hAnsi="Times New Roman" w:cs="Times New Roman"/>
          <w:color w:val="212121"/>
          <w:vertAlign w:val="subscript"/>
        </w:rPr>
        <w:t>2</w:t>
      </w:r>
      <w:r w:rsidRPr="00A40E06">
        <w:rPr>
          <w:rFonts w:ascii="Times New Roman" w:eastAsia="Times New Roman" w:hAnsi="Times New Roman" w:cs="Times New Roman"/>
          <w:color w:val="212121"/>
        </w:rPr>
        <w:t xml:space="preserve">, 0.2 mmol/L deoxynucleoside triphosphate, 0.5 µmol/L forward and reverse primers, 0.225 µmol/L probe, 0.75 U of Platinum Taq polymerase (Invitrogen), and 2µL of each DNA.  The forward and reverse primers and the probe sequences that were used to amplify DNA templates encoding the V3-V4 region of the 16S rRNA gene were identical to those previously described </w:t>
      </w:r>
      <w:r w:rsidRPr="00A40E06">
        <w:rPr>
          <w:rFonts w:ascii="Times New Roman" w:eastAsia="Times New Roman" w:hAnsi="Times New Roman" w:cs="Times New Roman"/>
          <w:color w:val="212121"/>
        </w:rPr>
        <w:fldChar w:fldCharType="begin"/>
      </w:r>
      <w:r w:rsidRPr="00A40E06">
        <w:rPr>
          <w:rFonts w:ascii="Times New Roman" w:eastAsia="Times New Roman" w:hAnsi="Times New Roman" w:cs="Times New Roman"/>
          <w:color w:val="212121"/>
        </w:rPr>
        <w:instrText>ADDIN F1000_CSL_CITATION&lt;~#@#~&gt;[{"DOI":"10.1186/1471-2180-12-56","First":false,"Last":false,"PMCID":"PMC3464140","PMID":"22510143","abstract":"&lt;strong&gt;BACKGROUND:&lt;/strong&gt; Bacterial load quantification is a critical component of bacterial community analysis, but a culture-independent method capable of detecting and quantifying diverse bacteria is needed. Based on our analysis of a diverse collection of 16 S rRNA gene sequences, we designed a broad-coverage quantitative real-time PCR (qPCR) assay--BactQuant--for quantifying 16 S rRNA gene copy number and estimating bacterial load. We further utilized in silico evaluation to complement laboratory-based qPCR characterization to validate BactQuant.&lt;br&gt;&lt;br&gt;&lt;strong&gt;METHODS:&lt;/strong&gt; The aligned core set of 4,938 16 S rRNA gene sequences in the Greengenes database were analyzed for assay design. Cloned plasmid standards were generated and quantified using a qPCR-based approach. Coverage analysis was performed computationally using &gt;670,000 sequences and further evaluated following the Minimum Information for Publication of Quantitative Real-Time PCR Experiments (MIQE) guidelines.&lt;br&gt;&lt;br&gt;&lt;strong&gt;RESULTS:&lt;/strong&gt; A bacterial TaqMan® qPCR assay targeting a 466 bp region in V3-V4 was designed. Coverage analysis showed that 91% of the phyla, 96% of the genera, and &gt;80% of the 89,537 species analyzed contained at least one perfect sequence match to the BactQuant assay. Of the 106 bacterial species evaluated, amplification efficiencies ranged from 81 to 120%, with r2-value of &gt;0.99, including species with sequence mismatches. Inter- and intra-run coefficient of variance was &lt; 3% and &lt; 16% for Ct and copy number, respectively.&lt;br&gt;&lt;br&gt;&lt;strong&gt;CONCLUSIONS:&lt;/strong&gt; The BactQuant assay offers significantly broader coverage than a previously reported universal bacterial quantification assay BactQuant in vitro performance was better than the in silico predictions.","author":[{"family":"Liu","given":"Cindy M"},{"family":"Aziz","given":"Maliha"},{"family":"Kachur","given":"Sergey"},{"family":"Hsueh","given":"Po-Ren"},{"family":"Huang","given":"Yu-Tsung"},{"family":"Keim","given":"Paul"},{"family":"Price","given":"Lance B"}],"authorYearDisplayFormat":false,"citation-label":"5179545","container-title":"BMC Microbiology","container-title-short":"BMC Microbiol.","id":"5179545","invisible":false,"issued":{"date-parts":[["2012","4","17"]]},"journalAbbreviation":"BMC Microbiol.","page":"56","suppress-author":false,"title":"BactQuant: an enhanced broad-coverage bacterial quantitative real-time PCR assay.","type":"article-journal","volume":"12"}]</w:instrText>
      </w:r>
      <w:r w:rsidRPr="00A40E06">
        <w:rPr>
          <w:rFonts w:ascii="Times New Roman" w:eastAsia="Times New Roman" w:hAnsi="Times New Roman" w:cs="Times New Roman"/>
          <w:color w:val="212121"/>
        </w:rPr>
        <w:fldChar w:fldCharType="separate"/>
      </w:r>
      <w:r w:rsidRPr="00A40E06">
        <w:rPr>
          <w:rFonts w:ascii="Times New Roman" w:eastAsia="Times New Roman" w:hAnsi="Times New Roman" w:cs="Times New Roman"/>
          <w:noProof/>
          <w:color w:val="212121"/>
        </w:rPr>
        <w:t>(Liu et al., 2012)</w:t>
      </w:r>
      <w:r w:rsidRPr="00A40E06">
        <w:rPr>
          <w:rFonts w:ascii="Times New Roman" w:eastAsia="Times New Roman" w:hAnsi="Times New Roman" w:cs="Times New Roman"/>
          <w:color w:val="212121"/>
        </w:rPr>
        <w:fldChar w:fldCharType="end"/>
      </w:r>
      <w:r w:rsidRPr="00A40E06">
        <w:rPr>
          <w:rFonts w:ascii="Times New Roman" w:eastAsia="Times New Roman" w:hAnsi="Times New Roman" w:cs="Times New Roman"/>
          <w:color w:val="212121"/>
        </w:rPr>
        <w:t>.  The DNA was amplified in duplicate, and mean values were calculated. A standard curve was created from serial dilutions of plasmid DNA containing known copy numbers of the template.  The assays were performed on the LightCyler System (Roche) using the following PCR conditions: 95°C for 5 min, followed by 50 cycles at 95°C for 15 s and at 60°C for 1 min. </w:t>
      </w:r>
    </w:p>
    <w:p w14:paraId="5F7A0273" w14:textId="77777777" w:rsidR="00AA366A" w:rsidRPr="00A40E06" w:rsidRDefault="00AA366A" w:rsidP="00AA366A">
      <w:pPr>
        <w:jc w:val="both"/>
        <w:rPr>
          <w:rFonts w:ascii="Times New Roman" w:hAnsi="Times New Roman" w:cs="Times New Roman"/>
        </w:rPr>
      </w:pPr>
    </w:p>
    <w:p w14:paraId="66BCF142" w14:textId="77777777" w:rsidR="00AA366A" w:rsidRPr="00A40E06" w:rsidRDefault="00AA366A" w:rsidP="00AA366A">
      <w:pPr>
        <w:ind w:firstLine="720"/>
        <w:jc w:val="both"/>
        <w:rPr>
          <w:rFonts w:ascii="Times New Roman" w:hAnsi="Times New Roman" w:cs="Times New Roman"/>
        </w:rPr>
      </w:pPr>
    </w:p>
    <w:p w14:paraId="6922D6EC" w14:textId="1923EF99" w:rsidR="00664434" w:rsidRPr="00A40E06" w:rsidRDefault="00FD72BA" w:rsidP="003B399E">
      <w:pPr>
        <w:jc w:val="both"/>
        <w:rPr>
          <w:rFonts w:ascii="Times New Roman" w:eastAsia="MS Gothic" w:hAnsi="Times New Roman" w:cs="Times New Roman"/>
          <w:u w:val="single"/>
        </w:rPr>
      </w:pPr>
      <w:r w:rsidRPr="00A40E06">
        <w:rPr>
          <w:rFonts w:ascii="Times New Roman" w:eastAsia="MS Gothic" w:hAnsi="Times New Roman" w:cs="Times New Roman"/>
          <w:u w:val="single"/>
        </w:rPr>
        <w:t xml:space="preserve">Reproducibility of sequencing results: </w:t>
      </w:r>
    </w:p>
    <w:p w14:paraId="11C60FF0" w14:textId="36AAC804" w:rsidR="00C34973" w:rsidRPr="00A40E06" w:rsidRDefault="00C34973" w:rsidP="00FD72BA">
      <w:pPr>
        <w:jc w:val="both"/>
        <w:rPr>
          <w:rFonts w:ascii="Times New Roman" w:eastAsia="MS Gothic" w:hAnsi="Times New Roman" w:cs="Times New Roman"/>
          <w:color w:val="000000"/>
        </w:rPr>
      </w:pPr>
      <w:r w:rsidRPr="00A40E06">
        <w:rPr>
          <w:rFonts w:ascii="Times New Roman" w:hAnsi="Times New Roman" w:cs="Times New Roman"/>
        </w:rPr>
        <w:t xml:space="preserve">We demonstrated excellent reproducibility of taxonomic results with our 16S rRNA gene sequencing </w:t>
      </w:r>
      <w:r w:rsidR="00472969" w:rsidRPr="00A40E06">
        <w:rPr>
          <w:rFonts w:ascii="Times New Roman" w:hAnsi="Times New Roman" w:cs="Times New Roman"/>
        </w:rPr>
        <w:t xml:space="preserve">protocol in our lab. In periodic quality control experiments, we run technical replicates by using three different sets of primers (each one with different barcodes) </w:t>
      </w:r>
      <w:r w:rsidR="00A863F6" w:rsidRPr="00A40E06">
        <w:rPr>
          <w:rFonts w:ascii="Times New Roman" w:hAnsi="Times New Roman" w:cs="Times New Roman"/>
        </w:rPr>
        <w:t xml:space="preserve">to assess reproducibility of sequencing. In a recent set of 80 stool samples run in triplicate, we performed </w:t>
      </w:r>
      <w:r w:rsidR="00A863F6" w:rsidRPr="00A40E06">
        <w:rPr>
          <w:rFonts w:ascii="Times New Roman" w:eastAsia="MS Gothic" w:hAnsi="Times New Roman" w:cs="Times New Roman"/>
          <w:color w:val="000000"/>
        </w:rPr>
        <w:t xml:space="preserve">permutation analysis of variance (Permanova at 1000 permutations) by including the “technical replicate” variable as an explanatory variable for the variance in beta-diversity of samples. The technical replicate value explained a very small proportion of between sample variance (R2=0.0014) with a p-value of 0.99, indicating that no significant differences between replicated samples could be found. This was further illustrated with visualization by nonmetric-multidimensional scaling with demonstration of all samples and their centroids by technical replicate factor (Replicate 1 vs. 2 vs. 3) showing near-perfect overlap of the centroids, again suggesting of near-perfect similarity of the technical replicate samples in terms of beta-diversity. </w:t>
      </w:r>
    </w:p>
    <w:p w14:paraId="735C5123" w14:textId="55E1CC07" w:rsidR="00994E8D" w:rsidRPr="00A40E06" w:rsidRDefault="00994E8D" w:rsidP="003B399E">
      <w:pPr>
        <w:ind w:firstLine="720"/>
        <w:jc w:val="both"/>
        <w:rPr>
          <w:rFonts w:ascii="Times New Roman" w:hAnsi="Times New Roman" w:cs="Times New Roman"/>
          <w:b/>
        </w:rPr>
      </w:pPr>
      <w:r w:rsidRPr="00A40E06">
        <w:rPr>
          <w:rFonts w:ascii="Times New Roman" w:eastAsia="MS Gothic" w:hAnsi="Times New Roman" w:cs="Times New Roman"/>
          <w:b/>
          <w:color w:val="000000"/>
        </w:rPr>
        <w:t xml:space="preserve">Supplementary Figure 1: Nonmetric-multidimensional scaling of technical replicate samples (each stool sample run in triplicate: R1 vs. R2 vs. R3) showing near perfect overlap of the centroids of these replicate samples, indicating excellent reproducibility of technical replicate samples. </w:t>
      </w:r>
    </w:p>
    <w:p w14:paraId="14400D73" w14:textId="77777777" w:rsidR="00C34973" w:rsidRPr="00A40E06" w:rsidRDefault="00C34973" w:rsidP="003B399E">
      <w:pPr>
        <w:ind w:firstLine="720"/>
        <w:jc w:val="both"/>
        <w:rPr>
          <w:rFonts w:ascii="Times New Roman" w:hAnsi="Times New Roman" w:cs="Times New Roman"/>
        </w:rPr>
      </w:pPr>
    </w:p>
    <w:p w14:paraId="4A391622" w14:textId="7FC3CE04" w:rsidR="00994E8D" w:rsidRPr="00A40E06" w:rsidRDefault="00994E8D" w:rsidP="003B399E">
      <w:pPr>
        <w:ind w:firstLine="720"/>
        <w:jc w:val="both"/>
        <w:rPr>
          <w:rFonts w:ascii="Times New Roman" w:hAnsi="Times New Roman" w:cs="Times New Roman"/>
        </w:rPr>
      </w:pPr>
      <w:r w:rsidRPr="00A40E06">
        <w:rPr>
          <w:rFonts w:ascii="Times New Roman" w:hAnsi="Times New Roman" w:cs="Times New Roman"/>
          <w:noProof/>
        </w:rPr>
        <w:drawing>
          <wp:anchor distT="0" distB="0" distL="114300" distR="114300" simplePos="0" relativeHeight="251658240" behindDoc="0" locked="0" layoutInCell="1" allowOverlap="1" wp14:anchorId="0B2F516B" wp14:editId="1B324A62">
            <wp:simplePos x="0" y="0"/>
            <wp:positionH relativeFrom="column">
              <wp:posOffset>0</wp:posOffset>
            </wp:positionH>
            <wp:positionV relativeFrom="paragraph">
              <wp:posOffset>23495</wp:posOffset>
            </wp:positionV>
            <wp:extent cx="5085715" cy="3994785"/>
            <wp:effectExtent l="25400" t="25400" r="19685" b="18415"/>
            <wp:wrapTight wrapText="bothSides">
              <wp:wrapPolygon edited="0">
                <wp:start x="-108" y="-137"/>
                <wp:lineTo x="-108" y="21562"/>
                <wp:lineTo x="21576" y="21562"/>
                <wp:lineTo x="21576" y="-137"/>
                <wp:lineTo x="-108" y="-13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5715" cy="399478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14:paraId="0B12F0B8" w14:textId="77777777" w:rsidR="00994E8D" w:rsidRPr="00A40E06" w:rsidRDefault="00994E8D" w:rsidP="003B399E">
      <w:pPr>
        <w:ind w:firstLine="720"/>
        <w:jc w:val="both"/>
        <w:rPr>
          <w:rFonts w:ascii="Times New Roman" w:hAnsi="Times New Roman" w:cs="Times New Roman"/>
        </w:rPr>
      </w:pPr>
    </w:p>
    <w:p w14:paraId="70A97891" w14:textId="77777777" w:rsidR="00994E8D" w:rsidRPr="00A40E06" w:rsidRDefault="00994E8D" w:rsidP="003B399E">
      <w:pPr>
        <w:ind w:firstLine="720"/>
        <w:jc w:val="both"/>
        <w:rPr>
          <w:rFonts w:ascii="Times New Roman" w:hAnsi="Times New Roman" w:cs="Times New Roman"/>
        </w:rPr>
      </w:pPr>
    </w:p>
    <w:p w14:paraId="30833595" w14:textId="77777777" w:rsidR="00994E8D" w:rsidRPr="00A40E06" w:rsidRDefault="00994E8D" w:rsidP="003B399E">
      <w:pPr>
        <w:ind w:firstLine="720"/>
        <w:jc w:val="both"/>
        <w:rPr>
          <w:rFonts w:ascii="Times New Roman" w:hAnsi="Times New Roman" w:cs="Times New Roman"/>
        </w:rPr>
      </w:pPr>
    </w:p>
    <w:p w14:paraId="34AB65FA" w14:textId="77777777" w:rsidR="00994E8D" w:rsidRPr="00A40E06" w:rsidRDefault="00994E8D" w:rsidP="003B399E">
      <w:pPr>
        <w:ind w:firstLine="720"/>
        <w:jc w:val="both"/>
        <w:rPr>
          <w:rFonts w:ascii="Times New Roman" w:hAnsi="Times New Roman" w:cs="Times New Roman"/>
        </w:rPr>
      </w:pPr>
    </w:p>
    <w:p w14:paraId="2E740149" w14:textId="77777777" w:rsidR="00994E8D" w:rsidRPr="00A40E06" w:rsidRDefault="00994E8D" w:rsidP="003B399E">
      <w:pPr>
        <w:ind w:firstLine="720"/>
        <w:jc w:val="both"/>
        <w:rPr>
          <w:rFonts w:ascii="Times New Roman" w:hAnsi="Times New Roman" w:cs="Times New Roman"/>
        </w:rPr>
      </w:pPr>
    </w:p>
    <w:p w14:paraId="0717A4E0" w14:textId="059D549D" w:rsidR="008F7F21" w:rsidRPr="00A40E06" w:rsidRDefault="008F7F21" w:rsidP="003B399E">
      <w:pPr>
        <w:ind w:firstLine="720"/>
        <w:jc w:val="both"/>
        <w:rPr>
          <w:rFonts w:ascii="Times New Roman" w:hAnsi="Times New Roman" w:cs="Times New Roman"/>
        </w:rPr>
      </w:pPr>
    </w:p>
    <w:p w14:paraId="37E706C6" w14:textId="77777777" w:rsidR="00664434" w:rsidRPr="00A40E06" w:rsidRDefault="00664434" w:rsidP="008F7F21">
      <w:pPr>
        <w:rPr>
          <w:rFonts w:ascii="Times New Roman" w:eastAsia="Times New Roman" w:hAnsi="Times New Roman" w:cs="Times New Roman"/>
          <w:b/>
          <w:bCs/>
          <w:color w:val="212121"/>
        </w:rPr>
      </w:pPr>
    </w:p>
    <w:p w14:paraId="34FB9905" w14:textId="77777777" w:rsidR="00664434" w:rsidRPr="00A40E06" w:rsidRDefault="00664434" w:rsidP="008F7F21">
      <w:pPr>
        <w:rPr>
          <w:rFonts w:ascii="Times New Roman" w:eastAsia="Times New Roman" w:hAnsi="Times New Roman" w:cs="Times New Roman"/>
          <w:b/>
          <w:bCs/>
          <w:color w:val="212121"/>
        </w:rPr>
      </w:pPr>
    </w:p>
    <w:p w14:paraId="332A2C69" w14:textId="77777777" w:rsidR="00664434" w:rsidRPr="00A40E06" w:rsidRDefault="00664434" w:rsidP="008F7F21">
      <w:pPr>
        <w:rPr>
          <w:rFonts w:ascii="Times New Roman" w:eastAsia="Times New Roman" w:hAnsi="Times New Roman" w:cs="Times New Roman"/>
          <w:b/>
          <w:bCs/>
          <w:color w:val="212121"/>
        </w:rPr>
      </w:pPr>
    </w:p>
    <w:p w14:paraId="73F67894" w14:textId="77777777" w:rsidR="00664434" w:rsidRPr="00A40E06" w:rsidRDefault="00664434" w:rsidP="008F7F21">
      <w:pPr>
        <w:rPr>
          <w:rFonts w:ascii="Times New Roman" w:eastAsia="Times New Roman" w:hAnsi="Times New Roman" w:cs="Times New Roman"/>
          <w:b/>
          <w:bCs/>
          <w:color w:val="212121"/>
        </w:rPr>
      </w:pPr>
    </w:p>
    <w:p w14:paraId="517CCE0F" w14:textId="77777777" w:rsidR="00664434" w:rsidRPr="00A40E06" w:rsidRDefault="00664434" w:rsidP="008F7F21">
      <w:pPr>
        <w:rPr>
          <w:rFonts w:ascii="Times New Roman" w:eastAsia="Times New Roman" w:hAnsi="Times New Roman" w:cs="Times New Roman"/>
          <w:b/>
          <w:bCs/>
          <w:color w:val="212121"/>
        </w:rPr>
      </w:pPr>
    </w:p>
    <w:p w14:paraId="3BF9FEE0" w14:textId="77777777" w:rsidR="00664434" w:rsidRPr="00A40E06" w:rsidRDefault="00664434" w:rsidP="008F7F21">
      <w:pPr>
        <w:rPr>
          <w:rFonts w:ascii="Times New Roman" w:eastAsia="Times New Roman" w:hAnsi="Times New Roman" w:cs="Times New Roman"/>
          <w:b/>
          <w:bCs/>
          <w:color w:val="212121"/>
        </w:rPr>
      </w:pPr>
    </w:p>
    <w:p w14:paraId="00B3A0A9" w14:textId="77777777" w:rsidR="00664434" w:rsidRPr="00A40E06" w:rsidRDefault="00664434" w:rsidP="008F7F21">
      <w:pPr>
        <w:rPr>
          <w:rFonts w:ascii="Times New Roman" w:eastAsia="Times New Roman" w:hAnsi="Times New Roman" w:cs="Times New Roman"/>
          <w:b/>
          <w:bCs/>
          <w:color w:val="212121"/>
        </w:rPr>
      </w:pPr>
    </w:p>
    <w:p w14:paraId="0627193D" w14:textId="77777777" w:rsidR="00664434" w:rsidRPr="00A40E06" w:rsidRDefault="00664434" w:rsidP="008F7F21">
      <w:pPr>
        <w:rPr>
          <w:rFonts w:ascii="Times New Roman" w:eastAsia="Times New Roman" w:hAnsi="Times New Roman" w:cs="Times New Roman"/>
          <w:b/>
          <w:bCs/>
          <w:color w:val="212121"/>
        </w:rPr>
      </w:pPr>
    </w:p>
    <w:p w14:paraId="24FFE239" w14:textId="77777777" w:rsidR="00664434" w:rsidRPr="00A40E06" w:rsidRDefault="00664434" w:rsidP="008F7F21">
      <w:pPr>
        <w:rPr>
          <w:rFonts w:ascii="Times New Roman" w:eastAsia="Times New Roman" w:hAnsi="Times New Roman" w:cs="Times New Roman"/>
          <w:b/>
          <w:bCs/>
          <w:color w:val="212121"/>
        </w:rPr>
      </w:pPr>
    </w:p>
    <w:p w14:paraId="0796785D" w14:textId="77777777" w:rsidR="00664434" w:rsidRPr="00A40E06" w:rsidRDefault="00664434" w:rsidP="008F7F21">
      <w:pPr>
        <w:rPr>
          <w:rFonts w:ascii="Times New Roman" w:eastAsia="Times New Roman" w:hAnsi="Times New Roman" w:cs="Times New Roman"/>
          <w:b/>
          <w:bCs/>
          <w:color w:val="212121"/>
        </w:rPr>
      </w:pPr>
    </w:p>
    <w:p w14:paraId="32943F32" w14:textId="77777777" w:rsidR="00664434" w:rsidRPr="00A40E06" w:rsidRDefault="00664434" w:rsidP="008F7F21">
      <w:pPr>
        <w:rPr>
          <w:rFonts w:ascii="Times New Roman" w:eastAsia="Times New Roman" w:hAnsi="Times New Roman" w:cs="Times New Roman"/>
          <w:b/>
          <w:bCs/>
          <w:color w:val="212121"/>
        </w:rPr>
      </w:pPr>
    </w:p>
    <w:p w14:paraId="3DAB0025" w14:textId="77777777" w:rsidR="00664434" w:rsidRPr="00A40E06" w:rsidRDefault="00664434" w:rsidP="008F7F21">
      <w:pPr>
        <w:rPr>
          <w:rFonts w:ascii="Times New Roman" w:eastAsia="Times New Roman" w:hAnsi="Times New Roman" w:cs="Times New Roman"/>
          <w:b/>
          <w:bCs/>
          <w:color w:val="212121"/>
        </w:rPr>
      </w:pPr>
    </w:p>
    <w:p w14:paraId="1F6542BE" w14:textId="1FA22663" w:rsidR="00664434" w:rsidRPr="00A40E06" w:rsidRDefault="00664434" w:rsidP="00B11329">
      <w:pPr>
        <w:jc w:val="both"/>
        <w:rPr>
          <w:rFonts w:ascii="Times New Roman" w:eastAsia="Times New Roman" w:hAnsi="Times New Roman" w:cs="Times New Roman"/>
          <w:bCs/>
          <w:color w:val="212121"/>
        </w:rPr>
      </w:pPr>
      <w:r w:rsidRPr="00A40E06">
        <w:rPr>
          <w:rFonts w:ascii="Times New Roman" w:eastAsia="Times New Roman" w:hAnsi="Times New Roman" w:cs="Times New Roman"/>
          <w:bCs/>
          <w:color w:val="212121"/>
        </w:rPr>
        <w:t xml:space="preserve">Additionally, </w:t>
      </w:r>
      <w:r w:rsidR="00FE1FB8" w:rsidRPr="00A40E06">
        <w:rPr>
          <w:rFonts w:ascii="Times New Roman" w:eastAsia="Times New Roman" w:hAnsi="Times New Roman" w:cs="Times New Roman"/>
          <w:bCs/>
          <w:color w:val="212121"/>
        </w:rPr>
        <w:t xml:space="preserve">our method accurately reproduced the taxonomic composition of Zymo samples, detecting the expected relative abundances of the eight component organisms in the </w:t>
      </w:r>
      <w:r w:rsidR="00FE1FB8" w:rsidRPr="00A40E06">
        <w:rPr>
          <w:rFonts w:ascii="Times New Roman" w:hAnsi="Times New Roman" w:cs="Times New Roman"/>
        </w:rPr>
        <w:t xml:space="preserve">ZymoBIOMICS Microbial Community DNA Standard (Zymo Research, Irvine, CA) (Supplementary Figure 2). </w:t>
      </w:r>
    </w:p>
    <w:p w14:paraId="0ABE2E98" w14:textId="77777777" w:rsidR="00664434" w:rsidRPr="00A40E06" w:rsidRDefault="00664434" w:rsidP="008F7F21">
      <w:pPr>
        <w:rPr>
          <w:rFonts w:ascii="Times New Roman" w:eastAsia="Times New Roman" w:hAnsi="Times New Roman" w:cs="Times New Roman"/>
          <w:b/>
          <w:bCs/>
          <w:color w:val="212121"/>
        </w:rPr>
      </w:pPr>
    </w:p>
    <w:p w14:paraId="23568BBC" w14:textId="4D586CF4" w:rsidR="00B11329" w:rsidRPr="00A40E06" w:rsidRDefault="00B11329" w:rsidP="00B11329">
      <w:pPr>
        <w:ind w:firstLine="720"/>
        <w:jc w:val="both"/>
        <w:rPr>
          <w:rFonts w:ascii="Times New Roman" w:hAnsi="Times New Roman" w:cs="Times New Roman"/>
          <w:b/>
        </w:rPr>
      </w:pPr>
      <w:r w:rsidRPr="00A40E06">
        <w:rPr>
          <w:rFonts w:ascii="Times New Roman" w:eastAsia="MS Gothic" w:hAnsi="Times New Roman" w:cs="Times New Roman"/>
          <w:b/>
          <w:color w:val="000000"/>
        </w:rPr>
        <w:t xml:space="preserve">Supplementary Figure 2: Taxonomic composition of 5 </w:t>
      </w:r>
      <w:r w:rsidRPr="00A40E06">
        <w:rPr>
          <w:rFonts w:ascii="Times New Roman" w:hAnsi="Times New Roman" w:cs="Times New Roman"/>
          <w:b/>
        </w:rPr>
        <w:t xml:space="preserve">ZymoBIOMICS Microbial Community DNA Standard </w:t>
      </w:r>
      <w:r w:rsidR="00C305CF" w:rsidRPr="00A40E06">
        <w:rPr>
          <w:rFonts w:ascii="Times New Roman" w:hAnsi="Times New Roman" w:cs="Times New Roman"/>
          <w:b/>
        </w:rPr>
        <w:t xml:space="preserve">samples, which showed the expected relative abundances of the eight component taxa. </w:t>
      </w:r>
    </w:p>
    <w:p w14:paraId="3D0E4035" w14:textId="77777777" w:rsidR="00664434" w:rsidRPr="00A40E06" w:rsidRDefault="00664434" w:rsidP="008F7F21">
      <w:pPr>
        <w:rPr>
          <w:rFonts w:ascii="Times New Roman" w:eastAsia="Times New Roman" w:hAnsi="Times New Roman" w:cs="Times New Roman"/>
          <w:b/>
          <w:bCs/>
          <w:color w:val="212121"/>
        </w:rPr>
      </w:pPr>
    </w:p>
    <w:p w14:paraId="3DB49278" w14:textId="0084496C" w:rsidR="008F7F21" w:rsidRPr="00A40E06" w:rsidRDefault="00C305CF" w:rsidP="00F91A45">
      <w:pPr>
        <w:rPr>
          <w:rFonts w:ascii="Times New Roman" w:eastAsia="Times New Roman" w:hAnsi="Times New Roman" w:cs="Times New Roman"/>
          <w:b/>
          <w:bCs/>
          <w:color w:val="212121"/>
        </w:rPr>
      </w:pPr>
      <w:r w:rsidRPr="00A40E06">
        <w:rPr>
          <w:rFonts w:ascii="Times New Roman" w:eastAsia="Times New Roman" w:hAnsi="Times New Roman" w:cs="Times New Roman"/>
          <w:b/>
          <w:bCs/>
          <w:noProof/>
          <w:color w:val="212121"/>
        </w:rPr>
        <w:drawing>
          <wp:anchor distT="0" distB="0" distL="114300" distR="114300" simplePos="0" relativeHeight="251659264" behindDoc="0" locked="0" layoutInCell="1" allowOverlap="1" wp14:anchorId="702CB9D7" wp14:editId="0452DD1C">
            <wp:simplePos x="0" y="0"/>
            <wp:positionH relativeFrom="column">
              <wp:posOffset>17780</wp:posOffset>
            </wp:positionH>
            <wp:positionV relativeFrom="paragraph">
              <wp:posOffset>20320</wp:posOffset>
            </wp:positionV>
            <wp:extent cx="5486400" cy="4114165"/>
            <wp:effectExtent l="25400" t="25400" r="25400" b="26035"/>
            <wp:wrapTight wrapText="bothSides">
              <wp:wrapPolygon edited="0">
                <wp:start x="-100" y="-133"/>
                <wp:lineTo x="-100" y="21603"/>
                <wp:lineTo x="21600" y="21603"/>
                <wp:lineTo x="21600" y="-133"/>
                <wp:lineTo x="-100" y="-1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mopositivecontrols.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16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14:paraId="7838E107" w14:textId="45EE6BD0" w:rsidR="00925CBC" w:rsidRPr="00A40E06" w:rsidRDefault="00925CBC" w:rsidP="009E42AB">
      <w:pPr>
        <w:jc w:val="both"/>
        <w:rPr>
          <w:rFonts w:ascii="Times New Roman" w:hAnsi="Times New Roman" w:cs="Times New Roman"/>
          <w:u w:val="single"/>
        </w:rPr>
      </w:pPr>
      <w:r w:rsidRPr="00A40E06">
        <w:rPr>
          <w:rFonts w:ascii="Times New Roman" w:hAnsi="Times New Roman" w:cs="Times New Roman"/>
          <w:u w:val="single"/>
        </w:rPr>
        <w:t xml:space="preserve">Microbial culture protocols: </w:t>
      </w:r>
    </w:p>
    <w:p w14:paraId="6777EBD6" w14:textId="0B91A6B0" w:rsidR="00FE11C8" w:rsidRPr="00A40E06" w:rsidRDefault="00925CBC" w:rsidP="009E42AB">
      <w:pPr>
        <w:jc w:val="both"/>
        <w:rPr>
          <w:rFonts w:ascii="Times New Roman" w:eastAsia="Times New Roman" w:hAnsi="Times New Roman" w:cs="Times New Roman"/>
        </w:rPr>
      </w:pPr>
      <w:r w:rsidRPr="00A40E06">
        <w:rPr>
          <w:rFonts w:ascii="Times New Roman" w:hAnsi="Times New Roman" w:cs="Times New Roman"/>
        </w:rPr>
        <w:t xml:space="preserve">All respiratory specimen cultures were performed by the clinical microbiology laboratory at the University of Pittsburgh Medical Center. </w:t>
      </w:r>
      <w:r w:rsidR="009E42AB" w:rsidRPr="00A40E06">
        <w:rPr>
          <w:rFonts w:ascii="Times New Roman" w:hAnsi="Times New Roman" w:cs="Times New Roman"/>
        </w:rPr>
        <w:t>Upon receipt of clinical specimens in the laboratory, the available material (sputum, endotracheal aspirate or bronchoalveolar lavage fluid) is used to</w:t>
      </w:r>
      <w:r w:rsidR="009E42AB" w:rsidRPr="00A40E06">
        <w:rPr>
          <w:rFonts w:ascii="Times New Roman" w:eastAsia="Times New Roman" w:hAnsi="Times New Roman" w:cs="Times New Roman"/>
        </w:rPr>
        <w:t xml:space="preserve"> inoculate agar plates: trypticase soy agar with </w:t>
      </w:r>
      <w:r w:rsidR="00FE11C8" w:rsidRPr="00A40E06">
        <w:rPr>
          <w:rFonts w:ascii="Times New Roman" w:eastAsia="Times New Roman" w:hAnsi="Times New Roman" w:cs="Times New Roman"/>
        </w:rPr>
        <w:t xml:space="preserve">5% sheep blood, chocolate </w:t>
      </w:r>
      <w:r w:rsidR="009E42AB" w:rsidRPr="00A40E06">
        <w:rPr>
          <w:rFonts w:ascii="Times New Roman" w:eastAsia="Times New Roman" w:hAnsi="Times New Roman" w:cs="Times New Roman"/>
        </w:rPr>
        <w:t xml:space="preserve">agar </w:t>
      </w:r>
      <w:r w:rsidR="00FE11C8" w:rsidRPr="00A40E06">
        <w:rPr>
          <w:rFonts w:ascii="Times New Roman" w:eastAsia="Times New Roman" w:hAnsi="Times New Roman" w:cs="Times New Roman"/>
        </w:rPr>
        <w:t xml:space="preserve">(for fastidious organisms), </w:t>
      </w:r>
      <w:r w:rsidR="009E42AB" w:rsidRPr="00A40E06">
        <w:rPr>
          <w:rFonts w:ascii="Times New Roman" w:eastAsia="Times New Roman" w:hAnsi="Times New Roman" w:cs="Times New Roman"/>
          <w:shd w:val="clear" w:color="auto" w:fill="FFFFFF"/>
        </w:rPr>
        <w:t>Columbia Naladixic Acid</w:t>
      </w:r>
      <w:r w:rsidR="009E42AB" w:rsidRPr="00A40E06">
        <w:rPr>
          <w:rStyle w:val="apple-converted-space"/>
          <w:rFonts w:ascii="Times New Roman" w:eastAsia="Times New Roman" w:hAnsi="Times New Roman" w:cs="Times New Roman"/>
          <w:shd w:val="clear" w:color="auto" w:fill="FFFFFF"/>
        </w:rPr>
        <w:t> </w:t>
      </w:r>
      <w:r w:rsidR="009E42AB" w:rsidRPr="00A40E06">
        <w:rPr>
          <w:rStyle w:val="Emphasis"/>
          <w:rFonts w:ascii="Times New Roman" w:eastAsia="Times New Roman" w:hAnsi="Times New Roman" w:cs="Times New Roman"/>
          <w:bCs/>
          <w:i w:val="0"/>
          <w:iCs w:val="0"/>
        </w:rPr>
        <w:t>Agar</w:t>
      </w:r>
      <w:r w:rsidR="009E42AB" w:rsidRPr="00A40E06">
        <w:rPr>
          <w:rStyle w:val="apple-converted-space"/>
          <w:rFonts w:ascii="Times New Roman" w:eastAsia="Times New Roman" w:hAnsi="Times New Roman" w:cs="Times New Roman"/>
          <w:shd w:val="clear" w:color="auto" w:fill="FFFFFF"/>
        </w:rPr>
        <w:t> </w:t>
      </w:r>
      <w:r w:rsidR="009E42AB" w:rsidRPr="00A40E06">
        <w:rPr>
          <w:rFonts w:ascii="Times New Roman" w:eastAsia="Times New Roman" w:hAnsi="Times New Roman" w:cs="Times New Roman"/>
          <w:shd w:val="clear" w:color="auto" w:fill="FFFFFF"/>
        </w:rPr>
        <w:t>(</w:t>
      </w:r>
      <w:r w:rsidR="009E42AB" w:rsidRPr="00A40E06">
        <w:rPr>
          <w:rStyle w:val="Emphasis"/>
          <w:rFonts w:ascii="Times New Roman" w:eastAsia="Times New Roman" w:hAnsi="Times New Roman" w:cs="Times New Roman"/>
          <w:bCs/>
          <w:i w:val="0"/>
          <w:iCs w:val="0"/>
        </w:rPr>
        <w:t>CAN Agar for gram-positives)</w:t>
      </w:r>
      <w:r w:rsidR="00FE11C8" w:rsidRPr="00A40E06">
        <w:rPr>
          <w:rFonts w:ascii="Times New Roman" w:eastAsia="Times New Roman" w:hAnsi="Times New Roman" w:cs="Times New Roman"/>
        </w:rPr>
        <w:t> and MacConkey (for gram-negatives)</w:t>
      </w:r>
      <w:r w:rsidR="009E42AB" w:rsidRPr="00A40E06">
        <w:rPr>
          <w:rFonts w:ascii="Times New Roman" w:eastAsia="Times New Roman" w:hAnsi="Times New Roman" w:cs="Times New Roman"/>
        </w:rPr>
        <w:t xml:space="preserve">. Samples are incubated for up to 24hrs and the following day, </w:t>
      </w:r>
      <w:r w:rsidR="00FE11C8" w:rsidRPr="00A40E06">
        <w:rPr>
          <w:rFonts w:ascii="Times New Roman" w:eastAsia="Times New Roman" w:hAnsi="Times New Roman" w:cs="Times New Roman"/>
        </w:rPr>
        <w:t xml:space="preserve">isolated colonies are identified </w:t>
      </w:r>
      <w:r w:rsidR="009E42AB" w:rsidRPr="00A40E06">
        <w:rPr>
          <w:rFonts w:ascii="Times New Roman" w:eastAsia="Times New Roman" w:hAnsi="Times New Roman" w:cs="Times New Roman"/>
        </w:rPr>
        <w:t>with</w:t>
      </w:r>
      <w:r w:rsidR="00FE11C8" w:rsidRPr="00A40E06">
        <w:rPr>
          <w:rFonts w:ascii="Times New Roman" w:eastAsia="Times New Roman" w:hAnsi="Times New Roman" w:cs="Times New Roman"/>
        </w:rPr>
        <w:t xml:space="preserve"> </w:t>
      </w:r>
      <w:r w:rsidR="009E42AB" w:rsidRPr="00A40E06">
        <w:rPr>
          <w:rFonts w:ascii="Times New Roman" w:eastAsia="Times New Roman" w:hAnsi="Times New Roman" w:cs="Times New Roman"/>
          <w:bCs/>
        </w:rPr>
        <w:t>matrix-assisted laser desorption/ionization</w:t>
      </w:r>
      <w:r w:rsidR="009E42AB" w:rsidRPr="00A40E06">
        <w:rPr>
          <w:rStyle w:val="apple-converted-space"/>
          <w:rFonts w:ascii="Times New Roman" w:eastAsia="Times New Roman" w:hAnsi="Times New Roman" w:cs="Times New Roman"/>
          <w:shd w:val="clear" w:color="auto" w:fill="FFFFFF"/>
        </w:rPr>
        <w:t xml:space="preserve"> with time-of-flight mass spectroscopy </w:t>
      </w:r>
      <w:r w:rsidR="009E42AB" w:rsidRPr="00A40E06">
        <w:rPr>
          <w:rFonts w:ascii="Times New Roman" w:eastAsia="Times New Roman" w:hAnsi="Times New Roman" w:cs="Times New Roman"/>
          <w:shd w:val="clear" w:color="auto" w:fill="FFFFFF"/>
        </w:rPr>
        <w:t>(</w:t>
      </w:r>
      <w:r w:rsidR="009E42AB" w:rsidRPr="00A40E06">
        <w:rPr>
          <w:rFonts w:ascii="Times New Roman" w:eastAsia="Times New Roman" w:hAnsi="Times New Roman" w:cs="Times New Roman"/>
          <w:bCs/>
        </w:rPr>
        <w:t>MALDI-TOF</w:t>
      </w:r>
      <w:r w:rsidR="009E42AB" w:rsidRPr="00A40E06">
        <w:rPr>
          <w:rFonts w:ascii="Times New Roman" w:eastAsia="Times New Roman" w:hAnsi="Times New Roman" w:cs="Times New Roman"/>
          <w:shd w:val="clear" w:color="auto" w:fill="FFFFFF"/>
        </w:rPr>
        <w:t xml:space="preserve"> MS) (</w:t>
      </w:r>
      <w:r w:rsidR="009E42AB" w:rsidRPr="00A40E06">
        <w:rPr>
          <w:rFonts w:ascii="Times New Roman" w:eastAsia="Times New Roman" w:hAnsi="Times New Roman" w:cs="Times New Roman"/>
        </w:rPr>
        <w:t xml:space="preserve">Bruker Biotyper) and </w:t>
      </w:r>
      <w:r w:rsidR="00FE11C8" w:rsidRPr="00A40E06">
        <w:rPr>
          <w:rFonts w:ascii="Times New Roman" w:eastAsia="Times New Roman" w:hAnsi="Times New Roman" w:cs="Times New Roman"/>
        </w:rPr>
        <w:t xml:space="preserve">susceptibility testing is </w:t>
      </w:r>
      <w:r w:rsidR="009E42AB" w:rsidRPr="00A40E06">
        <w:rPr>
          <w:rFonts w:ascii="Times New Roman" w:eastAsia="Times New Roman" w:hAnsi="Times New Roman" w:cs="Times New Roman"/>
        </w:rPr>
        <w:t xml:space="preserve">performed with the </w:t>
      </w:r>
      <w:r w:rsidR="00FE11C8" w:rsidRPr="00A40E06">
        <w:rPr>
          <w:rFonts w:ascii="Times New Roman" w:eastAsia="Times New Roman" w:hAnsi="Times New Roman" w:cs="Times New Roman"/>
        </w:rPr>
        <w:t>MicroScan WalkAway</w:t>
      </w:r>
      <w:r w:rsidR="009E42AB" w:rsidRPr="00A40E06">
        <w:rPr>
          <w:rFonts w:ascii="Times New Roman" w:eastAsia="Times New Roman" w:hAnsi="Times New Roman" w:cs="Times New Roman"/>
        </w:rPr>
        <w:t xml:space="preserve"> platform (Beckman Coulter). </w:t>
      </w:r>
    </w:p>
    <w:p w14:paraId="453795F3" w14:textId="77777777" w:rsidR="00A151E0" w:rsidRPr="00A40E06" w:rsidRDefault="00A151E0" w:rsidP="003B399E">
      <w:pPr>
        <w:jc w:val="both"/>
        <w:rPr>
          <w:rFonts w:ascii="Times New Roman" w:eastAsia="MS Gothic" w:hAnsi="Times New Roman" w:cs="Times New Roman"/>
        </w:rPr>
      </w:pPr>
    </w:p>
    <w:p w14:paraId="0080572F" w14:textId="77777777" w:rsidR="00565DAB" w:rsidRPr="00A40E06" w:rsidRDefault="00565DAB" w:rsidP="003B399E">
      <w:pPr>
        <w:jc w:val="both"/>
        <w:rPr>
          <w:rFonts w:ascii="Times New Roman" w:eastAsia="MS Gothic" w:hAnsi="Times New Roman" w:cs="Times New Roman"/>
        </w:rPr>
      </w:pPr>
      <w:r w:rsidRPr="00A40E06">
        <w:rPr>
          <w:rFonts w:ascii="Times New Roman" w:eastAsia="MS Gothic" w:hAnsi="Times New Roman" w:cs="Times New Roman"/>
          <w:b/>
          <w:u w:val="single"/>
        </w:rPr>
        <w:t>Analytics</w:t>
      </w:r>
      <w:r w:rsidRPr="00A40E06">
        <w:rPr>
          <w:rFonts w:ascii="Times New Roman" w:eastAsia="MS Gothic" w:hAnsi="Times New Roman" w:cs="Times New Roman"/>
        </w:rPr>
        <w:t xml:space="preserve">: </w:t>
      </w:r>
    </w:p>
    <w:p w14:paraId="569D59A0" w14:textId="77777777" w:rsidR="00F2776B" w:rsidRPr="00A40E06" w:rsidRDefault="00800823" w:rsidP="003B399E">
      <w:pPr>
        <w:rPr>
          <w:rFonts w:ascii="Times New Roman" w:hAnsi="Times New Roman" w:cs="Times New Roman"/>
        </w:rPr>
      </w:pPr>
      <w:r w:rsidRPr="00A40E06">
        <w:rPr>
          <w:rFonts w:ascii="Times New Roman" w:hAnsi="Times New Roman" w:cs="Times New Roman"/>
          <w:bCs/>
          <w:u w:val="single"/>
        </w:rPr>
        <w:t xml:space="preserve">16S Sequence </w:t>
      </w:r>
      <w:r w:rsidR="0011403B" w:rsidRPr="00A40E06">
        <w:rPr>
          <w:rFonts w:ascii="Times New Roman" w:hAnsi="Times New Roman" w:cs="Times New Roman"/>
          <w:bCs/>
          <w:u w:val="single"/>
        </w:rPr>
        <w:t>quality control</w:t>
      </w:r>
      <w:r w:rsidR="0011403B" w:rsidRPr="00A40E06">
        <w:rPr>
          <w:rFonts w:ascii="Times New Roman" w:hAnsi="Times New Roman" w:cs="Times New Roman"/>
        </w:rPr>
        <w:t xml:space="preserve">: </w:t>
      </w:r>
    </w:p>
    <w:p w14:paraId="6D8427C4" w14:textId="61AB7220" w:rsidR="00800823" w:rsidRPr="00A40E06" w:rsidRDefault="00800823" w:rsidP="003B399E">
      <w:pPr>
        <w:ind w:firstLine="720"/>
        <w:jc w:val="both"/>
        <w:rPr>
          <w:rFonts w:ascii="Times New Roman" w:hAnsi="Times New Roman" w:cs="Times New Roman"/>
        </w:rPr>
      </w:pPr>
      <w:r w:rsidRPr="00A40E06">
        <w:rPr>
          <w:rFonts w:ascii="Times New Roman" w:hAnsi="Times New Roman" w:cs="Times New Roman"/>
        </w:rPr>
        <w:t xml:space="preserve">Sequences from the pooled sequencing run were demultiplexed into individual sample/replicate fastq files. Each fastq file was then processed through the </w:t>
      </w:r>
      <w:r w:rsidR="00F2776B" w:rsidRPr="00A40E06">
        <w:rPr>
          <w:rFonts w:ascii="Times New Roman" w:hAnsi="Times New Roman" w:cs="Times New Roman"/>
        </w:rPr>
        <w:t>Center for Medicine and the Microbiome (</w:t>
      </w:r>
      <w:r w:rsidRPr="00A40E06">
        <w:rPr>
          <w:rFonts w:ascii="Times New Roman" w:hAnsi="Times New Roman" w:cs="Times New Roman"/>
        </w:rPr>
        <w:t>CMM</w:t>
      </w:r>
      <w:r w:rsidR="00F2776B" w:rsidRPr="00A40E06">
        <w:rPr>
          <w:rFonts w:ascii="Times New Roman" w:hAnsi="Times New Roman" w:cs="Times New Roman"/>
        </w:rPr>
        <w:t>)</w:t>
      </w:r>
      <w:r w:rsidRPr="00A40E06">
        <w:rPr>
          <w:rFonts w:ascii="Times New Roman" w:hAnsi="Times New Roman" w:cs="Times New Roman"/>
        </w:rPr>
        <w:t xml:space="preserve"> custom modular read QC pipeline that was configured to perform the following steps: low complexity filtering, QV trimming, Illumina sequencing adapter trimming, and 16S primer trimming. Low complexity filtering utilized NCBI BLAST's dustmasker</w:t>
      </w:r>
      <w:r w:rsidR="00A56180" w:rsidRPr="00A40E06">
        <w:rPr>
          <w:rFonts w:ascii="Times New Roman" w:hAnsi="Times New Roman" w:cs="Times New Roman"/>
        </w:rPr>
        <w:t xml:space="preserve"> </w:t>
      </w:r>
      <w:r w:rsidR="003C17B7"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F1000_CSL_CITATION&lt;~#@#~&gt;[{"DOI":"10.1089/cmb.2006.13.1028","First":false,"Last":false,"PMID":"16796549","abstract":"The DUST module has been used within BLAST for many years to mask low-complexity sequences. In this paper, we present a new implementation of the DUST module that uses the same function to assign a complexity score to a sequence, but uses a different rule by which high-scoring sequences are masked. The new rule masks every nucleotide masked by the old rule and occasionally masks more. The new masking rule corrects two related deficiencies with the old rule. First, the new rule is symmetric with respect to reversing the sequence. Second, the new rule is not context sensitive; the decision to mask a subsequence does not depend on what sequences flank it. The new implementation is at least four times faster than the old on the human genome. We show that both the percentage of additional bases masked and the effect on MegaBLAST outputs are very small.","author":[{"family":"Morgulis","given":"Aleksandr"},{"family":"Gertz","given":"E Michael"},{"family":"Schäffer","given":"Alejandro A"},{"family":"Agarwala","given":"Richa"}],"authorYearDisplayFormat":false,"citation-label":"1336232","container-title":"Journal of Computational Biology","container-title-short":"J. Comput. Biol.","id":"1336232","invisible":false,"issue":"5","issued":{"date-parts":[["2006","6"]]},"journalAbbreviation":"J. Comput. Biol.","page":"1028-1040","suppress-author":false,"title":"A fast and symmetric DUST implementation to mask low-complexity DNA sequences.","type":"article-journal","volume":"13"}]</w:instrText>
      </w:r>
      <w:r w:rsidR="003C17B7" w:rsidRPr="00A40E06">
        <w:rPr>
          <w:rFonts w:ascii="Times New Roman" w:hAnsi="Times New Roman" w:cs="Times New Roman"/>
        </w:rPr>
        <w:fldChar w:fldCharType="separate"/>
      </w:r>
      <w:r w:rsidR="008D4385" w:rsidRPr="00A40E06">
        <w:rPr>
          <w:rFonts w:ascii="Times New Roman" w:hAnsi="Times New Roman" w:cs="Times New Roman"/>
          <w:noProof/>
        </w:rPr>
        <w:t>(Morgulis et al., 2006)</w:t>
      </w:r>
      <w:r w:rsidR="003C17B7" w:rsidRPr="00A40E06">
        <w:rPr>
          <w:rFonts w:ascii="Times New Roman" w:hAnsi="Times New Roman" w:cs="Times New Roman"/>
        </w:rPr>
        <w:fldChar w:fldCharType="end"/>
      </w:r>
      <w:r w:rsidR="00A56180" w:rsidRPr="00A40E06">
        <w:rPr>
          <w:rFonts w:ascii="Times New Roman" w:hAnsi="Times New Roman" w:cs="Times New Roman"/>
        </w:rPr>
        <w:t>.</w:t>
      </w:r>
      <w:r w:rsidRPr="00A40E06">
        <w:rPr>
          <w:rFonts w:ascii="Times New Roman" w:hAnsi="Times New Roman" w:cs="Times New Roman"/>
        </w:rPr>
        <w:t xml:space="preserve"> Reads with greater than 80% low complexity regions were filtered. QV trimming and filtering utilized the FASTX Toolkit. The trimming threshold was QV&gt;25 from the 3' end, and length&gt;125 bp after trimming. The subsequent filtering threshold was &gt;25 across &gt;95% of the read. The Illumina sequencing adapter and 16S primer trimming was performed with cutadapt</w:t>
      </w:r>
      <w:r w:rsidR="00A56180" w:rsidRPr="00A40E06">
        <w:rPr>
          <w:rFonts w:ascii="Times New Roman" w:hAnsi="Times New Roman" w:cs="Times New Roman"/>
        </w:rPr>
        <w:t xml:space="preserve"> </w:t>
      </w:r>
      <w:r w:rsidR="003C17B7"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F1000_CSL_CITATION&lt;~#@#~&gt;[{"DOI":"10.1101/gr.112730.110","First":false,"Last":false,"PMCID":"PMC3044863","PMID":"21212162","abstract":"Bacterial diversity among environmental samples is commonly assessed with PCR-amplified 16S rRNA gene (16S) sequences. Perceived diversity, however, can be influenced by sample preparation, primer selection, and formation of chimeric 16S amplification products. Chimeras are hybrid products between multiple parent sequences that can be falsely interpreted as novel organisms, thus inflating apparent diversity. We developed a new chimera detection tool called Chimera Slayer (CS). CS detects chimeras with greater sensitivity than previous methods, performs well on short sequences such as those produced by the 454 Life Sciences (Roche) Genome Sequencer, and can scale to large data sets. By benchmarking CS performance against sequences derived from a controlled DNA mixture of known organisms and a simulated chimera set, we provide insights into the factors that affect chimera formation such as sequence abundance, the extent of similarity between 16S genes, and PCR conditions. Chimeras were found to reproducibly form among independent amplifications and contributed to false perceptions of sample diversity and the false identification of novel taxa, with less-abundant species exhibiting chimera rates exceeding 70%. Shotgun metagenomic sequences of our mock community appear to be devoid of 16S chimeras, supporting a role for shotgun metagenomics in validating novel organisms discovered in targeted sequence surveys.","author":[{"family":"Haas","given":"Brian J"},{"family":"Gevers","given":"Dirk"},{"family":"Earl","given":"Ashlee M"},{"family":"Feldgarden","given":"Mike"},{"family":"Ward","given":"Doyle V"},{"family":"Giannoukos","given":"Georgia"},{"family":"Ciulla","given":"Dawn"},{"family":"Tabbaa","given":"Diana"},{"family":"Highlander","given":"Sarah K"},{"family":"Sodergren","given":"Erica"},{"family":"Methé","given":"Barbara"},{"family":"DeSantis","given":"Todd Z"},{"family":"Human Microbiome Consortium"},{"family":"Petrosino","given":"Joseph F"},{"family":"Knight","given":"Rob"},{"family":"Birren","given":"Bruce W"}],"authorYearDisplayFormat":false,"citation-label":"1394129","container-title":"Genome Research","container-title-short":"Genome Res.","id":"1394129","invisible":false,"issue":"3","issued":{"date-parts":[["2011","3"]]},"journalAbbreviation":"Genome Res.","page":"494-504","suppress-author":false,"title":"Chimeric 16S rRNA sequence formation and detection in Sanger and 454-pyrosequenced PCR amplicons.","type":"article-journal","volume":"21"}]</w:instrText>
      </w:r>
      <w:r w:rsidR="003C17B7" w:rsidRPr="00A40E06">
        <w:rPr>
          <w:rFonts w:ascii="Times New Roman" w:hAnsi="Times New Roman" w:cs="Times New Roman"/>
        </w:rPr>
        <w:fldChar w:fldCharType="separate"/>
      </w:r>
      <w:r w:rsidR="008D4385" w:rsidRPr="00A40E06">
        <w:rPr>
          <w:rFonts w:ascii="Times New Roman" w:hAnsi="Times New Roman" w:cs="Times New Roman"/>
          <w:noProof/>
        </w:rPr>
        <w:t>(Haas et al., 2011)</w:t>
      </w:r>
      <w:r w:rsidR="003C17B7" w:rsidRPr="00A40E06">
        <w:rPr>
          <w:rFonts w:ascii="Times New Roman" w:hAnsi="Times New Roman" w:cs="Times New Roman"/>
        </w:rPr>
        <w:fldChar w:fldCharType="end"/>
      </w:r>
      <w:r w:rsidR="00A56180" w:rsidRPr="00A40E06">
        <w:rPr>
          <w:rFonts w:ascii="Times New Roman" w:hAnsi="Times New Roman" w:cs="Times New Roman"/>
        </w:rPr>
        <w:t>.</w:t>
      </w:r>
    </w:p>
    <w:p w14:paraId="01F66AF1" w14:textId="77777777" w:rsidR="00800823" w:rsidRPr="00A40E06" w:rsidRDefault="00800823" w:rsidP="003B399E">
      <w:pPr>
        <w:rPr>
          <w:rFonts w:ascii="Times New Roman" w:hAnsi="Times New Roman" w:cs="Times New Roman"/>
          <w:b/>
          <w:bCs/>
        </w:rPr>
      </w:pPr>
    </w:p>
    <w:p w14:paraId="65713FD8" w14:textId="77777777" w:rsidR="00F2776B" w:rsidRPr="00A40E06" w:rsidRDefault="00800823" w:rsidP="003B399E">
      <w:pPr>
        <w:rPr>
          <w:rFonts w:ascii="Times New Roman" w:hAnsi="Times New Roman" w:cs="Times New Roman"/>
          <w:b/>
          <w:bCs/>
        </w:rPr>
      </w:pPr>
      <w:r w:rsidRPr="00A40E06">
        <w:rPr>
          <w:rFonts w:ascii="Times New Roman" w:hAnsi="Times New Roman" w:cs="Times New Roman"/>
          <w:bCs/>
          <w:u w:val="single"/>
        </w:rPr>
        <w:t>16S Clustering and annotation</w:t>
      </w:r>
      <w:r w:rsidR="004C78F5" w:rsidRPr="00A40E06">
        <w:rPr>
          <w:rFonts w:ascii="Times New Roman" w:hAnsi="Times New Roman" w:cs="Times New Roman"/>
          <w:b/>
          <w:bCs/>
        </w:rPr>
        <w:t xml:space="preserve">: </w:t>
      </w:r>
    </w:p>
    <w:p w14:paraId="44AB2653" w14:textId="378BD80A" w:rsidR="00800823" w:rsidRPr="00A40E06" w:rsidRDefault="00800823" w:rsidP="003B399E">
      <w:pPr>
        <w:ind w:firstLine="720"/>
        <w:jc w:val="both"/>
        <w:rPr>
          <w:rFonts w:ascii="Times New Roman" w:hAnsi="Times New Roman" w:cs="Times New Roman"/>
          <w:b/>
          <w:bCs/>
        </w:rPr>
      </w:pPr>
      <w:r w:rsidRPr="00A40E06">
        <w:rPr>
          <w:rFonts w:ascii="Times New Roman" w:hAnsi="Times New Roman" w:cs="Times New Roman"/>
        </w:rPr>
        <w:t>Paired sequences with forward and reverse reads passing the QC filtering and trimming steps were then mated (end aligned and a consensus sequence computed) using the make.contigs function of Mothur. Consensus sequences were screened to limit the overlap mismatch to no more than 20%. The maximum number of N's allowed in the overlap was 4 and the minimum overlap was required to be greater than 25bp.</w:t>
      </w:r>
      <w:r w:rsidR="004C78F5" w:rsidRPr="00A40E06">
        <w:rPr>
          <w:rFonts w:ascii="Times New Roman" w:hAnsi="Times New Roman" w:cs="Times New Roman"/>
          <w:b/>
          <w:bCs/>
        </w:rPr>
        <w:t xml:space="preserve"> </w:t>
      </w:r>
      <w:r w:rsidRPr="00A40E06">
        <w:rPr>
          <w:rFonts w:ascii="Times New Roman" w:hAnsi="Times New Roman" w:cs="Times New Roman"/>
        </w:rPr>
        <w:t>Consensus sequences passing screening were then pass</w:t>
      </w:r>
      <w:r w:rsidR="001F623F" w:rsidRPr="00A40E06">
        <w:rPr>
          <w:rFonts w:ascii="Times New Roman" w:hAnsi="Times New Roman" w:cs="Times New Roman"/>
        </w:rPr>
        <w:t>ed</w:t>
      </w:r>
      <w:r w:rsidRPr="00A40E06">
        <w:rPr>
          <w:rFonts w:ascii="Times New Roman" w:hAnsi="Times New Roman" w:cs="Times New Roman"/>
        </w:rPr>
        <w:t xml:space="preserve"> through CMM's 16S clustering and annotation pipeline, a Mothur-dependent wrapper designed to streamline and automate the execution of the following Mothur steps:  unique.seqs, align.seqs, screen.seqs, filter.seqs, second uniq.seqs, pre.cluster, chimera.uchime, remove.seqs, classify.seqs, dist.seqs, cluster, make.shared, and classify.otu. Mothur output files were then </w:t>
      </w:r>
      <w:r w:rsidR="00E037A8" w:rsidRPr="00A40E06">
        <w:rPr>
          <w:rFonts w:ascii="Times New Roman" w:hAnsi="Times New Roman" w:cs="Times New Roman"/>
        </w:rPr>
        <w:t>reformatted</w:t>
      </w:r>
      <w:r w:rsidRPr="00A40E06">
        <w:rPr>
          <w:rFonts w:ascii="Times New Roman" w:hAnsi="Times New Roman" w:cs="Times New Roman"/>
        </w:rPr>
        <w:t xml:space="preserve"> to sample x category (taxonomic levels or OTU) matrices for downstream statistical modeling</w:t>
      </w:r>
      <w:r w:rsidR="00A56180" w:rsidRPr="00A40E06">
        <w:rPr>
          <w:rFonts w:ascii="Times New Roman" w:hAnsi="Times New Roman" w:cs="Times New Roman"/>
        </w:rPr>
        <w:t xml:space="preserve"> </w:t>
      </w:r>
      <w:r w:rsidR="003C17B7"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F1000_CSL_CITATION&lt;~#@#~&gt;[{"DOI":"10.1128/AEM.01541-09","First":false,"Last":false,"PMCID":"PMC2786419","PMID":"19801464","abstract":"mothur aims to be a comprehensive software package that allows users to use a single piece of software to analyze community sequence data. It builds upon previous tools to provide a flexible and powerful software package for analyzing sequencing data. As a case study, we used mothur to trim, screen, and align sequences; calculate distances; assign sequences to operational taxonomic units; and describe the alpha and beta diversity of eight marine samples previously characterized by pyrosequencing of 16S rRNA gene fragments. This analysis of more than 222,000 sequences was completed in less than 2 h with a laptop computer.","author":[{"family":"Schloss","given":"Patrick D"},{"family":"Westcott","given":"Sarah L"},{"family":"Ryabin","given":"Thomas"},{"family":"Hall","given":"Justine R"},{"family":"Hartmann","given":"Martin"},{"family":"Hollister","given":"Emily B"},{"family":"Lesniewski","given":"Ryan A"},{"family":"Oakley","given":"Brian B"},{"family":"Parks","given":"Donovan H"},{"family":"Robinson","given":"Courtney J"},{"family":"Sahl","given":"Jason W"},{"family":"Stres","given":"Blaz"},{"family":"Thallinger","given":"Gerhard G"},{"family":"Van Horn","given":"David J"},{"family":"Weber","given":"Carolyn F"}],"authorYearDisplayFormat":false,"citation-label":"227369","container-title":"Applied and Environmental Microbiology","container-title-short":"Appl. Environ. Microbiol.","id":"227369","invisible":false,"issue":"23","issued":{"date-parts":[["2009","12"]]},"journalAbbreviation":"Appl. Environ. Microbiol.","page":"7537-7541","suppress-author":false,"title":"Introducing mothur: open-source, platform-independent, community-supported software for describing and comparing microbial communities.","type":"article-journal","volume":"75"}]</w:instrText>
      </w:r>
      <w:r w:rsidR="003C17B7" w:rsidRPr="00A40E06">
        <w:rPr>
          <w:rFonts w:ascii="Times New Roman" w:hAnsi="Times New Roman" w:cs="Times New Roman"/>
        </w:rPr>
        <w:fldChar w:fldCharType="separate"/>
      </w:r>
      <w:r w:rsidR="008D4385" w:rsidRPr="00A40E06">
        <w:rPr>
          <w:rFonts w:ascii="Times New Roman" w:hAnsi="Times New Roman" w:cs="Times New Roman"/>
          <w:noProof/>
        </w:rPr>
        <w:t>(Schloss et al., 2009)</w:t>
      </w:r>
      <w:r w:rsidR="003C17B7" w:rsidRPr="00A40E06">
        <w:rPr>
          <w:rFonts w:ascii="Times New Roman" w:hAnsi="Times New Roman" w:cs="Times New Roman"/>
        </w:rPr>
        <w:fldChar w:fldCharType="end"/>
      </w:r>
      <w:r w:rsidR="00A56180" w:rsidRPr="00A40E06">
        <w:rPr>
          <w:rFonts w:ascii="Times New Roman" w:hAnsi="Times New Roman" w:cs="Times New Roman"/>
        </w:rPr>
        <w:t>.</w:t>
      </w:r>
    </w:p>
    <w:p w14:paraId="74EA1B5C" w14:textId="77777777" w:rsidR="00F2776B" w:rsidRPr="00A40E06" w:rsidRDefault="00F2776B" w:rsidP="003B399E">
      <w:pPr>
        <w:ind w:firstLine="720"/>
        <w:rPr>
          <w:rFonts w:ascii="Times New Roman" w:hAnsi="Times New Roman" w:cs="Times New Roman"/>
          <w:u w:val="single"/>
        </w:rPr>
      </w:pPr>
    </w:p>
    <w:p w14:paraId="54289720" w14:textId="77777777" w:rsidR="00F2776B" w:rsidRPr="00A40E06" w:rsidRDefault="008C50FB" w:rsidP="003B399E">
      <w:pPr>
        <w:rPr>
          <w:rFonts w:ascii="Times New Roman" w:hAnsi="Times New Roman" w:cs="Times New Roman"/>
        </w:rPr>
      </w:pPr>
      <w:r w:rsidRPr="00A40E06">
        <w:rPr>
          <w:rFonts w:ascii="Times New Roman" w:hAnsi="Times New Roman" w:cs="Times New Roman"/>
          <w:u w:val="single"/>
        </w:rPr>
        <w:t>Taxa table edits</w:t>
      </w:r>
      <w:r w:rsidRPr="00A40E06">
        <w:rPr>
          <w:rFonts w:ascii="Times New Roman" w:hAnsi="Times New Roman" w:cs="Times New Roman"/>
        </w:rPr>
        <w:t>:</w:t>
      </w:r>
      <w:r w:rsidR="004C78F5" w:rsidRPr="00A40E06">
        <w:rPr>
          <w:rFonts w:ascii="Times New Roman" w:hAnsi="Times New Roman" w:cs="Times New Roman"/>
        </w:rPr>
        <w:t xml:space="preserve"> </w:t>
      </w:r>
    </w:p>
    <w:p w14:paraId="343A8676" w14:textId="5423EA38" w:rsidR="008C50FB" w:rsidRPr="00A40E06" w:rsidRDefault="008C50FB" w:rsidP="003B399E">
      <w:pPr>
        <w:ind w:firstLine="720"/>
        <w:jc w:val="both"/>
        <w:rPr>
          <w:rFonts w:ascii="Times New Roman" w:hAnsi="Times New Roman" w:cs="Times New Roman"/>
        </w:rPr>
      </w:pPr>
      <w:r w:rsidRPr="00A40E06">
        <w:rPr>
          <w:rFonts w:ascii="Times New Roman" w:hAnsi="Times New Roman" w:cs="Times New Roman"/>
        </w:rPr>
        <w:t>The taxa table was filtered for low abundance taxa (relative abundance</w:t>
      </w:r>
      <w:r w:rsidR="007304EF" w:rsidRPr="00A40E06">
        <w:rPr>
          <w:rFonts w:ascii="Times New Roman" w:hAnsi="Times New Roman" w:cs="Times New Roman"/>
        </w:rPr>
        <w:t xml:space="preserve">, </w:t>
      </w:r>
      <w:r w:rsidRPr="00A40E06">
        <w:rPr>
          <w:rFonts w:ascii="Times New Roman" w:hAnsi="Times New Roman" w:cs="Times New Roman"/>
        </w:rPr>
        <w:t xml:space="preserve">&lt;0.005%) and singletons, and also for samples that generated fewer than 650 reads in the range of negative control samples. </w:t>
      </w:r>
      <w:r w:rsidR="005F08EB" w:rsidRPr="00A40E06">
        <w:rPr>
          <w:rFonts w:ascii="Times New Roman" w:hAnsi="Times New Roman" w:cs="Times New Roman"/>
        </w:rPr>
        <w:t xml:space="preserve">One </w:t>
      </w:r>
      <w:r w:rsidRPr="00A40E06">
        <w:rPr>
          <w:rFonts w:ascii="Times New Roman" w:hAnsi="Times New Roman" w:cs="Times New Roman"/>
        </w:rPr>
        <w:t>lung sample w</w:t>
      </w:r>
      <w:r w:rsidR="005F08EB" w:rsidRPr="00A40E06">
        <w:rPr>
          <w:rFonts w:ascii="Times New Roman" w:hAnsi="Times New Roman" w:cs="Times New Roman"/>
        </w:rPr>
        <w:t>as</w:t>
      </w:r>
      <w:r w:rsidRPr="00A40E06">
        <w:rPr>
          <w:rFonts w:ascii="Times New Roman" w:hAnsi="Times New Roman" w:cs="Times New Roman"/>
        </w:rPr>
        <w:t xml:space="preserve"> filtered with &lt;650 reads, and inspection of the highly diverse </w:t>
      </w:r>
      <w:r w:rsidR="005F08EB" w:rsidRPr="00A40E06">
        <w:rPr>
          <w:rFonts w:ascii="Times New Roman" w:hAnsi="Times New Roman" w:cs="Times New Roman"/>
        </w:rPr>
        <w:t xml:space="preserve">community </w:t>
      </w:r>
      <w:r w:rsidRPr="00A40E06">
        <w:rPr>
          <w:rFonts w:ascii="Times New Roman" w:hAnsi="Times New Roman" w:cs="Times New Roman"/>
        </w:rPr>
        <w:t xml:space="preserve">indicated presence of contamination due to low biomass samples. </w:t>
      </w:r>
      <w:r w:rsidR="00F2776B" w:rsidRPr="00A40E06">
        <w:rPr>
          <w:rFonts w:ascii="Times New Roman" w:hAnsi="Times New Roman" w:cs="Times New Roman"/>
        </w:rPr>
        <w:t xml:space="preserve">We did not filter clinical samples for any taxa detected in the negative control samples. </w:t>
      </w:r>
    </w:p>
    <w:p w14:paraId="44451C8E" w14:textId="77777777" w:rsidR="00483142" w:rsidRPr="00A40E06" w:rsidRDefault="00483142" w:rsidP="003B399E">
      <w:pPr>
        <w:ind w:firstLine="720"/>
        <w:rPr>
          <w:rFonts w:ascii="Times New Roman" w:hAnsi="Times New Roman" w:cs="Times New Roman"/>
        </w:rPr>
      </w:pPr>
    </w:p>
    <w:p w14:paraId="2A655C90" w14:textId="77777777" w:rsidR="00483142" w:rsidRPr="00A40E06" w:rsidRDefault="00483142" w:rsidP="003B399E">
      <w:pPr>
        <w:jc w:val="both"/>
        <w:rPr>
          <w:rFonts w:ascii="Times New Roman" w:eastAsia="MS Gothic" w:hAnsi="Times New Roman" w:cs="Times New Roman"/>
          <w:u w:val="single"/>
        </w:rPr>
      </w:pPr>
      <w:r w:rsidRPr="00A40E06">
        <w:rPr>
          <w:rFonts w:ascii="Times New Roman" w:eastAsia="MS Gothic" w:hAnsi="Times New Roman" w:cs="Times New Roman"/>
          <w:u w:val="single"/>
        </w:rPr>
        <w:t>Integrative analysis and modeling of microbiome and clinical data</w:t>
      </w:r>
    </w:p>
    <w:p w14:paraId="0D9CC626" w14:textId="6434ED4A" w:rsidR="00483142" w:rsidRPr="00A40E06" w:rsidRDefault="00483142" w:rsidP="003B399E">
      <w:pPr>
        <w:jc w:val="both"/>
        <w:rPr>
          <w:rFonts w:ascii="Times New Roman" w:hAnsi="Times New Roman" w:cs="Times New Roman"/>
        </w:rPr>
      </w:pPr>
      <w:r w:rsidRPr="00A40E06">
        <w:rPr>
          <w:rFonts w:ascii="Times New Roman" w:hAnsi="Times New Roman" w:cs="Times New Roman"/>
        </w:rPr>
        <w:t>To comprehensively examine potential relationships between clinical and microbiome variables not considered by our hypothesis-driven testing methods, we used Probabilistic Graphical Models (PGMs). PGMs offer a robust and attractive solution to estimate the joint probability distribution and represent in a comprehensive way the conditional (in)dependenc</w:t>
      </w:r>
      <w:r w:rsidR="00B9414D" w:rsidRPr="00A40E06">
        <w:rPr>
          <w:rFonts w:ascii="Times New Roman" w:hAnsi="Times New Roman" w:cs="Times New Roman"/>
        </w:rPr>
        <w:t>i</w:t>
      </w:r>
      <w:r w:rsidRPr="00A40E06">
        <w:rPr>
          <w:rFonts w:ascii="Times New Roman" w:hAnsi="Times New Roman" w:cs="Times New Roman"/>
        </w:rPr>
        <w:t xml:space="preserve">es of the dataset’s variables. Knowing the graphical model structure one can extract useful information to help in disease prognosis, diagnosis, patient stratification, etc. By definition, in a directed graph, a variable </w:t>
      </w:r>
      <w:r w:rsidRPr="00A40E06">
        <w:rPr>
          <w:rFonts w:ascii="Times New Roman" w:hAnsi="Times New Roman" w:cs="Times New Roman"/>
          <w:i/>
        </w:rPr>
        <w:t>A</w:t>
      </w:r>
      <w:r w:rsidRPr="00A40E06">
        <w:rPr>
          <w:rFonts w:ascii="Times New Roman" w:hAnsi="Times New Roman" w:cs="Times New Roman"/>
        </w:rPr>
        <w:t xml:space="preserve"> is independent of any other variable (or combinations of variables) in the graph conditioning on its Markov blanket (i.e. the parents, children and spouses of variable </w:t>
      </w:r>
      <w:r w:rsidRPr="00A40E06">
        <w:rPr>
          <w:rFonts w:ascii="Times New Roman" w:hAnsi="Times New Roman" w:cs="Times New Roman"/>
          <w:i/>
        </w:rPr>
        <w:t>A</w:t>
      </w:r>
      <w:r w:rsidRPr="00A40E06">
        <w:rPr>
          <w:rFonts w:ascii="Times New Roman" w:hAnsi="Times New Roman" w:cs="Times New Roman"/>
        </w:rPr>
        <w:t>). This is why Markov blankets have been successfully used in the past for feature selection</w:t>
      </w:r>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F1000_CSL_CITATION&lt;~#@#~&gt;[{"First":false,"Last":false,"author":[{"family":"Aliferis","given":"Constantin F."},{"family":"Statnikov","given":"Alexander"},{"family":"Tsamardinos","given":"Ioannis"},{"family":"Mani","given":"Subramani"},{"family":"Koutsoukos","given":"Xenofon D."}],"authorYearDisplayFormat":false,"citation-label":"4552241","container-title":"Journal of Machine Learning Research","container-title-short":"Journal of Machine Learning Research","id":"4552241","invisible":false,"issued":{"date-parts":[["2010"]]},"journalAbbreviation":"Journal of Machine Learning Research","suppress-author":false,"title":"Local Causal and Markov Blanket Induction for Causal Discovery and Feature Selection for Classification Part I: Algorithms and Empirical Evaluation","type":"article-journal"},{"First":false,"Last":false,"author":[{"family":"Aliferis","given":"Constantin F."},{"family":"Statnikov","given":"Alexander"},{"family":"Tsamardinos","given":"Ioannis"},{"family":"Mani","given":"Subramani"},{"family":"Koutsoukos","given":"Xenofon D."}],"authorYearDisplayFormat":false,"citation-label":"4552242","container-title":"Journal of Machine Learning Research","container-title-short":"Journal of Machine Learning Research","id":"4552242","invisible":false,"issued":{"date-parts":[["2010"]]},"journalAbbreviation":"Journal of Machine Learning Research","suppress-author":false,"title":"Local Causal and Markov Blanket Induction for Causal Discovery and Feature Selection for Classification Part II: Analysis and Extensions","type":"article-journal"}]</w:instrText>
      </w:r>
      <w:r w:rsidRPr="00A40E06">
        <w:rPr>
          <w:rFonts w:ascii="Times New Roman" w:hAnsi="Times New Roman" w:cs="Times New Roman"/>
        </w:rPr>
        <w:fldChar w:fldCharType="separate"/>
      </w:r>
      <w:r w:rsidR="008D4385" w:rsidRPr="00A40E06">
        <w:rPr>
          <w:rFonts w:ascii="Times New Roman" w:hAnsi="Times New Roman" w:cs="Times New Roman"/>
          <w:noProof/>
        </w:rPr>
        <w:t>(Aliferis et al., 2010a, 2010b)</w:t>
      </w:r>
      <w:r w:rsidRPr="00A40E06">
        <w:rPr>
          <w:rFonts w:ascii="Times New Roman" w:hAnsi="Times New Roman" w:cs="Times New Roman"/>
        </w:rPr>
        <w:fldChar w:fldCharType="end"/>
      </w:r>
      <w:r w:rsidRPr="00A40E06">
        <w:rPr>
          <w:rFonts w:ascii="Times New Roman" w:hAnsi="Times New Roman" w:cs="Times New Roman"/>
        </w:rPr>
        <w:t xml:space="preserve"> and why these directed graphs are referred to as “causal” in the literature. To </w:t>
      </w:r>
      <w:r w:rsidR="00202D2E" w:rsidRPr="00A40E06">
        <w:rPr>
          <w:rFonts w:ascii="Times New Roman" w:hAnsi="Times New Roman" w:cs="Times New Roman"/>
        </w:rPr>
        <w:t xml:space="preserve">comprehensively </w:t>
      </w:r>
      <w:r w:rsidRPr="00A40E06">
        <w:rPr>
          <w:rFonts w:ascii="Times New Roman" w:hAnsi="Times New Roman" w:cs="Times New Roman"/>
        </w:rPr>
        <w:t xml:space="preserve">analyze our dataset, we used </w:t>
      </w:r>
      <w:r w:rsidRPr="00A40E06">
        <w:rPr>
          <w:rFonts w:ascii="Times New Roman" w:hAnsi="Times New Roman" w:cs="Times New Roman"/>
          <w:i/>
        </w:rPr>
        <w:t>CausalMGM (Causal Mixed Graphical Model)</w:t>
      </w:r>
      <w:r w:rsidR="00146AC3" w:rsidRPr="00A40E06">
        <w:rPr>
          <w:rFonts w:ascii="Times New Roman" w:hAnsi="Times New Roman" w:cs="Times New Roman"/>
          <w:i/>
        </w:rPr>
        <w:t xml:space="preserve"> </w:t>
      </w:r>
      <w:hyperlink r:id="rId10" w:history="1">
        <w:r w:rsidR="00146AC3" w:rsidRPr="00A40E06">
          <w:rPr>
            <w:rStyle w:val="Hyperlink"/>
            <w:rFonts w:ascii="Times New Roman" w:hAnsi="Times New Roman" w:cs="Times New Roman"/>
          </w:rPr>
          <w:t>https://github.com/benoslab/causalMGM)</w:t>
        </w:r>
      </w:hyperlink>
      <w:r w:rsidRPr="00A40E06">
        <w:rPr>
          <w:rFonts w:ascii="Times New Roman" w:hAnsi="Times New Roman" w:cs="Times New Roman"/>
          <w:i/>
        </w:rPr>
        <w:t>,</w:t>
      </w:r>
      <w:r w:rsidRPr="00A40E06">
        <w:rPr>
          <w:rFonts w:ascii="Times New Roman" w:hAnsi="Times New Roman" w:cs="Times New Roman"/>
        </w:rPr>
        <w:t xml:space="preserve"> a novel algorithm which can identify with accuracy the underlying graphical model structure over mixed data types (continuous and discrete)</w:t>
      </w:r>
      <w:r w:rsidR="00B9414D" w:rsidRPr="00A40E06">
        <w:rPr>
          <w:rFonts w:ascii="Times New Roman" w:hAnsi="Times New Roman" w:cs="Times New Roman"/>
        </w:rPr>
        <w:t>.</w:t>
      </w:r>
      <w:r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F1000_CSL_CITATION&lt;~#@#~&gt;[{"DOI":"10.1186/s12859-016-1039-0","First":false,"Last":false,"PMCID":"PMC4905606","PMID":"27294886","abstract":"&lt;strong&gt;BACKGROUND:&lt;/strong&gt; Mixed graphical models (MGMs) are graphical models learned over a combination of continuous and discrete variables. Mixed variable types are common in biomedical datasets. MGMs consist of a parameterized joint probability density, which implies a network structure over these heterogeneous variables. The network structure reveals direct associations between the variables and the joint probability density allows one to ask arbitrary probabilistic questions on the data. This information can be used for feature selection, classification and other important tasks.&lt;br&gt;&lt;br&gt;&lt;strong&gt;RESULTS:&lt;/strong&gt; We studied the properties of MGM learning and applications of MGMs to high-dimensional data (biological and simulated). Our results show that MGMs reliably uncover the underlying graph structure, and when used for classification, their performance is comparable to popular discriminative methods (lasso regression and support vector machines). We also show that imposing separate sparsity penalties for edges connecting different types of variables significantly improves edge recovery performance. To choose these sparsity parameters, we propose a new efficient model selection method, named Stable Edge-specific Penalty Selection (StEPS). StEPS is an expansion of an earlier method, StARS, to mixed variable types. In terms of edge recovery, StEPS selected MGMs outperform those models selected using standard techniques, including AIC, BIC and cross-validation. In addition, we use a heuristic search that is linear in size of the sparsity value search space as opposed to the cubic grid search required by other model selection methods. We applied our method to clinical and mRNA expression data from the Lung Genomics Research Consortium (LGRC) and the learned MGM correctly recovered connections between the diagnosis of obstructive or interstitial lung disease, two diagnostic breathing tests, and cigarette smoking history. Our model also suggested biologically relevant mRNA markers that are linked to these three clinical variables.&lt;br&gt;&lt;br&gt;&lt;strong&gt;CONCLUSIONS:&lt;/strong&gt; MGMs are able to accurately recover dependencies between sets of continuous and discrete variables in both simulated and biomedical datasets. Separation of sparsity penalties by edge type is essential for accurate network edge recovery. Furthermore, our stability based method for model selection determines sparsity parameters faster and more accurately (in terms of edge recovery) than other model selection methods. With the ongoing availability of comprehensive clinical and biomedical datasets, MGMs are expected to become a valuable tool for investigating disease mechanisms and answering an array of critical healthcare questions.","author":[{"family":"Sedgewick","given":"Andrew J"},{"family":"Shi","given":"Ivy"},{"family":"Donovan","given":"Rory M"},{"family":"Benos","given":"Panayiotis V"}],"authorYearDisplayFormat":false,"citation-label":"2896638","container-title":"BMC Bioinformatics","container-title-short":"BMC Bioinformatics","id":"2896638","invisible":false,"issued":{"date-parts":[["2016","6","6"]]},"journalAbbreviation":"BMC Bioinformatics","page":"175","suppress-author":false,"title":"Learning mixed graphical models with separate sparsity parameters and stability-based model selection.","type":"article-journal","volume":"17 Suppl 5"}]</w:instrText>
      </w:r>
      <w:r w:rsidRPr="00A40E06">
        <w:rPr>
          <w:rFonts w:ascii="Times New Roman" w:hAnsi="Times New Roman" w:cs="Times New Roman"/>
        </w:rPr>
        <w:fldChar w:fldCharType="separate"/>
      </w:r>
      <w:r w:rsidR="008D4385" w:rsidRPr="00A40E06">
        <w:rPr>
          <w:rFonts w:ascii="Times New Roman" w:hAnsi="Times New Roman" w:cs="Times New Roman"/>
          <w:noProof/>
        </w:rPr>
        <w:t>(Sedgewick et al., 2016)</w:t>
      </w:r>
      <w:r w:rsidRPr="00A40E06">
        <w:rPr>
          <w:rFonts w:ascii="Times New Roman" w:hAnsi="Times New Roman" w:cs="Times New Roman"/>
        </w:rPr>
        <w:fldChar w:fldCharType="end"/>
      </w:r>
      <w:r w:rsidRPr="00A40E06">
        <w:rPr>
          <w:rFonts w:ascii="Times New Roman" w:hAnsi="Times New Roman" w:cs="Times New Roman"/>
        </w:rPr>
        <w:t xml:space="preserve"> </w:t>
      </w:r>
      <w:r w:rsidR="004C51B5" w:rsidRPr="00A40E06">
        <w:rPr>
          <w:rFonts w:ascii="Times New Roman" w:hAnsi="Times New Roman" w:cs="Times New Roman"/>
        </w:rPr>
        <w:t xml:space="preserve">We used </w:t>
      </w:r>
      <w:r w:rsidR="00A56180" w:rsidRPr="00A40E06">
        <w:rPr>
          <w:rFonts w:ascii="Times New Roman" w:hAnsi="Times New Roman" w:cs="Times New Roman"/>
        </w:rPr>
        <w:t xml:space="preserve">the </w:t>
      </w:r>
      <w:r w:rsidR="004C51B5" w:rsidRPr="00A40E06">
        <w:rPr>
          <w:rFonts w:ascii="Times New Roman" w:hAnsi="Times New Roman" w:cs="Times New Roman"/>
        </w:rPr>
        <w:t xml:space="preserve">R package </w:t>
      </w:r>
      <w:r w:rsidR="004C51B5" w:rsidRPr="00A40E06">
        <w:rPr>
          <w:rFonts w:ascii="Times New Roman" w:hAnsi="Times New Roman" w:cs="Times New Roman"/>
          <w:i/>
        </w:rPr>
        <w:t>Causal-MGM</w:t>
      </w:r>
      <w:r w:rsidR="004C51B5" w:rsidRPr="00A40E06">
        <w:rPr>
          <w:rFonts w:ascii="Times New Roman" w:hAnsi="Times New Roman" w:cs="Times New Roman"/>
        </w:rPr>
        <w:t xml:space="preserve"> for this analysis. </w:t>
      </w:r>
    </w:p>
    <w:p w14:paraId="526A5E5E" w14:textId="32B63CF4" w:rsidR="00483142" w:rsidRPr="00A40E06" w:rsidRDefault="008D4509" w:rsidP="003B399E">
      <w:pPr>
        <w:ind w:firstLine="720"/>
        <w:jc w:val="both"/>
        <w:rPr>
          <w:rFonts w:ascii="Times New Roman" w:hAnsi="Times New Roman" w:cs="Times New Roman"/>
        </w:rPr>
      </w:pPr>
      <w:r w:rsidRPr="00A40E06">
        <w:rPr>
          <w:rFonts w:ascii="Times New Roman" w:hAnsi="Times New Roman" w:cs="Times New Roman"/>
        </w:rPr>
        <w:t>To investigate the predictive ability of sequencing-derived information from the graphical models to correctly discriminate respiratory sample culture positivity, we applied a k-fold cross-validation method (</w:t>
      </w:r>
      <w:r w:rsidR="001C362D" w:rsidRPr="00A40E06">
        <w:rPr>
          <w:rFonts w:ascii="Times New Roman" w:hAnsi="Times New Roman" w:cs="Times New Roman"/>
        </w:rPr>
        <w:t>in our case k=10)</w:t>
      </w:r>
      <w:r w:rsidR="00B9414D" w:rsidRPr="00A40E06">
        <w:rPr>
          <w:rFonts w:ascii="Times New Roman" w:hAnsi="Times New Roman" w:cs="Times New Roman"/>
        </w:rPr>
        <w:t>.</w:t>
      </w:r>
      <w:r w:rsidR="001C362D"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10.1007/978-0-387-84858-7","First":false,"ISBN":"978-0-387-84857-0","Last":false,"author":[{"family":"Hastie","given":"Trevor"},{"family":"Tibshirani","given":"Robert"},{"family":"Friedman","given":"Jerome"}],"authorYearDisplayFormat":false,"citation-label":"1198412","collection-title":"Springer Series in Statistics","id":"1198412","invisible":false,"issued":{"date-parts":[["2009"]]},"publisher":"Springer New York","publisher-place":"New York, NY","suppress-author":false,"title":"The Elements of Statistical Learning","type":"book"}]</w:instrText>
      </w:r>
      <w:r w:rsidR="001C362D" w:rsidRPr="00A40E06">
        <w:rPr>
          <w:rFonts w:ascii="Times New Roman" w:hAnsi="Times New Roman" w:cs="Times New Roman"/>
        </w:rPr>
        <w:fldChar w:fldCharType="separate"/>
      </w:r>
      <w:r w:rsidR="008D4385" w:rsidRPr="00A40E06">
        <w:rPr>
          <w:rFonts w:ascii="Times New Roman" w:hAnsi="Times New Roman" w:cs="Times New Roman"/>
          <w:noProof/>
        </w:rPr>
        <w:t>(Hastie et al., 2009)</w:t>
      </w:r>
      <w:r w:rsidR="001C362D" w:rsidRPr="00A40E06">
        <w:rPr>
          <w:rFonts w:ascii="Times New Roman" w:hAnsi="Times New Roman" w:cs="Times New Roman"/>
        </w:rPr>
        <w:fldChar w:fldCharType="end"/>
      </w:r>
      <w:r w:rsidR="001C362D" w:rsidRPr="00A40E06">
        <w:rPr>
          <w:rFonts w:ascii="Times New Roman" w:hAnsi="Times New Roman" w:cs="Times New Roman"/>
        </w:rPr>
        <w:t xml:space="preserve"> K</w:t>
      </w:r>
      <w:r w:rsidRPr="00A40E06">
        <w:rPr>
          <w:rFonts w:ascii="Times New Roman" w:hAnsi="Times New Roman" w:cs="Times New Roman"/>
        </w:rPr>
        <w:t xml:space="preserve">-fold cross-validation is a </w:t>
      </w:r>
      <w:r w:rsidR="00A56180" w:rsidRPr="00A40E06">
        <w:rPr>
          <w:rFonts w:ascii="Times New Roman" w:hAnsi="Times New Roman" w:cs="Times New Roman"/>
        </w:rPr>
        <w:t>well-established</w:t>
      </w:r>
      <w:r w:rsidRPr="00A40E06">
        <w:rPr>
          <w:rFonts w:ascii="Times New Roman" w:hAnsi="Times New Roman" w:cs="Times New Roman"/>
        </w:rPr>
        <w:t xml:space="preserve"> technique that help</w:t>
      </w:r>
      <w:r w:rsidR="00A56180" w:rsidRPr="00A40E06">
        <w:rPr>
          <w:rFonts w:ascii="Times New Roman" w:hAnsi="Times New Roman" w:cs="Times New Roman"/>
        </w:rPr>
        <w:t>s</w:t>
      </w:r>
      <w:r w:rsidRPr="00A40E06">
        <w:rPr>
          <w:rFonts w:ascii="Times New Roman" w:hAnsi="Times New Roman" w:cs="Times New Roman"/>
        </w:rPr>
        <w:t xml:space="preserve"> evaluate predictive models in cases where the amount of data is limited. In cross-validation we partition the original dataset into a </w:t>
      </w:r>
      <w:r w:rsidRPr="00A40E06">
        <w:rPr>
          <w:rFonts w:ascii="Times New Roman" w:hAnsi="Times New Roman" w:cs="Times New Roman"/>
          <w:i/>
        </w:rPr>
        <w:t xml:space="preserve">training </w:t>
      </w:r>
      <w:r w:rsidRPr="00A40E06">
        <w:rPr>
          <w:rFonts w:ascii="Times New Roman" w:hAnsi="Times New Roman" w:cs="Times New Roman"/>
        </w:rPr>
        <w:t xml:space="preserve">set, which is used to estimate the parameters of the model, and to a </w:t>
      </w:r>
      <w:r w:rsidRPr="00A40E06">
        <w:rPr>
          <w:rFonts w:ascii="Times New Roman" w:hAnsi="Times New Roman" w:cs="Times New Roman"/>
          <w:i/>
        </w:rPr>
        <w:t>test</w:t>
      </w:r>
      <w:r w:rsidRPr="00A40E06">
        <w:rPr>
          <w:rFonts w:ascii="Times New Roman" w:hAnsi="Times New Roman" w:cs="Times New Roman"/>
        </w:rPr>
        <w:t xml:space="preserve"> set which is used to evaluate the prediction accuracy of the model</w:t>
      </w:r>
      <w:r w:rsidR="00B9414D" w:rsidRPr="00A40E06">
        <w:rPr>
          <w:rFonts w:ascii="Times New Roman" w:hAnsi="Times New Roman" w:cs="Times New Roman"/>
        </w:rPr>
        <w:t>.</w:t>
      </w:r>
      <w:r w:rsidR="001C362D"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F1000_CSL_CITATION&lt;~#@#~&gt;[{"DOI":"10.1186/s12859-016-1039-0","First":false,"Last":false,"PMCID":"PMC4905606","PMID":"27294886","abstract":"&lt;strong&gt;BACKGROUND:&lt;/strong&gt; Mixed graphical models (MGMs) are graphical models learned over a combination of continuous and discrete variables. Mixed variable types are common in biomedical datasets. MGMs consist of a parameterized joint probability density, which implies a network structure over these heterogeneous variables. The network structure reveals direct associations between the variables and the joint probability density allows one to ask arbitrary probabilistic questions on the data. This information can be used for feature selection, classification and other important tasks.&lt;br&gt;&lt;br&gt;&lt;strong&gt;RESULTS:&lt;/strong&gt; We studied the properties of MGM learning and applications of MGMs to high-dimensional data (biological and simulated). Our results show that MGMs reliably uncover the underlying graph structure, and when used for classification, their performance is comparable to popular discriminative methods (lasso regression and support vector machines). We also show that imposing separate sparsity penalties for edges connecting different types of variables significantly improves edge recovery performance. To choose these sparsity parameters, we propose a new efficient model selection method, named Stable Edge-specific Penalty Selection (StEPS). StEPS is an expansion of an earlier method, StARS, to mixed variable types. In terms of edge recovery, StEPS selected MGMs outperform those models selected using standard techniques, including AIC, BIC and cross-validation. In addition, we use a heuristic search that is linear in size of the sparsity value search space as opposed to the cubic grid search required by other model selection methods. We applied our method to clinical and mRNA expression data from the Lung Genomics Research Consortium (LGRC) and the learned MGM correctly recovered connections between the diagnosis of obstructive or interstitial lung disease, two diagnostic breathing tests, and cigarette smoking history. Our model also suggested biologically relevant mRNA markers that are linked to these three clinical variables.&lt;br&gt;&lt;br&gt;&lt;strong&gt;CONCLUSIONS:&lt;/strong&gt; MGMs are able to accurately recover dependencies between sets of continuous and discrete variables in both simulated and biomedical datasets. Separation of sparsity penalties by edge type is essential for accurate network edge recovery. Furthermore, our stability based method for model selection determines sparsity parameters faster and more accurately (in terms of edge recovery) than other model selection methods. With the ongoing availability of comprehensive clinical and biomedical datasets, MGMs are expected to become a valuable tool for investigating disease mechanisms and answering an array of critical healthcare questions.","author":[{"family":"Sedgewick","given":"Andrew J"},{"family":"Shi","given":"Ivy"},{"family":"Donovan","given":"Rory M"},{"family":"Benos","given":"Panayiotis V"}],"authorYearDisplayFormat":false,"citation-label":"2896638","container-title":"BMC Bioinformatics","container-title-short":"BMC Bioinformatics","id":"2896638","invisible":false,"issued":{"date-parts":[["2016","6","6"]]},"journalAbbreviation":"BMC Bioinformatics","page":"175","suppress-author":false,"title":"Learning mixed graphical models with separate sparsity parameters and stability-based model selection.","type":"article-journal","volume":"17 Suppl 5"}]</w:instrText>
      </w:r>
      <w:r w:rsidR="001C362D" w:rsidRPr="00A40E06">
        <w:rPr>
          <w:rFonts w:ascii="Times New Roman" w:hAnsi="Times New Roman" w:cs="Times New Roman"/>
        </w:rPr>
        <w:fldChar w:fldCharType="separate"/>
      </w:r>
      <w:r w:rsidR="008D4385" w:rsidRPr="00A40E06">
        <w:rPr>
          <w:rFonts w:ascii="Times New Roman" w:hAnsi="Times New Roman" w:cs="Times New Roman"/>
          <w:noProof/>
        </w:rPr>
        <w:t>(Sedgewick et al., 2016)</w:t>
      </w:r>
      <w:r w:rsidR="001C362D" w:rsidRPr="00A40E06">
        <w:rPr>
          <w:rFonts w:ascii="Times New Roman" w:hAnsi="Times New Roman" w:cs="Times New Roman"/>
        </w:rPr>
        <w:fldChar w:fldCharType="end"/>
      </w:r>
      <w:r w:rsidRPr="00A40E06">
        <w:rPr>
          <w:rFonts w:ascii="Times New Roman" w:hAnsi="Times New Roman" w:cs="Times New Roman"/>
        </w:rPr>
        <w:t xml:space="preserve"> In our case (10-fold cross-validation) we created 10 different partitions of our original dataset. Each training set consisted of 48 patients (8 </w:t>
      </w:r>
      <w:r w:rsidR="001C362D" w:rsidRPr="00A40E06">
        <w:rPr>
          <w:rFonts w:ascii="Times New Roman" w:hAnsi="Times New Roman" w:cs="Times New Roman"/>
        </w:rPr>
        <w:t>culture-</w:t>
      </w:r>
      <w:r w:rsidRPr="00A40E06">
        <w:rPr>
          <w:rFonts w:ascii="Times New Roman" w:hAnsi="Times New Roman" w:cs="Times New Roman"/>
        </w:rPr>
        <w:t xml:space="preserve">positive and 40 </w:t>
      </w:r>
      <w:r w:rsidR="001C362D" w:rsidRPr="00A40E06">
        <w:rPr>
          <w:rFonts w:ascii="Times New Roman" w:hAnsi="Times New Roman" w:cs="Times New Roman"/>
        </w:rPr>
        <w:t>culture-</w:t>
      </w:r>
      <w:r w:rsidRPr="00A40E06">
        <w:rPr>
          <w:rFonts w:ascii="Times New Roman" w:hAnsi="Times New Roman" w:cs="Times New Roman"/>
        </w:rPr>
        <w:t xml:space="preserve">negative) and each test set consisted of 8 patients (4 </w:t>
      </w:r>
      <w:r w:rsidR="001C362D" w:rsidRPr="00A40E06">
        <w:rPr>
          <w:rFonts w:ascii="Times New Roman" w:hAnsi="Times New Roman" w:cs="Times New Roman"/>
        </w:rPr>
        <w:t>culture-positive and 4 culture-negative</w:t>
      </w:r>
      <w:r w:rsidRPr="00A40E06">
        <w:rPr>
          <w:rFonts w:ascii="Times New Roman" w:hAnsi="Times New Roman" w:cs="Times New Roman"/>
        </w:rPr>
        <w:t xml:space="preserve">). For each one of the 10 training datasets, we run </w:t>
      </w:r>
      <w:r w:rsidRPr="00A40E06">
        <w:rPr>
          <w:rFonts w:ascii="Times New Roman" w:hAnsi="Times New Roman" w:cs="Times New Roman"/>
          <w:i/>
        </w:rPr>
        <w:t>CausalMGM</w:t>
      </w:r>
      <w:r w:rsidRPr="00A40E06">
        <w:rPr>
          <w:rFonts w:ascii="Times New Roman" w:hAnsi="Times New Roman" w:cs="Times New Roman"/>
        </w:rPr>
        <w:t xml:space="preserve"> (Causal Mixed Graphical Model) and we estimate the </w:t>
      </w:r>
      <w:r w:rsidR="001C362D" w:rsidRPr="00A40E06">
        <w:rPr>
          <w:rFonts w:ascii="Times New Roman" w:hAnsi="Times New Roman" w:cs="Times New Roman"/>
        </w:rPr>
        <w:t xml:space="preserve">corresponding graph structure. </w:t>
      </w:r>
      <w:r w:rsidRPr="00A40E06">
        <w:rPr>
          <w:rFonts w:ascii="Times New Roman" w:hAnsi="Times New Roman" w:cs="Times New Roman"/>
        </w:rPr>
        <w:t>Next, using the estimated graph structure we identified the features that belong to the Markov blanket</w:t>
      </w:r>
      <w:r w:rsidR="00A40E06">
        <w:rPr>
          <w:rFonts w:ascii="Times New Roman" w:hAnsi="Times New Roman" w:cs="Times New Roman"/>
        </w:rPr>
        <w:t xml:space="preserve"> </w:t>
      </w:r>
      <w:r w:rsidR="001C362D"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First":false,"Last":false,"URL":"http://www.springer.com/us/book/9780387310732","accessed":{"date-parts":[["2017","12","1"]]},"authorYearDisplayFormat":false,"citation-label":"4554625","id":"4554625","invisible":false,"issued":{"date-parts":[[]]},"suppress-author":false,"title":"Pattern Recognition and Machine Learning | Christopher Bishop | Springer","type":"webpage"}]</w:instrText>
      </w:r>
      <w:r w:rsidR="001C362D" w:rsidRPr="00A40E06">
        <w:rPr>
          <w:rFonts w:ascii="Times New Roman" w:hAnsi="Times New Roman" w:cs="Times New Roman"/>
        </w:rPr>
        <w:fldChar w:fldCharType="separate"/>
      </w:r>
      <w:r w:rsidR="008D4385" w:rsidRPr="00A40E06">
        <w:rPr>
          <w:rFonts w:ascii="Times New Roman" w:hAnsi="Times New Roman" w:cs="Times New Roman"/>
          <w:noProof/>
        </w:rPr>
        <w:t>(Pattern Recognition and Machine Learning | Christopher Bishop | Springer)</w:t>
      </w:r>
      <w:r w:rsidR="001C362D" w:rsidRPr="00A40E06">
        <w:rPr>
          <w:rFonts w:ascii="Times New Roman" w:hAnsi="Times New Roman" w:cs="Times New Roman"/>
        </w:rPr>
        <w:fldChar w:fldCharType="end"/>
      </w:r>
      <w:r w:rsidRPr="00A40E06">
        <w:rPr>
          <w:rFonts w:ascii="Times New Roman" w:hAnsi="Times New Roman" w:cs="Times New Roman"/>
        </w:rPr>
        <w:t xml:space="preserve"> (i.e. parents, children and spouses) of the cultur</w:t>
      </w:r>
      <w:r w:rsidR="00A56180" w:rsidRPr="00A40E06">
        <w:rPr>
          <w:rFonts w:ascii="Times New Roman" w:hAnsi="Times New Roman" w:cs="Times New Roman"/>
        </w:rPr>
        <w:t>e</w:t>
      </w:r>
      <w:r w:rsidRPr="00A40E06">
        <w:rPr>
          <w:rFonts w:ascii="Times New Roman" w:hAnsi="Times New Roman" w:cs="Times New Roman"/>
        </w:rPr>
        <w:t xml:space="preserve"> positivity variable and using their information we trained a linear weighted Support Vector Machin</w:t>
      </w:r>
      <w:r w:rsidR="001C362D" w:rsidRPr="00A40E06">
        <w:rPr>
          <w:rFonts w:ascii="Times New Roman" w:hAnsi="Times New Roman" w:cs="Times New Roman"/>
        </w:rPr>
        <w:t>e (SVM) classifier</w:t>
      </w:r>
      <w:r w:rsidR="00B9414D" w:rsidRPr="00A40E06">
        <w:rPr>
          <w:rFonts w:ascii="Times New Roman" w:hAnsi="Times New Roman" w:cs="Times New Roman"/>
        </w:rPr>
        <w:t>.</w:t>
      </w:r>
      <w:r w:rsidR="001C362D" w:rsidRPr="00A40E06">
        <w:rPr>
          <w:rFonts w:ascii="Times New Roman" w:hAnsi="Times New Roman" w:cs="Times New Roman"/>
        </w:rPr>
        <w:fldChar w:fldCharType="begin"/>
      </w:r>
      <w:r w:rsidR="008D4385" w:rsidRPr="00A40E06">
        <w:rPr>
          <w:rFonts w:ascii="Times New Roman" w:hAnsi="Times New Roman" w:cs="Times New Roman"/>
        </w:rPr>
        <w:instrText>ADDIN F1000_CSL_CITATION&lt;~#@#~&gt;[{"DOI":"10.1007/978-0-387-84858-7","First":false,"ISBN":"978-0-387-84857-0","Last":false,"author":[{"family":"Hastie","given":"Trevor"},{"family":"Tibshirani","given":"Robert"},{"family":"Friedman","given":"Jerome"}],"authorYearDisplayFormat":false,"citation-label":"1198412","collection-title":"Springer Series in Statistics","id":"1198412","invisible":false,"issued":{"date-parts":[["2009"]]},"publisher":"Springer New York","publisher-place":"New York, NY","suppress-author":false,"title":"The Elements of Statistical Learning","type":"book"}]</w:instrText>
      </w:r>
      <w:r w:rsidR="001C362D" w:rsidRPr="00A40E06">
        <w:rPr>
          <w:rFonts w:ascii="Times New Roman" w:hAnsi="Times New Roman" w:cs="Times New Roman"/>
        </w:rPr>
        <w:fldChar w:fldCharType="separate"/>
      </w:r>
      <w:r w:rsidR="008D4385" w:rsidRPr="00A40E06">
        <w:rPr>
          <w:rFonts w:ascii="Times New Roman" w:hAnsi="Times New Roman" w:cs="Times New Roman"/>
          <w:noProof/>
        </w:rPr>
        <w:t>(Hastie et al., 2009)</w:t>
      </w:r>
      <w:r w:rsidR="001C362D" w:rsidRPr="00A40E06">
        <w:rPr>
          <w:rFonts w:ascii="Times New Roman" w:hAnsi="Times New Roman" w:cs="Times New Roman"/>
        </w:rPr>
        <w:fldChar w:fldCharType="end"/>
      </w:r>
      <w:r w:rsidRPr="00A40E06">
        <w:rPr>
          <w:rFonts w:ascii="Times New Roman" w:hAnsi="Times New Roman" w:cs="Times New Roman"/>
        </w:rPr>
        <w:t xml:space="preserve"> It is worth to mention that the reason for training a </w:t>
      </w:r>
      <w:r w:rsidRPr="00A40E06">
        <w:rPr>
          <w:rFonts w:ascii="Times New Roman" w:hAnsi="Times New Roman" w:cs="Times New Roman"/>
          <w:i/>
        </w:rPr>
        <w:t>weighted</w:t>
      </w:r>
      <w:r w:rsidRPr="00A40E06">
        <w:rPr>
          <w:rFonts w:ascii="Times New Roman" w:hAnsi="Times New Roman" w:cs="Times New Roman"/>
        </w:rPr>
        <w:t xml:space="preserve"> linear SVM classifier (instead of a linear SVM classifier) was to deal with the unbalance of the data in the corresponding training sets (only 8 </w:t>
      </w:r>
      <w:r w:rsidR="001C362D" w:rsidRPr="00A40E06">
        <w:rPr>
          <w:rFonts w:ascii="Times New Roman" w:hAnsi="Times New Roman" w:cs="Times New Roman"/>
        </w:rPr>
        <w:t xml:space="preserve">culture-positive and 40 culture-negative </w:t>
      </w:r>
      <w:r w:rsidRPr="00A40E06">
        <w:rPr>
          <w:rFonts w:ascii="Times New Roman" w:hAnsi="Times New Roman" w:cs="Times New Roman"/>
        </w:rPr>
        <w:t xml:space="preserve">patients). </w:t>
      </w:r>
      <w:r w:rsidR="00A56180" w:rsidRPr="00A40E06">
        <w:rPr>
          <w:rFonts w:ascii="Times New Roman" w:hAnsi="Times New Roman" w:cs="Times New Roman"/>
        </w:rPr>
        <w:t>Following these steps</w:t>
      </w:r>
      <w:r w:rsidRPr="00A40E06">
        <w:rPr>
          <w:rFonts w:ascii="Times New Roman" w:hAnsi="Times New Roman" w:cs="Times New Roman"/>
        </w:rPr>
        <w:t>, we evaluate</w:t>
      </w:r>
      <w:r w:rsidR="00A56180" w:rsidRPr="00A40E06">
        <w:rPr>
          <w:rFonts w:ascii="Times New Roman" w:hAnsi="Times New Roman" w:cs="Times New Roman"/>
        </w:rPr>
        <w:t>d</w:t>
      </w:r>
      <w:r w:rsidRPr="00A40E06">
        <w:rPr>
          <w:rFonts w:ascii="Times New Roman" w:hAnsi="Times New Roman" w:cs="Times New Roman"/>
        </w:rPr>
        <w:t xml:space="preserve"> the accuracy of the estimated classifier</w:t>
      </w:r>
      <w:r w:rsidR="00A56180" w:rsidRPr="00A40E06">
        <w:rPr>
          <w:rFonts w:ascii="Times New Roman" w:hAnsi="Times New Roman" w:cs="Times New Roman"/>
        </w:rPr>
        <w:t xml:space="preserve"> using the corresponding test set</w:t>
      </w:r>
      <w:r w:rsidRPr="00A40E06">
        <w:rPr>
          <w:rFonts w:ascii="Times New Roman" w:hAnsi="Times New Roman" w:cs="Times New Roman"/>
        </w:rPr>
        <w:t xml:space="preserve">. </w:t>
      </w:r>
    </w:p>
    <w:p w14:paraId="55B32FB0" w14:textId="77777777" w:rsidR="00877ED7" w:rsidRPr="00A40E06" w:rsidRDefault="00877ED7" w:rsidP="003B399E">
      <w:pPr>
        <w:rPr>
          <w:rFonts w:ascii="Times New Roman" w:hAnsi="Times New Roman" w:cs="Times New Roman"/>
          <w:b/>
        </w:rPr>
      </w:pPr>
    </w:p>
    <w:p w14:paraId="52A0C717" w14:textId="3C5EC5AB" w:rsidR="00950883" w:rsidRPr="00A40E06" w:rsidRDefault="00950883" w:rsidP="003B399E">
      <w:pPr>
        <w:jc w:val="both"/>
        <w:rPr>
          <w:rFonts w:ascii="Times New Roman" w:hAnsi="Times New Roman" w:cs="Times New Roman"/>
        </w:rPr>
      </w:pPr>
    </w:p>
    <w:p w14:paraId="642BC2A4" w14:textId="77777777" w:rsidR="00614A99" w:rsidRPr="003B399E" w:rsidRDefault="00F863AB" w:rsidP="003B399E">
      <w:pPr>
        <w:rPr>
          <w:rFonts w:ascii="Times New Roman" w:hAnsi="Times New Roman" w:cs="Times New Roman"/>
          <w:b/>
        </w:rPr>
      </w:pPr>
      <w:r w:rsidRPr="003B399E">
        <w:rPr>
          <w:rFonts w:ascii="Times New Roman" w:hAnsi="Times New Roman" w:cs="Times New Roman"/>
          <w:b/>
        </w:rPr>
        <w:br w:type="page"/>
      </w:r>
      <w:r w:rsidR="00614A99" w:rsidRPr="003B399E">
        <w:rPr>
          <w:rFonts w:ascii="Times New Roman" w:hAnsi="Times New Roman" w:cs="Times New Roman"/>
          <w:b/>
        </w:rPr>
        <w:t>RESULTS</w:t>
      </w:r>
    </w:p>
    <w:p w14:paraId="4E75B2A4" w14:textId="3EC311FD" w:rsidR="00254B9E" w:rsidRPr="007F7640" w:rsidRDefault="00254B9E" w:rsidP="003B399E">
      <w:pPr>
        <w:rPr>
          <w:rFonts w:ascii="Times New Roman" w:hAnsi="Times New Roman" w:cs="Times New Roman"/>
          <w:b/>
          <w:highlight w:val="lightGray"/>
        </w:rPr>
      </w:pPr>
    </w:p>
    <w:p w14:paraId="3772932B" w14:textId="7C3417F0" w:rsidR="007A0DE8" w:rsidRPr="003B399E" w:rsidRDefault="007F7640" w:rsidP="007A0DE8">
      <w:pPr>
        <w:jc w:val="both"/>
        <w:rPr>
          <w:rFonts w:ascii="Times New Roman" w:hAnsi="Times New Roman" w:cs="Times New Roman"/>
        </w:rPr>
      </w:pPr>
      <w:r>
        <w:rPr>
          <w:rFonts w:ascii="Times New Roman" w:hAnsi="Times New Roman" w:cs="Times New Roman"/>
          <w:b/>
        </w:rPr>
        <w:t>Supplementary Figure 3</w:t>
      </w:r>
      <w:r w:rsidR="007A0DE8">
        <w:rPr>
          <w:rFonts w:ascii="Times New Roman" w:hAnsi="Times New Roman" w:cs="Times New Roman"/>
          <w:b/>
        </w:rPr>
        <w:t xml:space="preserve">: </w:t>
      </w:r>
      <w:r w:rsidR="007A0DE8" w:rsidRPr="003B399E">
        <w:rPr>
          <w:rFonts w:ascii="Times New Roman" w:hAnsi="Times New Roman" w:cs="Times New Roman"/>
          <w:b/>
        </w:rPr>
        <w:t xml:space="preserve">Alpha and beta diversity comparisons in </w:t>
      </w:r>
      <w:r w:rsidR="007A0DE8">
        <w:rPr>
          <w:rFonts w:ascii="Times New Roman" w:hAnsi="Times New Roman" w:cs="Times New Roman"/>
          <w:b/>
        </w:rPr>
        <w:t xml:space="preserve">lung communities </w:t>
      </w:r>
      <w:r w:rsidR="007A0DE8" w:rsidRPr="003B399E">
        <w:rPr>
          <w:rFonts w:ascii="Times New Roman" w:hAnsi="Times New Roman" w:cs="Times New Roman"/>
          <w:b/>
        </w:rPr>
        <w:t xml:space="preserve">stratified by </w:t>
      </w:r>
      <w:r w:rsidR="007A0DE8">
        <w:rPr>
          <w:rFonts w:ascii="Times New Roman" w:hAnsi="Times New Roman" w:cs="Times New Roman"/>
          <w:b/>
        </w:rPr>
        <w:t>history of COPD or smoking status.</w:t>
      </w:r>
      <w:r w:rsidR="007A0DE8" w:rsidRPr="003B399E">
        <w:rPr>
          <w:rFonts w:ascii="Times New Roman" w:hAnsi="Times New Roman" w:cs="Times New Roman"/>
        </w:rPr>
        <w:t xml:space="preserve"> Panel A.</w:t>
      </w:r>
      <w:r w:rsidR="007A0DE8">
        <w:rPr>
          <w:rFonts w:ascii="Times New Roman" w:hAnsi="Times New Roman" w:cs="Times New Roman"/>
        </w:rPr>
        <w:t xml:space="preserve"> Alpha diversity comparisons by COPD history, showing that patients with history of COPD had lower richness (Shannon index) compared to patients without history of COPD (p=0.04). </w:t>
      </w:r>
      <w:r w:rsidR="007A0DE8" w:rsidRPr="003B399E">
        <w:rPr>
          <w:rFonts w:ascii="Times New Roman" w:hAnsi="Times New Roman" w:cs="Times New Roman"/>
        </w:rPr>
        <w:t xml:space="preserve">Panel B: Bray Curtis dissimilarity indices comparison </w:t>
      </w:r>
      <w:r w:rsidR="007A0DE8">
        <w:rPr>
          <w:rFonts w:ascii="Times New Roman" w:hAnsi="Times New Roman" w:cs="Times New Roman"/>
        </w:rPr>
        <w:t>between patients with COPD (purple circles) and patients without COPD (green triangles) showing modest differences (Permanova p-value = 0.02).</w:t>
      </w:r>
      <w:r w:rsidR="007A0DE8" w:rsidRPr="003B399E">
        <w:rPr>
          <w:rFonts w:ascii="Times New Roman" w:hAnsi="Times New Roman" w:cs="Times New Roman"/>
        </w:rPr>
        <w:t xml:space="preserve"> </w:t>
      </w:r>
      <w:r w:rsidR="007A0DE8">
        <w:rPr>
          <w:rFonts w:ascii="Times New Roman" w:hAnsi="Times New Roman" w:cs="Times New Roman"/>
        </w:rPr>
        <w:t xml:space="preserve">Panel C: Alpha diversity comparisons by smoking status, showing no significant differences between current, former and never smokers. Panel D: </w:t>
      </w:r>
      <w:r w:rsidR="007A0DE8" w:rsidRPr="003B399E">
        <w:rPr>
          <w:rFonts w:ascii="Times New Roman" w:hAnsi="Times New Roman" w:cs="Times New Roman"/>
        </w:rPr>
        <w:t xml:space="preserve">Bray Curtis dissimilarity indices comparison </w:t>
      </w:r>
      <w:r w:rsidR="007A0DE8">
        <w:rPr>
          <w:rFonts w:ascii="Times New Roman" w:hAnsi="Times New Roman" w:cs="Times New Roman"/>
        </w:rPr>
        <w:t>by smoking status, showing no significant differences between current, former and never smokers.</w:t>
      </w:r>
    </w:p>
    <w:p w14:paraId="110F82EF" w14:textId="77777777" w:rsidR="007A0DE8" w:rsidRDefault="007A0DE8" w:rsidP="003B399E">
      <w:pPr>
        <w:rPr>
          <w:rFonts w:ascii="Times New Roman" w:hAnsi="Times New Roman" w:cs="Times New Roman"/>
          <w:b/>
        </w:rPr>
      </w:pPr>
    </w:p>
    <w:p w14:paraId="1B1EC199" w14:textId="4673BB3C" w:rsidR="007A0DE8" w:rsidRDefault="007A0DE8" w:rsidP="003B399E">
      <w:pPr>
        <w:rPr>
          <w:rFonts w:ascii="Times New Roman" w:hAnsi="Times New Roman" w:cs="Times New Roman"/>
          <w:b/>
        </w:rPr>
      </w:pPr>
      <w:r w:rsidRPr="007A0DE8">
        <w:rPr>
          <w:rFonts w:ascii="Times New Roman" w:hAnsi="Times New Roman" w:cs="Times New Roman"/>
          <w:b/>
          <w:noProof/>
        </w:rPr>
        <w:drawing>
          <wp:inline distT="0" distB="0" distL="0" distR="0" wp14:anchorId="60E2BE78" wp14:editId="75B1DAFB">
            <wp:extent cx="5003405" cy="4523333"/>
            <wp:effectExtent l="25400" t="25400" r="2603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D_smoking.pdf"/>
                    <pic:cNvPicPr/>
                  </pic:nvPicPr>
                  <pic:blipFill>
                    <a:blip r:embed="rId11">
                      <a:extLst>
                        <a:ext uri="{28A0092B-C50C-407E-A947-70E740481C1C}">
                          <a14:useLocalDpi xmlns:a14="http://schemas.microsoft.com/office/drawing/2010/main" val="0"/>
                        </a:ext>
                      </a:extLst>
                    </a:blip>
                    <a:stretch>
                      <a:fillRect/>
                    </a:stretch>
                  </pic:blipFill>
                  <pic:spPr>
                    <a:xfrm>
                      <a:off x="0" y="0"/>
                      <a:ext cx="5003405" cy="4523333"/>
                    </a:xfrm>
                    <a:prstGeom prst="rect">
                      <a:avLst/>
                    </a:prstGeom>
                    <a:ln>
                      <a:solidFill>
                        <a:srgbClr val="4F81BD"/>
                      </a:solidFill>
                    </a:ln>
                  </pic:spPr>
                </pic:pic>
              </a:graphicData>
            </a:graphic>
          </wp:inline>
        </w:drawing>
      </w:r>
    </w:p>
    <w:p w14:paraId="05F5DBF5" w14:textId="77777777" w:rsidR="007A0DE8" w:rsidRDefault="007A0DE8" w:rsidP="003B399E">
      <w:pPr>
        <w:rPr>
          <w:rFonts w:ascii="Times New Roman" w:hAnsi="Times New Roman" w:cs="Times New Roman"/>
          <w:b/>
        </w:rPr>
      </w:pPr>
    </w:p>
    <w:p w14:paraId="3C07DD6F" w14:textId="77777777" w:rsidR="000345DB" w:rsidRDefault="000345DB" w:rsidP="003B399E">
      <w:pPr>
        <w:rPr>
          <w:rFonts w:ascii="Times New Roman" w:hAnsi="Times New Roman" w:cs="Times New Roman"/>
          <w:b/>
        </w:rPr>
      </w:pPr>
    </w:p>
    <w:p w14:paraId="14C6CEC2" w14:textId="77777777" w:rsidR="000345DB" w:rsidRDefault="000345DB" w:rsidP="003B399E">
      <w:pPr>
        <w:rPr>
          <w:rFonts w:ascii="Times New Roman" w:hAnsi="Times New Roman" w:cs="Times New Roman"/>
          <w:b/>
        </w:rPr>
      </w:pPr>
    </w:p>
    <w:p w14:paraId="29F69D61" w14:textId="6E7D9726" w:rsidR="004A089F" w:rsidRDefault="004A089F">
      <w:pPr>
        <w:rPr>
          <w:rFonts w:ascii="Times New Roman" w:hAnsi="Times New Roman" w:cs="Times New Roman"/>
          <w:b/>
        </w:rPr>
      </w:pPr>
      <w:r>
        <w:rPr>
          <w:rFonts w:ascii="Times New Roman" w:hAnsi="Times New Roman" w:cs="Times New Roman"/>
          <w:b/>
        </w:rPr>
        <w:br w:type="page"/>
      </w:r>
    </w:p>
    <w:p w14:paraId="631C72A1" w14:textId="77777777" w:rsidR="000345DB" w:rsidRDefault="000345DB" w:rsidP="003B399E">
      <w:pPr>
        <w:rPr>
          <w:rFonts w:ascii="Times New Roman" w:hAnsi="Times New Roman" w:cs="Times New Roman"/>
          <w:b/>
        </w:rPr>
      </w:pPr>
    </w:p>
    <w:p w14:paraId="35560D2A" w14:textId="7DA999C8" w:rsidR="004807F3" w:rsidRPr="003B399E" w:rsidRDefault="00C0550C" w:rsidP="003B399E">
      <w:pPr>
        <w:rPr>
          <w:rFonts w:ascii="Times New Roman" w:hAnsi="Times New Roman" w:cs="Times New Roman"/>
        </w:rPr>
      </w:pPr>
      <w:r w:rsidRPr="003B399E">
        <w:rPr>
          <w:rFonts w:ascii="Times New Roman" w:hAnsi="Times New Roman" w:cs="Times New Roman"/>
          <w:b/>
        </w:rPr>
        <w:t xml:space="preserve">Supplementary </w:t>
      </w:r>
      <w:r w:rsidR="00694931" w:rsidRPr="003B399E">
        <w:rPr>
          <w:rFonts w:ascii="Times New Roman" w:hAnsi="Times New Roman" w:cs="Times New Roman"/>
          <w:b/>
        </w:rPr>
        <w:t xml:space="preserve">Table </w:t>
      </w:r>
      <w:r w:rsidR="004A089F">
        <w:rPr>
          <w:rFonts w:ascii="Times New Roman" w:hAnsi="Times New Roman" w:cs="Times New Roman"/>
          <w:b/>
        </w:rPr>
        <w:t>2</w:t>
      </w:r>
      <w:r w:rsidR="008B6EEC" w:rsidRPr="003B399E">
        <w:rPr>
          <w:rFonts w:ascii="Times New Roman" w:hAnsi="Times New Roman" w:cs="Times New Roman"/>
          <w:b/>
        </w:rPr>
        <w:t>. Definitions of pathogenic and oral origin taxa in the lung communities</w:t>
      </w:r>
      <w:r w:rsidR="008B6EEC" w:rsidRPr="003B399E">
        <w:rPr>
          <w:rFonts w:ascii="Times New Roman" w:hAnsi="Times New Roman" w:cs="Times New Roman"/>
        </w:rPr>
        <w:t xml:space="preserve">. </w:t>
      </w:r>
      <w:r w:rsidR="00CB0637" w:rsidRPr="003B399E">
        <w:rPr>
          <w:rFonts w:ascii="Times New Roman" w:hAnsi="Times New Roman" w:cs="Times New Roman"/>
        </w:rPr>
        <w:t xml:space="preserve">Taxa dominating culture-positive samples were considered as pathogens. </w:t>
      </w:r>
      <w:r w:rsidR="000A39BD" w:rsidRPr="003B399E">
        <w:rPr>
          <w:rFonts w:ascii="Times New Roman" w:hAnsi="Times New Roman" w:cs="Times New Roman"/>
          <w:i/>
        </w:rPr>
        <w:t>Mycoplasma</w:t>
      </w:r>
      <w:r w:rsidR="000A39BD" w:rsidRPr="003B399E">
        <w:rPr>
          <w:rFonts w:ascii="Times New Roman" w:hAnsi="Times New Roman" w:cs="Times New Roman"/>
        </w:rPr>
        <w:t xml:space="preserve"> was also noted to dominate </w:t>
      </w:r>
      <w:r w:rsidR="00092A6F" w:rsidRPr="003B399E">
        <w:rPr>
          <w:rFonts w:ascii="Times New Roman" w:hAnsi="Times New Roman" w:cs="Times New Roman"/>
        </w:rPr>
        <w:t xml:space="preserve">certain </w:t>
      </w:r>
      <w:r w:rsidR="000A39BD" w:rsidRPr="003B399E">
        <w:rPr>
          <w:rFonts w:ascii="Times New Roman" w:hAnsi="Times New Roman" w:cs="Times New Roman"/>
        </w:rPr>
        <w:t>culture-negative samples and was also considered a</w:t>
      </w:r>
      <w:r w:rsidR="00092A6F" w:rsidRPr="003B399E">
        <w:rPr>
          <w:rFonts w:ascii="Times New Roman" w:hAnsi="Times New Roman" w:cs="Times New Roman"/>
        </w:rPr>
        <w:t>s</w:t>
      </w:r>
      <w:r w:rsidR="000A39BD" w:rsidRPr="003B399E">
        <w:rPr>
          <w:rFonts w:ascii="Times New Roman" w:hAnsi="Times New Roman" w:cs="Times New Roman"/>
        </w:rPr>
        <w:t xml:space="preserve"> </w:t>
      </w:r>
      <w:r w:rsidR="00092A6F" w:rsidRPr="003B399E">
        <w:rPr>
          <w:rFonts w:ascii="Times New Roman" w:hAnsi="Times New Roman" w:cs="Times New Roman"/>
        </w:rPr>
        <w:t xml:space="preserve">a </w:t>
      </w:r>
      <w:r w:rsidR="000A39BD" w:rsidRPr="003B399E">
        <w:rPr>
          <w:rFonts w:ascii="Times New Roman" w:hAnsi="Times New Roman" w:cs="Times New Roman"/>
        </w:rPr>
        <w:t xml:space="preserve">pathogen given </w:t>
      </w:r>
      <w:r w:rsidR="00092A6F" w:rsidRPr="003B399E">
        <w:rPr>
          <w:rFonts w:ascii="Times New Roman" w:hAnsi="Times New Roman" w:cs="Times New Roman"/>
        </w:rPr>
        <w:t xml:space="preserve">that </w:t>
      </w:r>
      <w:r w:rsidR="00092A6F" w:rsidRPr="003B399E">
        <w:rPr>
          <w:rFonts w:ascii="Times New Roman" w:hAnsi="Times New Roman" w:cs="Times New Roman"/>
          <w:i/>
        </w:rPr>
        <w:t>Mycoplasma</w:t>
      </w:r>
      <w:r w:rsidR="00092A6F" w:rsidRPr="003B399E">
        <w:rPr>
          <w:rFonts w:ascii="Times New Roman" w:hAnsi="Times New Roman" w:cs="Times New Roman"/>
        </w:rPr>
        <w:t xml:space="preserve"> isolation is considered pathogenic in clinical practice. </w:t>
      </w:r>
      <w:r w:rsidR="000A39BD" w:rsidRPr="003B399E">
        <w:rPr>
          <w:rFonts w:ascii="Times New Roman" w:hAnsi="Times New Roman" w:cs="Times New Roman"/>
        </w:rPr>
        <w:t>Oral taxa were defined as th</w:t>
      </w:r>
      <w:r w:rsidR="00092A6F" w:rsidRPr="003B399E">
        <w:rPr>
          <w:rFonts w:ascii="Times New Roman" w:hAnsi="Times New Roman" w:cs="Times New Roman"/>
        </w:rPr>
        <w:t>e</w:t>
      </w:r>
      <w:r w:rsidR="000A39BD" w:rsidRPr="003B399E">
        <w:rPr>
          <w:rFonts w:ascii="Times New Roman" w:hAnsi="Times New Roman" w:cs="Times New Roman"/>
        </w:rPr>
        <w:t xml:space="preserve"> members of the supraglottic pneumotype of the </w:t>
      </w:r>
      <w:r w:rsidR="00092A6F" w:rsidRPr="003B399E">
        <w:rPr>
          <w:rFonts w:ascii="Times New Roman" w:hAnsi="Times New Roman" w:cs="Times New Roman"/>
        </w:rPr>
        <w:t xml:space="preserve">healthy </w:t>
      </w:r>
      <w:r w:rsidR="000A39BD" w:rsidRPr="003B399E">
        <w:rPr>
          <w:rFonts w:ascii="Times New Roman" w:hAnsi="Times New Roman" w:cs="Times New Roman"/>
        </w:rPr>
        <w:t>lung microbiome</w:t>
      </w:r>
      <w:r w:rsidR="00891632" w:rsidRPr="003B399E">
        <w:rPr>
          <w:rFonts w:ascii="Times New Roman" w:hAnsi="Times New Roman" w:cs="Times New Roman"/>
        </w:rPr>
        <w:t>.</w:t>
      </w:r>
      <w:r w:rsidR="00DD3F7E" w:rsidRPr="003B399E">
        <w:rPr>
          <w:rFonts w:ascii="Times New Roman" w:hAnsi="Times New Roman" w:cs="Times New Roman"/>
        </w:rPr>
        <w:fldChar w:fldCharType="begin"/>
      </w:r>
      <w:r w:rsidR="008D4385" w:rsidRPr="003B399E">
        <w:rPr>
          <w:rFonts w:ascii="Times New Roman" w:hAnsi="Times New Roman" w:cs="Times New Roman"/>
        </w:rPr>
        <w:instrText>ADDIN F1000_CSL_CITATION&lt;~#@#~&gt;[{"DOI":"10.1038/nmicrobiol.2016.31","First":false,"Last":false,"PMCID":"PMC5010013","PMID":"27572644","abstract":"Microaspiration is a common phenomenon in healthy subjects, but its frequency is increased in chronic inflammatory airway diseases, and its role in inflammatory and immune phenotypes is unclear. We have previously demonstrated that acellular bronchoalveolar lavage samples from half of the healthy people examined are enriched with oral taxa (here called pneumotypeSPT) and this finding is associated with increased numbers of lymphocytes and neutrophils in bronchoalveolar lavage. Here, we have characterized the inflammatory phenotype using a multi-omic approach. By evaluating both upper airway and acellular bronchoalveolar lavage samples from 49 subjects from three cohorts without known pulmonary disease, we observed that pneumotypeSPT was associated with a distinct metabolic profile, enhanced expression of inflammatory cytokines, a pro-inflammatory phenotype characterized by elevated Th-17 lymphocytes and, conversely, a blunted alveolar macrophage TLR4 response. The cellular immune responses observed in the lower airways of humans with pneumotypeSPT indicate a role for the aspiration-derived microbiota in regulating the basal inflammatory status at the pulmonary mucosal surface.","author":[{"family":"Segal","given":"Leopoldo N"},{"family":"Clemente","given":"Jose C"},{"family":"Tsay","given":"Jun-Chieh J"},{"family":"Koralov","given":"Sergei B"},{"family":"Keller","given":"Brian C"},{"family":"Wu","given":"Benjamin G"},{"family":"Li","given":"Yonghua"},{"family":"Shen","given":"Nan"},{"family":"Ghedin","given":"Elodie"},{"family":"Morris","given":"Alison"},{"family":"Diaz","given":"Phillip"},{"family":"Huang","given":"Laurence"},{"family":"Wikoff","given":"William R"},{"family":"Ubeda","given":"Carles"},{"family":"Artacho","given":"Alejandro"},{"family":"Rom","given":"William N"},{"family":"Sterman","given":"Daniel H"},{"family":"Collman","given":"Ronald G"},{"family":"Blaser","given":"Martin J"},{"family":"Weiden","given":"Michael D"}],"authorYearDisplayFormat":false,"citation-label":"1425299","container-title":"Nature microbiology","container-title-short":"Nat. Microbiol.","id":"1425299","invisible":false,"issued":{"date-parts":[["2016","4","4"]]},"journalAbbreviation":"Nat. Microbiol.","page":"16031","suppress-author":false,"title":"Enrichment of the lung microbiome with oral taxa is associated with lung inflammation of a Th17 phenotype.","type":"article-journal","volume":"1"}]</w:instrText>
      </w:r>
      <w:r w:rsidR="00DD3F7E" w:rsidRPr="003B399E">
        <w:rPr>
          <w:rFonts w:ascii="Times New Roman" w:hAnsi="Times New Roman" w:cs="Times New Roman"/>
        </w:rPr>
        <w:fldChar w:fldCharType="separate"/>
      </w:r>
      <w:r w:rsidR="008D4385" w:rsidRPr="003B399E">
        <w:rPr>
          <w:rFonts w:ascii="Times New Roman" w:hAnsi="Times New Roman" w:cs="Times New Roman"/>
          <w:noProof/>
        </w:rPr>
        <w:t>(Segal et al., 2016)</w:t>
      </w:r>
      <w:r w:rsidR="00DD3F7E" w:rsidRPr="003B399E">
        <w:rPr>
          <w:rFonts w:ascii="Times New Roman" w:hAnsi="Times New Roman" w:cs="Times New Roman"/>
        </w:rPr>
        <w:fldChar w:fldCharType="end"/>
      </w:r>
      <w:r w:rsidR="00272740" w:rsidRPr="003B399E">
        <w:rPr>
          <w:rFonts w:ascii="Times New Roman" w:hAnsi="Times New Roman" w:cs="Times New Roman"/>
        </w:rPr>
        <w:t xml:space="preserve"> </w:t>
      </w:r>
      <w:r w:rsidR="0026644F" w:rsidRPr="003B399E">
        <w:rPr>
          <w:rFonts w:ascii="Times New Roman" w:hAnsi="Times New Roman" w:cs="Times New Roman"/>
        </w:rPr>
        <w:t xml:space="preserve">Genera belonging to the same taxon were grouped together. </w:t>
      </w:r>
      <w:r w:rsidR="00C74A20" w:rsidRPr="003B399E">
        <w:rPr>
          <w:rFonts w:ascii="Times New Roman" w:hAnsi="Times New Roman" w:cs="Times New Roman"/>
        </w:rPr>
        <w:t xml:space="preserve">Pathogenic and oral taxa abundance </w:t>
      </w:r>
      <w:r w:rsidR="00092A6F" w:rsidRPr="003B399E">
        <w:rPr>
          <w:rFonts w:ascii="Times New Roman" w:hAnsi="Times New Roman" w:cs="Times New Roman"/>
        </w:rPr>
        <w:t>was</w:t>
      </w:r>
      <w:r w:rsidR="00C74A20" w:rsidRPr="003B399E">
        <w:rPr>
          <w:rFonts w:ascii="Times New Roman" w:hAnsi="Times New Roman" w:cs="Times New Roman"/>
        </w:rPr>
        <w:t xml:space="preserve"> also expressed as the sum of relative abundances of the component pathogeni</w:t>
      </w:r>
      <w:r w:rsidR="00CF44A2" w:rsidRPr="003B399E">
        <w:rPr>
          <w:rFonts w:ascii="Times New Roman" w:hAnsi="Times New Roman" w:cs="Times New Roman"/>
        </w:rPr>
        <w:t xml:space="preserve">c and oral taxa, respectively. </w:t>
      </w:r>
    </w:p>
    <w:tbl>
      <w:tblPr>
        <w:tblStyle w:val="TableGrid"/>
        <w:tblW w:w="847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2430"/>
        <w:gridCol w:w="1530"/>
        <w:gridCol w:w="2700"/>
      </w:tblGrid>
      <w:tr w:rsidR="00100E38" w:rsidRPr="003B399E" w14:paraId="33A8A5DC" w14:textId="77777777" w:rsidTr="00100E38">
        <w:tc>
          <w:tcPr>
            <w:tcW w:w="4248" w:type="dxa"/>
            <w:gridSpan w:val="2"/>
            <w:tcBorders>
              <w:top w:val="single" w:sz="4" w:space="0" w:color="auto"/>
              <w:bottom w:val="nil"/>
            </w:tcBorders>
            <w:shd w:val="clear" w:color="auto" w:fill="D9D9D9"/>
          </w:tcPr>
          <w:p w14:paraId="4143D5A1" w14:textId="77777777" w:rsidR="0026644F" w:rsidRPr="003B399E" w:rsidRDefault="0026644F" w:rsidP="003B399E">
            <w:pPr>
              <w:jc w:val="center"/>
              <w:rPr>
                <w:rFonts w:ascii="Times New Roman" w:hAnsi="Times New Roman" w:cs="Times New Roman"/>
                <w:b/>
                <w:sz w:val="18"/>
                <w:szCs w:val="18"/>
              </w:rPr>
            </w:pPr>
            <w:r w:rsidRPr="003B399E">
              <w:rPr>
                <w:rFonts w:ascii="Times New Roman" w:hAnsi="Times New Roman" w:cs="Times New Roman"/>
                <w:b/>
                <w:sz w:val="18"/>
                <w:szCs w:val="18"/>
              </w:rPr>
              <w:t>Pathogenic Taxa</w:t>
            </w:r>
          </w:p>
        </w:tc>
        <w:tc>
          <w:tcPr>
            <w:tcW w:w="4230" w:type="dxa"/>
            <w:gridSpan w:val="2"/>
            <w:tcBorders>
              <w:top w:val="single" w:sz="4" w:space="0" w:color="auto"/>
              <w:bottom w:val="nil"/>
            </w:tcBorders>
            <w:shd w:val="clear" w:color="auto" w:fill="D9D9D9"/>
          </w:tcPr>
          <w:p w14:paraId="6267655E" w14:textId="77777777" w:rsidR="0026644F" w:rsidRPr="003B399E" w:rsidRDefault="0026644F" w:rsidP="003B399E">
            <w:pPr>
              <w:jc w:val="center"/>
              <w:rPr>
                <w:rFonts w:ascii="Times New Roman" w:hAnsi="Times New Roman" w:cs="Times New Roman"/>
                <w:b/>
                <w:sz w:val="18"/>
                <w:szCs w:val="18"/>
              </w:rPr>
            </w:pPr>
            <w:r w:rsidRPr="003B399E">
              <w:rPr>
                <w:rFonts w:ascii="Times New Roman" w:hAnsi="Times New Roman" w:cs="Times New Roman"/>
                <w:b/>
                <w:sz w:val="18"/>
                <w:szCs w:val="18"/>
              </w:rPr>
              <w:t>Oral Taxa</w:t>
            </w:r>
          </w:p>
        </w:tc>
      </w:tr>
      <w:tr w:rsidR="00100E38" w:rsidRPr="003B399E" w14:paraId="11A2A818" w14:textId="77777777" w:rsidTr="00100E38">
        <w:tc>
          <w:tcPr>
            <w:tcW w:w="1818" w:type="dxa"/>
            <w:tcBorders>
              <w:top w:val="nil"/>
            </w:tcBorders>
          </w:tcPr>
          <w:p w14:paraId="67EFB32C"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Group Taxon</w:t>
            </w:r>
          </w:p>
        </w:tc>
        <w:tc>
          <w:tcPr>
            <w:tcW w:w="2430" w:type="dxa"/>
            <w:tcBorders>
              <w:top w:val="nil"/>
            </w:tcBorders>
          </w:tcPr>
          <w:p w14:paraId="71B99F69"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Individual taxonomic assignments</w:t>
            </w:r>
          </w:p>
        </w:tc>
        <w:tc>
          <w:tcPr>
            <w:tcW w:w="1530" w:type="dxa"/>
            <w:tcBorders>
              <w:top w:val="nil"/>
            </w:tcBorders>
          </w:tcPr>
          <w:p w14:paraId="792565B8"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Group Taxon</w:t>
            </w:r>
          </w:p>
        </w:tc>
        <w:tc>
          <w:tcPr>
            <w:tcW w:w="2700" w:type="dxa"/>
            <w:tcBorders>
              <w:top w:val="nil"/>
            </w:tcBorders>
          </w:tcPr>
          <w:p w14:paraId="2ABC374F"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Individual taxonomic assignments</w:t>
            </w:r>
          </w:p>
        </w:tc>
      </w:tr>
      <w:tr w:rsidR="00100E38" w:rsidRPr="003B399E" w14:paraId="75E5A627" w14:textId="77777777" w:rsidTr="00100E38">
        <w:tc>
          <w:tcPr>
            <w:tcW w:w="1818" w:type="dxa"/>
          </w:tcPr>
          <w:p w14:paraId="281764C1"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Staphylococcus</w:t>
            </w:r>
          </w:p>
        </w:tc>
        <w:tc>
          <w:tcPr>
            <w:tcW w:w="2430" w:type="dxa"/>
          </w:tcPr>
          <w:p w14:paraId="24811742" w14:textId="77777777" w:rsidR="008B6EEC"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1.</w:t>
            </w:r>
            <w:r w:rsidR="008B6EEC" w:rsidRPr="003B399E">
              <w:rPr>
                <w:rFonts w:ascii="Times New Roman" w:hAnsi="Times New Roman" w:cs="Times New Roman"/>
                <w:sz w:val="18"/>
                <w:szCs w:val="18"/>
              </w:rPr>
              <w:t>Bacteria;Firmicutes;Bacilli;Bacillales;Staphylococcaceae;Staphylococcus</w:t>
            </w:r>
          </w:p>
          <w:p w14:paraId="0765FBF9"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2.Bacteria;Firmicutes;Bacilli;Bacillales;Staphylococcaceae;Staphylococcaceae_unclassified</w:t>
            </w:r>
          </w:p>
        </w:tc>
        <w:tc>
          <w:tcPr>
            <w:tcW w:w="1530" w:type="dxa"/>
          </w:tcPr>
          <w:p w14:paraId="6E802D63" w14:textId="77777777" w:rsidR="008B6EEC" w:rsidRPr="003B399E" w:rsidRDefault="008B1B7F" w:rsidP="003B399E">
            <w:pPr>
              <w:rPr>
                <w:rFonts w:ascii="Times New Roman" w:hAnsi="Times New Roman" w:cs="Times New Roman"/>
                <w:b/>
                <w:i/>
                <w:sz w:val="18"/>
                <w:szCs w:val="18"/>
              </w:rPr>
            </w:pPr>
            <w:r w:rsidRPr="003B399E">
              <w:rPr>
                <w:rFonts w:ascii="Times New Roman" w:hAnsi="Times New Roman" w:cs="Times New Roman"/>
                <w:b/>
                <w:i/>
                <w:sz w:val="18"/>
                <w:szCs w:val="18"/>
              </w:rPr>
              <w:t>Prevotella</w:t>
            </w:r>
          </w:p>
        </w:tc>
        <w:tc>
          <w:tcPr>
            <w:tcW w:w="2700" w:type="dxa"/>
          </w:tcPr>
          <w:p w14:paraId="465A1611"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1.Bacteria;Bacteroidetes;Bacteroidia;Bacteroidales;Prevotellaceae;Prevotella 2.Bacteria;Bacteroidetes;Bacteroidia;Bacteroidales;Prevotellaceae;Prevotella_2</w:t>
            </w:r>
          </w:p>
          <w:p w14:paraId="090D619F"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3.Bacteria;Bacteroidetes;Bacteroidia;Bacteroidales;Prevotellaceae;Prevotella_6</w:t>
            </w:r>
          </w:p>
          <w:p w14:paraId="6166C343"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4.Bacteria;Bacteroidetes;Bacteroidia;Bacteroidales;Prevotellaceae;Prevotella_7</w:t>
            </w:r>
          </w:p>
          <w:p w14:paraId="3E5DCB83"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5.Bacteria;Bacteroidetes;Bacteroidia;Bacteroidales;Prevotellaceae;Prevotella_9</w:t>
            </w:r>
          </w:p>
          <w:p w14:paraId="2F554931" w14:textId="77777777" w:rsidR="008B6EEC"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7.Bacteria;Bacteroidetes;Bacteroidia;Bacteroidales;Prevotellaceae;Prevotellaceae_unclassified</w:t>
            </w:r>
          </w:p>
        </w:tc>
      </w:tr>
      <w:tr w:rsidR="00100E38" w:rsidRPr="003B399E" w14:paraId="7CC1F959" w14:textId="77777777" w:rsidTr="00100E38">
        <w:tc>
          <w:tcPr>
            <w:tcW w:w="1818" w:type="dxa"/>
          </w:tcPr>
          <w:p w14:paraId="06241FB5"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Pseudomonas</w:t>
            </w:r>
          </w:p>
        </w:tc>
        <w:tc>
          <w:tcPr>
            <w:tcW w:w="2430" w:type="dxa"/>
          </w:tcPr>
          <w:p w14:paraId="32E107D8" w14:textId="77777777" w:rsidR="008B6EEC"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1.</w:t>
            </w:r>
            <w:r w:rsidR="008B6EEC" w:rsidRPr="003B399E">
              <w:rPr>
                <w:rFonts w:ascii="Times New Roman" w:hAnsi="Times New Roman" w:cs="Times New Roman"/>
                <w:sz w:val="18"/>
                <w:szCs w:val="18"/>
              </w:rPr>
              <w:t>Bacteria;Proteobacteria;Gammaproteobacteria;Pseudomonadales;Pseudomonadaceae;Pseudomonas</w:t>
            </w:r>
          </w:p>
          <w:p w14:paraId="7DF6BFEF" w14:textId="77777777" w:rsidR="008B1B7F" w:rsidRPr="003B399E" w:rsidRDefault="008B1B7F" w:rsidP="003B399E">
            <w:pPr>
              <w:rPr>
                <w:rFonts w:ascii="Times New Roman" w:hAnsi="Times New Roman" w:cs="Times New Roman"/>
                <w:sz w:val="18"/>
                <w:szCs w:val="18"/>
              </w:rPr>
            </w:pPr>
            <w:r w:rsidRPr="003B399E">
              <w:rPr>
                <w:rFonts w:ascii="Times New Roman" w:hAnsi="Times New Roman" w:cs="Times New Roman"/>
                <w:sz w:val="18"/>
                <w:szCs w:val="18"/>
              </w:rPr>
              <w:t>2.Bacteria;Proteobacteria;Gammaproteobacteria;Pseudomonadales;Pseudomonadaceae;Pseudomonadaceae_unclassified</w:t>
            </w:r>
          </w:p>
        </w:tc>
        <w:tc>
          <w:tcPr>
            <w:tcW w:w="1530" w:type="dxa"/>
          </w:tcPr>
          <w:p w14:paraId="7E2E2530"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Veillonella</w:t>
            </w:r>
          </w:p>
        </w:tc>
        <w:tc>
          <w:tcPr>
            <w:tcW w:w="2700" w:type="dxa"/>
          </w:tcPr>
          <w:p w14:paraId="4B559BE5" w14:textId="77777777" w:rsidR="00AF0164"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1.Bacteria;Firmicutes;Negativicutes;Selenomonadales;Veillonellaceae;Veillonella</w:t>
            </w:r>
          </w:p>
          <w:p w14:paraId="2E4A8AF7"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2.Bacteria;Firmicutes;Negativicutes;Selenomonadales;Veillonellaceae;Veillonellaceae_unclassified</w:t>
            </w:r>
          </w:p>
        </w:tc>
      </w:tr>
      <w:tr w:rsidR="00100E38" w:rsidRPr="003B399E" w14:paraId="26056624" w14:textId="77777777" w:rsidTr="00100E38">
        <w:tc>
          <w:tcPr>
            <w:tcW w:w="1818" w:type="dxa"/>
          </w:tcPr>
          <w:p w14:paraId="3887C072"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Enterobacteriaceae</w:t>
            </w:r>
          </w:p>
        </w:tc>
        <w:tc>
          <w:tcPr>
            <w:tcW w:w="2430" w:type="dxa"/>
          </w:tcPr>
          <w:p w14:paraId="4AEEABA8"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Bacteria;Proteobacteria;Gammaproteobacteria;Enterobacteriales;Enterobacteriaceae;Enterobacteriaceae_unclassified</w:t>
            </w:r>
          </w:p>
        </w:tc>
        <w:tc>
          <w:tcPr>
            <w:tcW w:w="1530" w:type="dxa"/>
          </w:tcPr>
          <w:p w14:paraId="413C287E"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Gemella</w:t>
            </w:r>
          </w:p>
        </w:tc>
        <w:tc>
          <w:tcPr>
            <w:tcW w:w="2700" w:type="dxa"/>
          </w:tcPr>
          <w:p w14:paraId="3BEA4928"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Bacteria;Firmicutes;Bacilli;Bacillales;Family_XI;Gemella</w:t>
            </w:r>
          </w:p>
        </w:tc>
      </w:tr>
      <w:tr w:rsidR="00100E38" w:rsidRPr="003B399E" w14:paraId="2D33BE02" w14:textId="77777777" w:rsidTr="00100E38">
        <w:tc>
          <w:tcPr>
            <w:tcW w:w="1818" w:type="dxa"/>
          </w:tcPr>
          <w:p w14:paraId="382C280E"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Escherichia</w:t>
            </w:r>
          </w:p>
        </w:tc>
        <w:tc>
          <w:tcPr>
            <w:tcW w:w="2430" w:type="dxa"/>
          </w:tcPr>
          <w:p w14:paraId="110964AD"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Bacteria;Proteobacteria;Gammaproteobacteria;Enterobacteriales;Enterobacteriaceae;Escherichia-Shigella</w:t>
            </w:r>
          </w:p>
        </w:tc>
        <w:tc>
          <w:tcPr>
            <w:tcW w:w="1530" w:type="dxa"/>
          </w:tcPr>
          <w:p w14:paraId="3067EE2E"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Granulicatella</w:t>
            </w:r>
          </w:p>
        </w:tc>
        <w:tc>
          <w:tcPr>
            <w:tcW w:w="2700" w:type="dxa"/>
          </w:tcPr>
          <w:p w14:paraId="1E29306E"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Bacteria;Firmicutes;Bacilli;Lactobacillales;Carnobacteriaceae;Granulicatella</w:t>
            </w:r>
          </w:p>
        </w:tc>
      </w:tr>
      <w:tr w:rsidR="00100E38" w:rsidRPr="003B399E" w14:paraId="50577198" w14:textId="77777777" w:rsidTr="00100E38">
        <w:tc>
          <w:tcPr>
            <w:tcW w:w="1818" w:type="dxa"/>
          </w:tcPr>
          <w:p w14:paraId="350D2898"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Fusobacterium</w:t>
            </w:r>
          </w:p>
        </w:tc>
        <w:tc>
          <w:tcPr>
            <w:tcW w:w="2430" w:type="dxa"/>
          </w:tcPr>
          <w:p w14:paraId="54DB2F33"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Bacteria;Fusobacteria;Fusobacteriia;Fusobacteriales;Fusobacteriaceae;Fusobacterium</w:t>
            </w:r>
          </w:p>
        </w:tc>
        <w:tc>
          <w:tcPr>
            <w:tcW w:w="1530" w:type="dxa"/>
          </w:tcPr>
          <w:p w14:paraId="77AEAB83"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Rothia</w:t>
            </w:r>
          </w:p>
        </w:tc>
        <w:tc>
          <w:tcPr>
            <w:tcW w:w="2700" w:type="dxa"/>
          </w:tcPr>
          <w:p w14:paraId="02F6C7B1"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Bacteria;Actinobacteria;Actinobacteria;Micrococcales;Micrococcaceae;Rothia</w:t>
            </w:r>
          </w:p>
        </w:tc>
      </w:tr>
      <w:tr w:rsidR="00100E38" w:rsidRPr="003B399E" w14:paraId="58674B6F" w14:textId="77777777" w:rsidTr="00100E38">
        <w:tc>
          <w:tcPr>
            <w:tcW w:w="1818" w:type="dxa"/>
          </w:tcPr>
          <w:p w14:paraId="45ADB913"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Haemophilus</w:t>
            </w:r>
          </w:p>
        </w:tc>
        <w:tc>
          <w:tcPr>
            <w:tcW w:w="2430" w:type="dxa"/>
          </w:tcPr>
          <w:p w14:paraId="34A1EB1D"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Bacteria;Proteobacteria;Gammaproteobacteria;Pasteurellales;Pasteurellaceae;Haemophilus</w:t>
            </w:r>
          </w:p>
        </w:tc>
        <w:tc>
          <w:tcPr>
            <w:tcW w:w="1530" w:type="dxa"/>
          </w:tcPr>
          <w:p w14:paraId="42C58FE0"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Neisseria</w:t>
            </w:r>
          </w:p>
        </w:tc>
        <w:tc>
          <w:tcPr>
            <w:tcW w:w="2700" w:type="dxa"/>
          </w:tcPr>
          <w:p w14:paraId="302D6422"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Bacteria;Proteobacteria;Betaproteobacteria;Neisseriales;Neisseriaceae;Neisseria</w:t>
            </w:r>
          </w:p>
        </w:tc>
      </w:tr>
      <w:tr w:rsidR="00100E38" w:rsidRPr="003B399E" w14:paraId="7ECDF78E" w14:textId="77777777" w:rsidTr="00100E38">
        <w:tc>
          <w:tcPr>
            <w:tcW w:w="1818" w:type="dxa"/>
          </w:tcPr>
          <w:p w14:paraId="0DC5CE6C"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Enterococcus</w:t>
            </w:r>
          </w:p>
        </w:tc>
        <w:tc>
          <w:tcPr>
            <w:tcW w:w="2430" w:type="dxa"/>
          </w:tcPr>
          <w:p w14:paraId="788CCAB1"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Bacteria;Firmicutes;Bacilli;Lactobacillales;Enterococcaceae;Enterococcus</w:t>
            </w:r>
          </w:p>
        </w:tc>
        <w:tc>
          <w:tcPr>
            <w:tcW w:w="1530" w:type="dxa"/>
          </w:tcPr>
          <w:p w14:paraId="4C48D0C0" w14:textId="77777777" w:rsidR="008B6EEC" w:rsidRPr="003B399E" w:rsidRDefault="00AF0164" w:rsidP="003B399E">
            <w:pPr>
              <w:rPr>
                <w:rFonts w:ascii="Times New Roman" w:hAnsi="Times New Roman" w:cs="Times New Roman"/>
                <w:b/>
                <w:i/>
                <w:sz w:val="18"/>
                <w:szCs w:val="18"/>
              </w:rPr>
            </w:pPr>
            <w:r w:rsidRPr="003B399E">
              <w:rPr>
                <w:rFonts w:ascii="Times New Roman" w:hAnsi="Times New Roman" w:cs="Times New Roman"/>
                <w:b/>
                <w:i/>
                <w:sz w:val="18"/>
                <w:szCs w:val="18"/>
              </w:rPr>
              <w:t>Streptococcus</w:t>
            </w:r>
          </w:p>
        </w:tc>
        <w:tc>
          <w:tcPr>
            <w:tcW w:w="2700" w:type="dxa"/>
          </w:tcPr>
          <w:p w14:paraId="207D37AF" w14:textId="77777777" w:rsidR="008B6EEC" w:rsidRPr="003B399E" w:rsidRDefault="00AF0164" w:rsidP="003B399E">
            <w:pPr>
              <w:rPr>
                <w:rFonts w:ascii="Times New Roman" w:hAnsi="Times New Roman" w:cs="Times New Roman"/>
                <w:sz w:val="18"/>
                <w:szCs w:val="18"/>
              </w:rPr>
            </w:pPr>
            <w:r w:rsidRPr="003B399E">
              <w:rPr>
                <w:rFonts w:ascii="Times New Roman" w:hAnsi="Times New Roman" w:cs="Times New Roman"/>
                <w:sz w:val="18"/>
                <w:szCs w:val="18"/>
              </w:rPr>
              <w:t>Bacteria;Firmicutes;Bacilli;Lactobacillales;Streptococcaceae;Streptococcus</w:t>
            </w:r>
          </w:p>
        </w:tc>
      </w:tr>
      <w:tr w:rsidR="00100E38" w:rsidRPr="003B399E" w14:paraId="0C37BEE1" w14:textId="77777777" w:rsidTr="00100E38">
        <w:tc>
          <w:tcPr>
            <w:tcW w:w="1818" w:type="dxa"/>
          </w:tcPr>
          <w:p w14:paraId="3E9F11A0" w14:textId="77777777" w:rsidR="008B6EEC" w:rsidRPr="003B399E" w:rsidRDefault="008B6EEC" w:rsidP="003B399E">
            <w:pPr>
              <w:rPr>
                <w:rFonts w:ascii="Times New Roman" w:hAnsi="Times New Roman" w:cs="Times New Roman"/>
                <w:b/>
                <w:i/>
                <w:sz w:val="18"/>
                <w:szCs w:val="18"/>
              </w:rPr>
            </w:pPr>
            <w:r w:rsidRPr="003B399E">
              <w:rPr>
                <w:rFonts w:ascii="Times New Roman" w:hAnsi="Times New Roman" w:cs="Times New Roman"/>
                <w:b/>
                <w:i/>
                <w:sz w:val="18"/>
                <w:szCs w:val="18"/>
              </w:rPr>
              <w:t>Mycoplasma</w:t>
            </w:r>
          </w:p>
        </w:tc>
        <w:tc>
          <w:tcPr>
            <w:tcW w:w="2430" w:type="dxa"/>
          </w:tcPr>
          <w:p w14:paraId="7773F785" w14:textId="77777777" w:rsidR="008B6EEC" w:rsidRPr="003B399E" w:rsidRDefault="008B6EEC" w:rsidP="003B399E">
            <w:pPr>
              <w:rPr>
                <w:rFonts w:ascii="Times New Roman" w:hAnsi="Times New Roman" w:cs="Times New Roman"/>
                <w:sz w:val="18"/>
                <w:szCs w:val="18"/>
              </w:rPr>
            </w:pPr>
            <w:r w:rsidRPr="003B399E">
              <w:rPr>
                <w:rFonts w:ascii="Times New Roman" w:hAnsi="Times New Roman" w:cs="Times New Roman"/>
                <w:sz w:val="18"/>
                <w:szCs w:val="18"/>
              </w:rPr>
              <w:t>Bacteria;Tenericutes;Mollicutes;Mycoplasmatales;Mycoplasmataceae;Mycoplasma</w:t>
            </w:r>
          </w:p>
        </w:tc>
        <w:tc>
          <w:tcPr>
            <w:tcW w:w="1530" w:type="dxa"/>
          </w:tcPr>
          <w:p w14:paraId="36EBA5B3" w14:textId="77777777" w:rsidR="008B6EEC" w:rsidRPr="003B399E" w:rsidRDefault="008B6EEC" w:rsidP="003B399E">
            <w:pPr>
              <w:rPr>
                <w:rFonts w:ascii="Times New Roman" w:hAnsi="Times New Roman" w:cs="Times New Roman"/>
                <w:b/>
                <w:sz w:val="18"/>
                <w:szCs w:val="18"/>
              </w:rPr>
            </w:pPr>
          </w:p>
        </w:tc>
        <w:tc>
          <w:tcPr>
            <w:tcW w:w="2700" w:type="dxa"/>
          </w:tcPr>
          <w:p w14:paraId="09408B96" w14:textId="77777777" w:rsidR="008B6EEC" w:rsidRPr="003B399E" w:rsidRDefault="008B6EEC" w:rsidP="003B399E">
            <w:pPr>
              <w:rPr>
                <w:rFonts w:ascii="Times New Roman" w:hAnsi="Times New Roman" w:cs="Times New Roman"/>
                <w:sz w:val="18"/>
                <w:szCs w:val="18"/>
              </w:rPr>
            </w:pPr>
          </w:p>
        </w:tc>
      </w:tr>
    </w:tbl>
    <w:p w14:paraId="51A278DB" w14:textId="77777777" w:rsidR="009D49B2" w:rsidRPr="003B399E" w:rsidRDefault="00D41253" w:rsidP="003B399E">
      <w:pPr>
        <w:rPr>
          <w:rFonts w:ascii="Times New Roman" w:hAnsi="Times New Roman" w:cs="Times New Roman"/>
        </w:rPr>
      </w:pPr>
      <w:r w:rsidRPr="003B399E">
        <w:rPr>
          <w:rFonts w:ascii="Times New Roman" w:hAnsi="Times New Roman" w:cs="Times New Roman"/>
        </w:rPr>
        <w:br w:type="page"/>
      </w:r>
    </w:p>
    <w:p w14:paraId="61034F76" w14:textId="590903CD" w:rsidR="009D49B2" w:rsidRPr="003B399E" w:rsidRDefault="004A089F" w:rsidP="003B399E">
      <w:pPr>
        <w:jc w:val="both"/>
        <w:rPr>
          <w:rFonts w:ascii="Times New Roman" w:hAnsi="Times New Roman" w:cs="Times New Roman"/>
        </w:rPr>
      </w:pPr>
      <w:r>
        <w:rPr>
          <w:rFonts w:ascii="Times New Roman" w:hAnsi="Times New Roman" w:cs="Times New Roman"/>
          <w:b/>
        </w:rPr>
        <w:t>Supplementary Figure 4</w:t>
      </w:r>
      <w:r w:rsidR="009D49B2" w:rsidRPr="003B399E">
        <w:rPr>
          <w:rFonts w:ascii="Times New Roman" w:hAnsi="Times New Roman" w:cs="Times New Roman"/>
          <w:b/>
        </w:rPr>
        <w:t>. Clustering of lung microbiome samples based on Euclidean distances of taxonomic composition</w:t>
      </w:r>
      <w:r w:rsidR="009D49B2" w:rsidRPr="003B399E">
        <w:rPr>
          <w:rFonts w:ascii="Times New Roman" w:hAnsi="Times New Roman" w:cs="Times New Roman"/>
        </w:rPr>
        <w:t xml:space="preserve">. Six main clusters were identified: </w:t>
      </w:r>
      <w:r w:rsidR="009D49B2" w:rsidRPr="003B399E">
        <w:rPr>
          <w:rFonts w:ascii="Times New Roman" w:hAnsi="Times New Roman" w:cs="Times New Roman"/>
          <w:i/>
        </w:rPr>
        <w:t>Staphylococcus</w:t>
      </w:r>
      <w:r w:rsidR="009D49B2" w:rsidRPr="003B399E">
        <w:rPr>
          <w:rFonts w:ascii="Times New Roman" w:hAnsi="Times New Roman" w:cs="Times New Roman"/>
        </w:rPr>
        <w:t xml:space="preserve">, </w:t>
      </w:r>
      <w:r w:rsidR="009D49B2" w:rsidRPr="003B399E">
        <w:rPr>
          <w:rFonts w:ascii="Times New Roman" w:hAnsi="Times New Roman" w:cs="Times New Roman"/>
          <w:i/>
        </w:rPr>
        <w:t>Streptococcus</w:t>
      </w:r>
      <w:r w:rsidR="009D49B2" w:rsidRPr="003B399E">
        <w:rPr>
          <w:rFonts w:ascii="Times New Roman" w:hAnsi="Times New Roman" w:cs="Times New Roman"/>
        </w:rPr>
        <w:t xml:space="preserve">, </w:t>
      </w:r>
      <w:r w:rsidR="009D49B2" w:rsidRPr="003B399E">
        <w:rPr>
          <w:rFonts w:ascii="Times New Roman" w:hAnsi="Times New Roman" w:cs="Times New Roman"/>
          <w:i/>
        </w:rPr>
        <w:t>Pseudomonas</w:t>
      </w:r>
      <w:r w:rsidR="009D49B2" w:rsidRPr="003B399E">
        <w:rPr>
          <w:rFonts w:ascii="Times New Roman" w:hAnsi="Times New Roman" w:cs="Times New Roman"/>
        </w:rPr>
        <w:t xml:space="preserve">, Enterobacteriaceae, </w:t>
      </w:r>
      <w:r w:rsidR="009D49B2" w:rsidRPr="003B399E">
        <w:rPr>
          <w:rFonts w:ascii="Times New Roman" w:hAnsi="Times New Roman" w:cs="Times New Roman"/>
          <w:i/>
        </w:rPr>
        <w:t>Escherichia</w:t>
      </w:r>
      <w:r w:rsidR="009D49B2" w:rsidRPr="003B399E">
        <w:rPr>
          <w:rFonts w:ascii="Times New Roman" w:hAnsi="Times New Roman" w:cs="Times New Roman"/>
        </w:rPr>
        <w:t xml:space="preserve"> and </w:t>
      </w:r>
      <w:r w:rsidR="009D49B2" w:rsidRPr="003B399E">
        <w:rPr>
          <w:rFonts w:ascii="Times New Roman" w:hAnsi="Times New Roman" w:cs="Times New Roman"/>
          <w:i/>
        </w:rPr>
        <w:t>other</w:t>
      </w:r>
      <w:r w:rsidR="009D49B2" w:rsidRPr="003B399E">
        <w:rPr>
          <w:rFonts w:ascii="Times New Roman" w:hAnsi="Times New Roman" w:cs="Times New Roman"/>
        </w:rPr>
        <w:t xml:space="preserve">. </w:t>
      </w:r>
      <w:r w:rsidR="004C78F5" w:rsidRPr="003B399E">
        <w:rPr>
          <w:rFonts w:ascii="Times New Roman" w:hAnsi="Times New Roman" w:cs="Times New Roman"/>
        </w:rPr>
        <w:t xml:space="preserve">This clustering analysis </w:t>
      </w:r>
      <w:r w:rsidR="001D18C7" w:rsidRPr="003B399E">
        <w:rPr>
          <w:rFonts w:ascii="Times New Roman" w:hAnsi="Times New Roman" w:cs="Times New Roman"/>
        </w:rPr>
        <w:t>(</w:t>
      </w:r>
      <w:r w:rsidR="004C78F5" w:rsidRPr="003B399E">
        <w:rPr>
          <w:rFonts w:ascii="Times New Roman" w:hAnsi="Times New Roman" w:cs="Times New Roman"/>
        </w:rPr>
        <w:t>independent from the literature-based distinction in</w:t>
      </w:r>
      <w:r w:rsidR="001D18C7" w:rsidRPr="003B399E">
        <w:rPr>
          <w:rFonts w:ascii="Times New Roman" w:hAnsi="Times New Roman" w:cs="Times New Roman"/>
        </w:rPr>
        <w:t>to</w:t>
      </w:r>
      <w:r w:rsidR="004C78F5" w:rsidRPr="003B399E">
        <w:rPr>
          <w:rFonts w:ascii="Times New Roman" w:hAnsi="Times New Roman" w:cs="Times New Roman"/>
        </w:rPr>
        <w:t xml:space="preserve"> pathogen</w:t>
      </w:r>
      <w:r w:rsidR="001D18C7" w:rsidRPr="003B399E">
        <w:rPr>
          <w:rFonts w:ascii="Times New Roman" w:hAnsi="Times New Roman" w:cs="Times New Roman"/>
        </w:rPr>
        <w:t>s</w:t>
      </w:r>
      <w:r w:rsidR="004C78F5" w:rsidRPr="003B399E">
        <w:rPr>
          <w:rFonts w:ascii="Times New Roman" w:hAnsi="Times New Roman" w:cs="Times New Roman"/>
        </w:rPr>
        <w:t xml:space="preserve"> vs oral </w:t>
      </w:r>
      <w:r w:rsidR="001D18C7" w:rsidRPr="003B399E">
        <w:rPr>
          <w:rFonts w:ascii="Times New Roman" w:hAnsi="Times New Roman" w:cs="Times New Roman"/>
        </w:rPr>
        <w:t>taxa)</w:t>
      </w:r>
      <w:r w:rsidR="004C78F5" w:rsidRPr="003B399E">
        <w:rPr>
          <w:rFonts w:ascii="Times New Roman" w:hAnsi="Times New Roman" w:cs="Times New Roman"/>
        </w:rPr>
        <w:t xml:space="preserve"> identified 4 major clusters of pathogenic taxa (</w:t>
      </w:r>
      <w:r w:rsidR="004C78F5" w:rsidRPr="003B399E">
        <w:rPr>
          <w:rFonts w:ascii="Times New Roman" w:hAnsi="Times New Roman" w:cs="Times New Roman"/>
          <w:i/>
        </w:rPr>
        <w:t>Staphylococcus</w:t>
      </w:r>
      <w:r w:rsidR="004C78F5" w:rsidRPr="003B399E">
        <w:rPr>
          <w:rFonts w:ascii="Times New Roman" w:hAnsi="Times New Roman" w:cs="Times New Roman"/>
        </w:rPr>
        <w:t xml:space="preserve">, </w:t>
      </w:r>
      <w:r w:rsidR="004C78F5" w:rsidRPr="003B399E">
        <w:rPr>
          <w:rFonts w:ascii="Times New Roman" w:hAnsi="Times New Roman" w:cs="Times New Roman"/>
          <w:i/>
        </w:rPr>
        <w:t>Pseudomonas</w:t>
      </w:r>
      <w:r w:rsidR="004C78F5" w:rsidRPr="003B399E">
        <w:rPr>
          <w:rFonts w:ascii="Times New Roman" w:hAnsi="Times New Roman" w:cs="Times New Roman"/>
        </w:rPr>
        <w:t xml:space="preserve">, Enterobacteriaceae and </w:t>
      </w:r>
      <w:r w:rsidR="004C78F5" w:rsidRPr="003B399E">
        <w:rPr>
          <w:rFonts w:ascii="Times New Roman" w:hAnsi="Times New Roman" w:cs="Times New Roman"/>
          <w:i/>
        </w:rPr>
        <w:t>Escherichia</w:t>
      </w:r>
      <w:r w:rsidR="004C78F5" w:rsidRPr="003B399E">
        <w:rPr>
          <w:rFonts w:ascii="Times New Roman" w:hAnsi="Times New Roman" w:cs="Times New Roman"/>
        </w:rPr>
        <w:t xml:space="preserve">) vs. </w:t>
      </w:r>
      <w:r w:rsidR="004C78F5" w:rsidRPr="003B399E">
        <w:rPr>
          <w:rFonts w:ascii="Times New Roman" w:hAnsi="Times New Roman" w:cs="Times New Roman"/>
          <w:i/>
        </w:rPr>
        <w:t>Steptococcus</w:t>
      </w:r>
      <w:r w:rsidR="004C78F5" w:rsidRPr="003B399E">
        <w:rPr>
          <w:rFonts w:ascii="Times New Roman" w:hAnsi="Times New Roman" w:cs="Times New Roman"/>
        </w:rPr>
        <w:t xml:space="preserve"> and “other” bacteria, which mainly consisted of oral bacteria. </w:t>
      </w:r>
    </w:p>
    <w:p w14:paraId="570C3CE7" w14:textId="77777777" w:rsidR="009D49B2" w:rsidRPr="003B399E" w:rsidRDefault="009D49B2" w:rsidP="003B399E">
      <w:pPr>
        <w:rPr>
          <w:rFonts w:ascii="Times New Roman" w:hAnsi="Times New Roman" w:cs="Times New Roman"/>
        </w:rPr>
      </w:pPr>
      <w:r w:rsidRPr="003B399E">
        <w:rPr>
          <w:rFonts w:ascii="Times New Roman" w:hAnsi="Times New Roman" w:cs="Times New Roman"/>
          <w:noProof/>
        </w:rPr>
        <w:drawing>
          <wp:inline distT="0" distB="0" distL="0" distR="0" wp14:anchorId="0C44AACA" wp14:editId="01AC854F">
            <wp:extent cx="5455118" cy="2463165"/>
            <wp:effectExtent l="25400" t="25400" r="317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sbykelvin.pdf"/>
                    <pic:cNvPicPr/>
                  </pic:nvPicPr>
                  <pic:blipFill>
                    <a:blip r:embed="rId12">
                      <a:extLst>
                        <a:ext uri="{28A0092B-C50C-407E-A947-70E740481C1C}">
                          <a14:useLocalDpi xmlns:a14="http://schemas.microsoft.com/office/drawing/2010/main" val="0"/>
                        </a:ext>
                      </a:extLst>
                    </a:blip>
                    <a:stretch>
                      <a:fillRect/>
                    </a:stretch>
                  </pic:blipFill>
                  <pic:spPr>
                    <a:xfrm>
                      <a:off x="0" y="0"/>
                      <a:ext cx="5455313" cy="2463253"/>
                    </a:xfrm>
                    <a:prstGeom prst="rect">
                      <a:avLst/>
                    </a:prstGeom>
                    <a:ln>
                      <a:solidFill>
                        <a:srgbClr val="4F81BD"/>
                      </a:solidFill>
                    </a:ln>
                  </pic:spPr>
                </pic:pic>
              </a:graphicData>
            </a:graphic>
          </wp:inline>
        </w:drawing>
      </w:r>
    </w:p>
    <w:p w14:paraId="0B895E5C" w14:textId="77777777" w:rsidR="009D49B2" w:rsidRPr="003B399E" w:rsidRDefault="009D49B2" w:rsidP="003B399E">
      <w:pPr>
        <w:rPr>
          <w:rFonts w:ascii="Times New Roman" w:hAnsi="Times New Roman" w:cs="Times New Roman"/>
        </w:rPr>
      </w:pPr>
    </w:p>
    <w:p w14:paraId="0EDFCF44" w14:textId="1840BF39" w:rsidR="00EE17FE" w:rsidRPr="003B399E" w:rsidRDefault="009D49B2" w:rsidP="003B399E">
      <w:pPr>
        <w:rPr>
          <w:rFonts w:ascii="Times New Roman" w:hAnsi="Times New Roman" w:cs="Times New Roman"/>
        </w:rPr>
      </w:pPr>
      <w:r w:rsidRPr="003B399E">
        <w:rPr>
          <w:rFonts w:ascii="Times New Roman" w:hAnsi="Times New Roman" w:cs="Times New Roman"/>
        </w:rPr>
        <w:br w:type="page"/>
      </w:r>
      <w:r w:rsidR="00FD2727" w:rsidRPr="00CE6A82">
        <w:rPr>
          <w:rFonts w:ascii="Times New Roman" w:hAnsi="Times New Roman" w:cs="Times New Roman"/>
          <w:b/>
        </w:rPr>
        <w:t>Supplementary</w:t>
      </w:r>
      <w:r w:rsidR="00FD2727" w:rsidRPr="003B399E">
        <w:rPr>
          <w:rFonts w:ascii="Times New Roman" w:hAnsi="Times New Roman" w:cs="Times New Roman"/>
        </w:rPr>
        <w:t xml:space="preserve"> </w:t>
      </w:r>
      <w:r w:rsidR="00EE17FE" w:rsidRPr="003B399E">
        <w:rPr>
          <w:rFonts w:ascii="Times New Roman" w:hAnsi="Times New Roman" w:cs="Times New Roman"/>
          <w:b/>
        </w:rPr>
        <w:t xml:space="preserve">Figure </w:t>
      </w:r>
      <w:r w:rsidR="004A089F">
        <w:rPr>
          <w:rFonts w:ascii="Times New Roman" w:hAnsi="Times New Roman" w:cs="Times New Roman"/>
          <w:b/>
        </w:rPr>
        <w:t>5</w:t>
      </w:r>
      <w:r w:rsidR="00255FD5" w:rsidRPr="003B399E">
        <w:rPr>
          <w:rFonts w:ascii="Times New Roman" w:hAnsi="Times New Roman" w:cs="Times New Roman"/>
          <w:b/>
        </w:rPr>
        <w:t>.</w:t>
      </w:r>
      <w:r w:rsidR="00EE17FE" w:rsidRPr="003B399E">
        <w:rPr>
          <w:rFonts w:ascii="Times New Roman" w:hAnsi="Times New Roman" w:cs="Times New Roman"/>
          <w:b/>
        </w:rPr>
        <w:t xml:space="preserve"> Distribution of </w:t>
      </w:r>
      <w:r w:rsidR="00117CE5" w:rsidRPr="003B399E">
        <w:rPr>
          <w:rFonts w:ascii="Times New Roman" w:hAnsi="Times New Roman" w:cs="Times New Roman"/>
          <w:b/>
        </w:rPr>
        <w:t xml:space="preserve">relative abundance for </w:t>
      </w:r>
      <w:r w:rsidR="00EE17FE" w:rsidRPr="003B399E">
        <w:rPr>
          <w:rFonts w:ascii="Times New Roman" w:hAnsi="Times New Roman" w:cs="Times New Roman"/>
          <w:b/>
        </w:rPr>
        <w:t xml:space="preserve">pathogen </w:t>
      </w:r>
      <w:r w:rsidR="005B6489" w:rsidRPr="003B399E">
        <w:rPr>
          <w:rFonts w:ascii="Times New Roman" w:hAnsi="Times New Roman" w:cs="Times New Roman"/>
          <w:b/>
        </w:rPr>
        <w:t xml:space="preserve">(A) </w:t>
      </w:r>
      <w:r w:rsidR="00EE17FE" w:rsidRPr="003B399E">
        <w:rPr>
          <w:rFonts w:ascii="Times New Roman" w:hAnsi="Times New Roman" w:cs="Times New Roman"/>
          <w:b/>
        </w:rPr>
        <w:t xml:space="preserve">and oral taxa </w:t>
      </w:r>
      <w:r w:rsidR="005B6489" w:rsidRPr="003B399E">
        <w:rPr>
          <w:rFonts w:ascii="Times New Roman" w:hAnsi="Times New Roman" w:cs="Times New Roman"/>
          <w:b/>
        </w:rPr>
        <w:t xml:space="preserve">(B) </w:t>
      </w:r>
      <w:r w:rsidR="00EE17FE" w:rsidRPr="003B399E">
        <w:rPr>
          <w:rFonts w:ascii="Times New Roman" w:hAnsi="Times New Roman" w:cs="Times New Roman"/>
          <w:b/>
        </w:rPr>
        <w:t>in respiratory specimen culture positive and negative samples</w:t>
      </w:r>
      <w:r w:rsidR="00EE17FE" w:rsidRPr="003B399E">
        <w:rPr>
          <w:rFonts w:ascii="Times New Roman" w:hAnsi="Times New Roman" w:cs="Times New Roman"/>
        </w:rPr>
        <w:t xml:space="preserve">. Culture-positive samples demonstrated a threshold of &gt;50% relative pathogen abundance </w:t>
      </w:r>
      <w:r w:rsidR="00117CE5" w:rsidRPr="003B399E">
        <w:rPr>
          <w:rFonts w:ascii="Times New Roman" w:hAnsi="Times New Roman" w:cs="Times New Roman"/>
        </w:rPr>
        <w:t xml:space="preserve">(A) </w:t>
      </w:r>
      <w:r w:rsidR="00EE17FE" w:rsidRPr="003B399E">
        <w:rPr>
          <w:rFonts w:ascii="Times New Roman" w:hAnsi="Times New Roman" w:cs="Times New Roman"/>
        </w:rPr>
        <w:t>and all had &lt;50% oral taxa abundance</w:t>
      </w:r>
      <w:r w:rsidR="00117CE5" w:rsidRPr="003B399E">
        <w:rPr>
          <w:rFonts w:ascii="Times New Roman" w:hAnsi="Times New Roman" w:cs="Times New Roman"/>
        </w:rPr>
        <w:t xml:space="preserve"> (B)</w:t>
      </w:r>
      <w:r w:rsidR="00F554B3" w:rsidRPr="003B399E">
        <w:rPr>
          <w:rFonts w:ascii="Times New Roman" w:hAnsi="Times New Roman" w:cs="Times New Roman"/>
        </w:rPr>
        <w:t xml:space="preserve">. </w:t>
      </w:r>
      <w:r w:rsidR="007F2528" w:rsidRPr="003B399E">
        <w:rPr>
          <w:rFonts w:ascii="Times New Roman" w:hAnsi="Times New Roman" w:cs="Times New Roman"/>
        </w:rPr>
        <w:t xml:space="preserve">Based on these distributions, a threshold of 50% relative pathogen abundance was chosen for assessment of the diagnostic accuracy of sequencing for culture-positivity. </w:t>
      </w:r>
    </w:p>
    <w:p w14:paraId="3B1F2710" w14:textId="77777777" w:rsidR="001D5C86" w:rsidRPr="003B399E" w:rsidRDefault="001D5C86" w:rsidP="003B399E">
      <w:pPr>
        <w:rPr>
          <w:rFonts w:ascii="Times New Roman" w:hAnsi="Times New Roman" w:cs="Times New Roman"/>
        </w:rPr>
      </w:pPr>
      <w:r w:rsidRPr="003B399E">
        <w:rPr>
          <w:rFonts w:ascii="Times New Roman" w:hAnsi="Times New Roman" w:cs="Times New Roman"/>
          <w:noProof/>
        </w:rPr>
        <w:drawing>
          <wp:inline distT="0" distB="0" distL="0" distR="0" wp14:anchorId="7B09C119" wp14:editId="4041CD86">
            <wp:extent cx="3491623" cy="4215377"/>
            <wp:effectExtent l="0" t="0" r="0" b="1270"/>
            <wp:docPr id="4" name="Picture 4" descr="Macintosh HD:Users:gkmd:Desktop:Google Drive:Microbiome:ICU ARDS mbiome:data:pna_dx_analysis_10.17:pna_dx_graphs:contpathogen_oral_balposne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kmd:Desktop:Google Drive:Microbiome:ICU ARDS mbiome:data:pna_dx_analysis_10.17:pna_dx_graphs:contpathogen_oral_balposneg.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2351" cy="4216256"/>
                    </a:xfrm>
                    <a:prstGeom prst="rect">
                      <a:avLst/>
                    </a:prstGeom>
                    <a:noFill/>
                    <a:ln>
                      <a:noFill/>
                    </a:ln>
                  </pic:spPr>
                </pic:pic>
              </a:graphicData>
            </a:graphic>
          </wp:inline>
        </w:drawing>
      </w:r>
    </w:p>
    <w:p w14:paraId="241BE115" w14:textId="73489897" w:rsidR="00694081" w:rsidRPr="003B399E" w:rsidRDefault="001D18C7" w:rsidP="00A40E06">
      <w:pPr>
        <w:rPr>
          <w:rFonts w:ascii="Times New Roman" w:hAnsi="Times New Roman" w:cs="Times New Roman"/>
        </w:rPr>
      </w:pPr>
      <w:r w:rsidRPr="003B399E">
        <w:rPr>
          <w:rFonts w:ascii="Times New Roman" w:hAnsi="Times New Roman" w:cs="Times New Roman"/>
        </w:rPr>
        <w:br w:type="page"/>
      </w:r>
      <w:r w:rsidR="00033E68" w:rsidRPr="003B399E">
        <w:rPr>
          <w:rFonts w:ascii="Times New Roman" w:hAnsi="Times New Roman" w:cs="Times New Roman"/>
          <w:b/>
        </w:rPr>
        <w:t xml:space="preserve">Supplementary </w:t>
      </w:r>
      <w:r w:rsidR="00EC243A" w:rsidRPr="003B399E">
        <w:rPr>
          <w:rFonts w:ascii="Times New Roman" w:hAnsi="Times New Roman" w:cs="Times New Roman"/>
          <w:b/>
        </w:rPr>
        <w:t xml:space="preserve">Figure </w:t>
      </w:r>
      <w:r w:rsidR="00033E68" w:rsidRPr="003B399E">
        <w:rPr>
          <w:rFonts w:ascii="Times New Roman" w:hAnsi="Times New Roman" w:cs="Times New Roman"/>
          <w:b/>
        </w:rPr>
        <w:t>6</w:t>
      </w:r>
      <w:r w:rsidR="00255FD5" w:rsidRPr="003B399E">
        <w:rPr>
          <w:rFonts w:ascii="Times New Roman" w:hAnsi="Times New Roman" w:cs="Times New Roman"/>
          <w:b/>
        </w:rPr>
        <w:t>.</w:t>
      </w:r>
      <w:r w:rsidR="00F271C4" w:rsidRPr="003B399E">
        <w:rPr>
          <w:rFonts w:ascii="Times New Roman" w:hAnsi="Times New Roman" w:cs="Times New Roman"/>
          <w:b/>
        </w:rPr>
        <w:t xml:space="preserve"> Taxonomic composition of </w:t>
      </w:r>
      <w:r w:rsidRPr="003B399E">
        <w:rPr>
          <w:rFonts w:ascii="Times New Roman" w:hAnsi="Times New Roman" w:cs="Times New Roman"/>
          <w:b/>
        </w:rPr>
        <w:t xml:space="preserve">(matched by patient) </w:t>
      </w:r>
      <w:r w:rsidR="00F271C4" w:rsidRPr="003B399E">
        <w:rPr>
          <w:rFonts w:ascii="Times New Roman" w:hAnsi="Times New Roman" w:cs="Times New Roman"/>
          <w:b/>
        </w:rPr>
        <w:t xml:space="preserve">oral and lung </w:t>
      </w:r>
      <w:r w:rsidRPr="003B399E">
        <w:rPr>
          <w:rFonts w:ascii="Times New Roman" w:hAnsi="Times New Roman" w:cs="Times New Roman"/>
          <w:b/>
        </w:rPr>
        <w:t>communities in cases of pathogen dominance in the lung communities</w:t>
      </w:r>
      <w:r w:rsidRPr="003B399E">
        <w:rPr>
          <w:rFonts w:ascii="Times New Roman" w:hAnsi="Times New Roman" w:cs="Times New Roman"/>
        </w:rPr>
        <w:t xml:space="preserve">. In 7/19 samples (36%) the oral community was also dominated by the same pathogenic taxa as the ones observed in the lung community (highlighted by asterisk). In one case, we were unable to obtain an oral swab (indicated with the minus sign). </w:t>
      </w:r>
    </w:p>
    <w:p w14:paraId="038EF23E" w14:textId="354A9446" w:rsidR="00694081" w:rsidRPr="003B399E" w:rsidRDefault="005E3AF4" w:rsidP="003B399E">
      <w:pPr>
        <w:rPr>
          <w:rFonts w:ascii="Times New Roman" w:hAnsi="Times New Roman" w:cs="Times New Roman"/>
        </w:rPr>
      </w:pPr>
      <w:r w:rsidRPr="003B399E">
        <w:rPr>
          <w:rFonts w:ascii="Times New Roman" w:hAnsi="Times New Roman" w:cs="Times New Roman"/>
          <w:noProof/>
        </w:rPr>
        <w:drawing>
          <wp:inline distT="0" distB="0" distL="0" distR="0" wp14:anchorId="308D8E35" wp14:editId="6EE63B7D">
            <wp:extent cx="5455118" cy="3095021"/>
            <wp:effectExtent l="25400" t="25400" r="31750" b="29210"/>
            <wp:docPr id="12" name="Picture 12" descr="Macintosh HD:Users:gkmd:Desktop:Google Drive:Microbiome:ICU ARDS mbiome:data:pna_dx_analysis_10.17:pna_dx_graphs:orallung_pathogendo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kmd:Desktop:Google Drive:Microbiome:ICU ARDS mbiome:data:pna_dx_analysis_10.17:pna_dx_graphs:orallung_pathogendo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13" cy="3095812"/>
                    </a:xfrm>
                    <a:prstGeom prst="rect">
                      <a:avLst/>
                    </a:prstGeom>
                    <a:noFill/>
                    <a:ln>
                      <a:solidFill>
                        <a:srgbClr val="4F81BD"/>
                      </a:solidFill>
                    </a:ln>
                  </pic:spPr>
                </pic:pic>
              </a:graphicData>
            </a:graphic>
          </wp:inline>
        </w:drawing>
      </w:r>
      <w:r w:rsidR="00694081" w:rsidRPr="003B399E">
        <w:rPr>
          <w:rFonts w:ascii="Times New Roman" w:hAnsi="Times New Roman" w:cs="Times New Roman"/>
        </w:rPr>
        <w:br w:type="page"/>
      </w:r>
    </w:p>
    <w:p w14:paraId="30172E4C" w14:textId="49FE8FBD" w:rsidR="00394E55" w:rsidRDefault="00583343" w:rsidP="003B399E">
      <w:pPr>
        <w:rPr>
          <w:rFonts w:ascii="Times New Roman" w:hAnsi="Times New Roman" w:cs="Times New Roman"/>
          <w:b/>
        </w:rPr>
      </w:pPr>
      <w:r w:rsidRPr="00D3062F">
        <w:rPr>
          <w:rFonts w:ascii="Times New Roman" w:hAnsi="Times New Roman" w:cs="Times New Roman"/>
          <w:b/>
        </w:rPr>
        <w:t xml:space="preserve">R </w:t>
      </w:r>
      <w:r w:rsidR="006B24A5" w:rsidRPr="00D3062F">
        <w:rPr>
          <w:rFonts w:ascii="Times New Roman" w:hAnsi="Times New Roman" w:cs="Times New Roman"/>
          <w:b/>
        </w:rPr>
        <w:t xml:space="preserve">Code </w:t>
      </w:r>
      <w:r w:rsidRPr="00D3062F">
        <w:rPr>
          <w:rFonts w:ascii="Times New Roman" w:hAnsi="Times New Roman" w:cs="Times New Roman"/>
          <w:b/>
        </w:rPr>
        <w:t xml:space="preserve">used </w:t>
      </w:r>
      <w:r w:rsidR="006B24A5" w:rsidRPr="00D3062F">
        <w:rPr>
          <w:rFonts w:ascii="Times New Roman" w:hAnsi="Times New Roman" w:cs="Times New Roman"/>
          <w:b/>
        </w:rPr>
        <w:t>for analyses:</w:t>
      </w:r>
    </w:p>
    <w:p w14:paraId="6E320863" w14:textId="77777777" w:rsidR="007E4776" w:rsidRDefault="007E4776" w:rsidP="003B399E">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8856"/>
      </w:tblGrid>
      <w:tr w:rsidR="007E4776" w14:paraId="3D9B8F07" w14:textId="77777777" w:rsidTr="007E4776">
        <w:tc>
          <w:tcPr>
            <w:tcW w:w="8856" w:type="dxa"/>
          </w:tcPr>
          <w:p w14:paraId="0C8C809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w:t>
            </w:r>
          </w:p>
          <w:p w14:paraId="052DD92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title: "RespMicroProfiles_PNADX_FIM2018"</w:t>
            </w:r>
          </w:p>
          <w:p w14:paraId="4AEF8A4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author: "Georgios Kitsios"</w:t>
            </w:r>
          </w:p>
          <w:p w14:paraId="62987D9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date: "6/22/2018"</w:t>
            </w:r>
          </w:p>
          <w:p w14:paraId="0F17D63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output: html_document</w:t>
            </w:r>
          </w:p>
          <w:p w14:paraId="2082B2B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w:t>
            </w:r>
          </w:p>
          <w:p w14:paraId="510EADB5" w14:textId="77777777" w:rsidR="007E4776" w:rsidRPr="007E4776" w:rsidRDefault="007E4776" w:rsidP="007E4776">
            <w:pPr>
              <w:rPr>
                <w:rFonts w:ascii="Times New Roman" w:hAnsi="Times New Roman" w:cs="Times New Roman"/>
                <w:sz w:val="16"/>
                <w:szCs w:val="16"/>
              </w:rPr>
            </w:pPr>
          </w:p>
          <w:p w14:paraId="3B2ADE6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 code for statistical and ecological analyses for the manuscript:</w:t>
            </w:r>
          </w:p>
          <w:p w14:paraId="76A40E7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"Respiratory microbiome profiling for etiologic diagnosis of pneumonia in mechanically ventilated patients."</w:t>
            </w:r>
          </w:p>
          <w:p w14:paraId="0ECB78F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Author: Georgios D. Kitsios, MD, PhD</w:t>
            </w:r>
          </w:p>
          <w:p w14:paraId="2EEB98AF" w14:textId="77777777" w:rsidR="007E4776" w:rsidRPr="007E4776" w:rsidRDefault="007E4776" w:rsidP="007E4776">
            <w:pPr>
              <w:rPr>
                <w:rFonts w:ascii="Times New Roman" w:hAnsi="Times New Roman" w:cs="Times New Roman"/>
                <w:sz w:val="16"/>
                <w:szCs w:val="16"/>
              </w:rPr>
            </w:pPr>
          </w:p>
          <w:p w14:paraId="1F4D30F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load important libraries</w:t>
            </w:r>
          </w:p>
          <w:p w14:paraId="6F5C40D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library(dplyr)</w:t>
            </w:r>
          </w:p>
          <w:p w14:paraId="413001B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library(readxl)</w:t>
            </w:r>
          </w:p>
          <w:p w14:paraId="69BDED1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library(plyr)</w:t>
            </w:r>
          </w:p>
          <w:p w14:paraId="363D8CF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library(ggplot2)</w:t>
            </w:r>
          </w:p>
          <w:p w14:paraId="72565C2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library(psych)</w:t>
            </w:r>
          </w:p>
          <w:p w14:paraId="761A8F1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library(xlsx)</w:t>
            </w:r>
          </w:p>
          <w:p w14:paraId="73EFA13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library(lubridate)</w:t>
            </w:r>
          </w:p>
          <w:p w14:paraId="4B09C38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library(stargazer)</w:t>
            </w:r>
          </w:p>
          <w:p w14:paraId="509F038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library(reshape2)</w:t>
            </w:r>
          </w:p>
          <w:p w14:paraId="7F5865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library(ggbeeswarm)</w:t>
            </w:r>
          </w:p>
          <w:p w14:paraId="7D4A50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library(epitools)</w:t>
            </w:r>
          </w:p>
          <w:p w14:paraId="2709672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library(vegan)</w:t>
            </w:r>
          </w:p>
          <w:p w14:paraId="2EC788C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library(tidyr)</w:t>
            </w:r>
          </w:p>
          <w:p w14:paraId="37D62D6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library(gdata)</w:t>
            </w:r>
          </w:p>
          <w:p w14:paraId="2E999C38" w14:textId="77777777" w:rsidR="007E4776" w:rsidRPr="007E4776" w:rsidRDefault="007E4776" w:rsidP="007E4776">
            <w:pPr>
              <w:rPr>
                <w:rFonts w:ascii="Times New Roman" w:hAnsi="Times New Roman" w:cs="Times New Roman"/>
                <w:sz w:val="16"/>
                <w:szCs w:val="16"/>
              </w:rPr>
            </w:pPr>
          </w:p>
          <w:p w14:paraId="560AE03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Metadata dataframe of baseline data for all 56 subjects included: "pnadx_meta"</w:t>
            </w:r>
          </w:p>
          <w:p w14:paraId="7A488FF1" w14:textId="77777777" w:rsidR="007E4776" w:rsidRPr="007E4776" w:rsidRDefault="007E4776" w:rsidP="007E4776">
            <w:pPr>
              <w:rPr>
                <w:rFonts w:ascii="Times New Roman" w:hAnsi="Times New Roman" w:cs="Times New Roman"/>
                <w:sz w:val="16"/>
                <w:szCs w:val="16"/>
              </w:rPr>
            </w:pPr>
          </w:p>
          <w:p w14:paraId="4CC71B5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filter dataframe for lung samples only to allow for descriptive stats calculations</w:t>
            </w:r>
          </w:p>
          <w:p w14:paraId="0D6FDB8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 &lt;- filter(pnadx_meta, sampletype=="tracheal")</w:t>
            </w:r>
          </w:p>
          <w:p w14:paraId="174683FF" w14:textId="77777777" w:rsidR="007E4776" w:rsidRPr="007E4776" w:rsidRDefault="007E4776" w:rsidP="007E4776">
            <w:pPr>
              <w:rPr>
                <w:rFonts w:ascii="Times New Roman" w:hAnsi="Times New Roman" w:cs="Times New Roman"/>
                <w:sz w:val="16"/>
                <w:szCs w:val="16"/>
              </w:rPr>
            </w:pPr>
          </w:p>
          <w:p w14:paraId="074283F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Obtain descriptive statistics for respiratory culture positive (balposbasl==1) and negative (balposbasl==0) patients. </w:t>
            </w:r>
          </w:p>
          <w:p w14:paraId="1DCD424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Use the library stargazer to automate calculations and output</w:t>
            </w:r>
          </w:p>
          <w:p w14:paraId="66750D7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stargazer(pnadx_meta_lung, type = "html", median = TRUE, iqr = TRUE, out = "...~USERDEFINED...")</w:t>
            </w:r>
          </w:p>
          <w:p w14:paraId="339350DF" w14:textId="77777777" w:rsidR="007E4776" w:rsidRPr="007E4776" w:rsidRDefault="007E4776" w:rsidP="007E4776">
            <w:pPr>
              <w:rPr>
                <w:rFonts w:ascii="Times New Roman" w:hAnsi="Times New Roman" w:cs="Times New Roman"/>
                <w:sz w:val="16"/>
                <w:szCs w:val="16"/>
              </w:rPr>
            </w:pPr>
          </w:p>
          <w:p w14:paraId="35925A6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a table that has all variables and then stratify tables by balposbasl vs not</w:t>
            </w:r>
          </w:p>
          <w:p w14:paraId="4AA2B74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all - continuous variables</w:t>
            </w:r>
          </w:p>
          <w:p w14:paraId="5F5EB9F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stargazer(subset(pnadx_meta_lung[c("Age", "BMI", "ICUstayduration",  "VFD", "SOFAScore", "lips_score", "HR", "SBP", "Temperature", "LowestMAP",   "PHa", "WBC", "Platelets", "Creatinine", "CO2", "WorstPFRatio", "TotalRR", "PEEP", "PeakInspiratory", "PlateauPressure", "TVmlperkg")]), type = "text", nobs=TRUE, mean.sd = TRUE, min.max = FALSE, median = TRUE, iqr = TRUE, title = "Descriptive statistics all", digits = 1, out = "...~USERDEFINED..."")</w:t>
            </w:r>
          </w:p>
          <w:p w14:paraId="501062DD" w14:textId="77777777" w:rsidR="007E4776" w:rsidRPr="007E4776" w:rsidRDefault="007E4776" w:rsidP="007E4776">
            <w:pPr>
              <w:rPr>
                <w:rFonts w:ascii="Times New Roman" w:hAnsi="Times New Roman" w:cs="Times New Roman"/>
                <w:sz w:val="16"/>
                <w:szCs w:val="16"/>
              </w:rPr>
            </w:pPr>
          </w:p>
          <w:p w14:paraId="1FAD8BF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all - categorical variable</w:t>
            </w:r>
          </w:p>
          <w:p w14:paraId="5FDFF1E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stargazer(subset(pnadx_meta_lung[c("Gender", "HistDiabetes", "HistCOPD", "HistImmunosuppression", "HistCCF", "HistCRF", "IsActiveNeoplasm", "lips_pneumonia", "lips_sepsis", "lips_shock", "lips_aspiration",  "Mortality30Day", "Mortality90Day", "AKIFirstWeek")]), type = "text", nobs=TRUE, mean.sd = TRUE, min.max = FALSE,  title = "Descriptive statistics all categorical", digits = 2, out = "...~USERDEFINED..."")</w:t>
            </w:r>
          </w:p>
          <w:p w14:paraId="2D4FFCF7" w14:textId="77777777" w:rsidR="007E4776" w:rsidRPr="007E4776" w:rsidRDefault="007E4776" w:rsidP="007E4776">
            <w:pPr>
              <w:rPr>
                <w:rFonts w:ascii="Times New Roman" w:hAnsi="Times New Roman" w:cs="Times New Roman"/>
                <w:sz w:val="16"/>
                <w:szCs w:val="16"/>
              </w:rPr>
            </w:pPr>
          </w:p>
          <w:p w14:paraId="70A8659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balposbasl - continuous variables</w:t>
            </w:r>
          </w:p>
          <w:p w14:paraId="074E7E9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stargazer(subset(pnadx_meta_lung[c("Age", "BMI", "ICUstayduration",  "VFD", "SOFAScore", "lips_score", "HR", "SBP", "Temperature", "LowestMAP",   "PHa", "WBC", "Platelets", "Creatinine", "CO2", "WorstPFRatio", "TotalRR", "PEEP", "PeakInspiratory", "PlateauPressure", "TVmlperkg")], pnadx_meta_lung$balposbasl=="1"), type = "text", nobs=TRUE, mean.sd = TRUE, min.max = FALSE, median = TRUE, iqr = TRUE, title = "Descriptive statistics balpos", digits = 1, out = "...~USERDEFINED..."")</w:t>
            </w:r>
          </w:p>
          <w:p w14:paraId="695A4E60" w14:textId="77777777" w:rsidR="007E4776" w:rsidRPr="007E4776" w:rsidRDefault="007E4776" w:rsidP="007E4776">
            <w:pPr>
              <w:rPr>
                <w:rFonts w:ascii="Times New Roman" w:hAnsi="Times New Roman" w:cs="Times New Roman"/>
                <w:sz w:val="16"/>
                <w:szCs w:val="16"/>
              </w:rPr>
            </w:pPr>
          </w:p>
          <w:p w14:paraId="487DA09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balneg - continuous</w:t>
            </w:r>
          </w:p>
          <w:p w14:paraId="1686103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stargazer(subset(pnadx_meta_lung[c("Age", "BMI", "ICUstayduration",  "VFD", "SOFAScore", "lips_score", "HR", "SBP", "Temperature", "LowestMAP",   "PHa", "WBC", "Platelets", "Creatinine", "CO2", "WorstPFRatio", "TotalRR", "PEEP", "PeakInspiratory", "PlateauPressure", "TVmlperkg")], pnadx_meta_lung$balposbasl=="0"), type = "text", nobs=TRUE, mean.sd = TRUE, min.max = FALSE, median = TRUE, iqr = TRUE, title = "Descriptive statistics balpos", digits = 1, out = "...~USERDEFINED..."")</w:t>
            </w:r>
          </w:p>
          <w:p w14:paraId="30295F55" w14:textId="77777777" w:rsidR="007E4776" w:rsidRPr="007E4776" w:rsidRDefault="007E4776" w:rsidP="007E4776">
            <w:pPr>
              <w:rPr>
                <w:rFonts w:ascii="Times New Roman" w:hAnsi="Times New Roman" w:cs="Times New Roman"/>
                <w:sz w:val="16"/>
                <w:szCs w:val="16"/>
              </w:rPr>
            </w:pPr>
          </w:p>
          <w:p w14:paraId="3E3B06B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Next, do wilcoxon tests for continuous and fisher tests for categoricals variables to report p-values in table for # balpos vs negative </w:t>
            </w:r>
          </w:p>
          <w:p w14:paraId="797C5A5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balpos vs negative  </w:t>
            </w:r>
          </w:p>
          <w:p w14:paraId="32A3861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wilcox nonparametric</w:t>
            </w:r>
          </w:p>
          <w:p w14:paraId="465CE8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pcontbalposvsnot_wilcox&lt;-sapply(pnadx_meta_lung[,c("Age", "BMI", "ICUstayduration",  "VFD", "SOFAScore", "lips_score", "HR", "SBP", "Temperature", "LowestMAP",   "PHa", "WBC", "Platelets", "Creatinine", "CO2", "WorstPFRatio", "TotalRR", "PEEP", "PeakInspiratory", "PlateauPressure", "TVmlperkg")], function(i) wilcox.test(i ~ pnadx_meta_lung$balposbasl)$p.value)</w:t>
            </w:r>
          </w:p>
          <w:p w14:paraId="755A860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pcontbalposvsnot_wilcox&lt;-data.frame(pcontbalposvsnot_wilcox)</w:t>
            </w:r>
          </w:p>
          <w:p w14:paraId="2CD5EC01" w14:textId="77777777" w:rsidR="007E4776" w:rsidRPr="007E4776" w:rsidRDefault="007E4776" w:rsidP="007E4776">
            <w:pPr>
              <w:rPr>
                <w:rFonts w:ascii="Times New Roman" w:hAnsi="Times New Roman" w:cs="Times New Roman"/>
                <w:sz w:val="16"/>
                <w:szCs w:val="16"/>
              </w:rPr>
            </w:pPr>
          </w:p>
          <w:p w14:paraId="25CBB44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balpos vs negative  categorical - FIsher test</w:t>
            </w:r>
          </w:p>
          <w:p w14:paraId="12CF364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pcatbalposvsnot &lt;-sapply(pnadx_meta_lung[,c("Gender", "HistDiabetes", "HistCOPD", "HistImmunosuppression", "HistCCF", "HistCRF", "IsActiveNeoplasm", "lips_pneumonia", "lips_sepsis", "lips_shock", "lips_aspiration",  "Mortality30Day", "Mortality90Day", "AKIFirstWeek")], function(i) fisher.test(i, pnadx_meta_lung$balposbasl)$p.value)</w:t>
            </w:r>
          </w:p>
          <w:p w14:paraId="3261DD4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pcatbalposvsnot&lt;-data.frame(pcatbalposvsnot)</w:t>
            </w:r>
          </w:p>
          <w:p w14:paraId="6F73531F" w14:textId="77777777" w:rsidR="007E4776" w:rsidRPr="007E4776" w:rsidRDefault="007E4776" w:rsidP="007E4776">
            <w:pPr>
              <w:rPr>
                <w:rFonts w:ascii="Times New Roman" w:hAnsi="Times New Roman" w:cs="Times New Roman"/>
                <w:sz w:val="16"/>
                <w:szCs w:val="16"/>
              </w:rPr>
            </w:pPr>
          </w:p>
          <w:p w14:paraId="3648B40A" w14:textId="77777777" w:rsidR="007E4776" w:rsidRPr="007E4776" w:rsidRDefault="007E4776" w:rsidP="007E4776">
            <w:pPr>
              <w:rPr>
                <w:rFonts w:ascii="Times New Roman" w:hAnsi="Times New Roman" w:cs="Times New Roman"/>
                <w:sz w:val="16"/>
                <w:szCs w:val="16"/>
              </w:rPr>
            </w:pPr>
          </w:p>
          <w:p w14:paraId="1E2FAD2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ECOLOGICAL ANALYSES</w:t>
            </w:r>
          </w:p>
          <w:p w14:paraId="2611F8D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Perform basic ecological analyses from taxonomic frequencies at the genus level</w:t>
            </w:r>
          </w:p>
          <w:p w14:paraId="1A8379B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File with taxonomic and metadata: "pnadx_biom"</w:t>
            </w:r>
          </w:p>
          <w:p w14:paraId="40E12AC3" w14:textId="77777777" w:rsidR="007E4776" w:rsidRPr="007E4776" w:rsidRDefault="007E4776" w:rsidP="007E4776">
            <w:pPr>
              <w:rPr>
                <w:rFonts w:ascii="Times New Roman" w:hAnsi="Times New Roman" w:cs="Times New Roman"/>
                <w:sz w:val="16"/>
                <w:szCs w:val="16"/>
              </w:rPr>
            </w:pPr>
          </w:p>
          <w:p w14:paraId="1932470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define pathogen and oral bacteria variables from cx pos and cx neg distributions of taxa as explained in the manuscript (based on culture positivity and known composition of the supraglottic pneumotype of the healthy lung microbiome)</w:t>
            </w:r>
          </w:p>
          <w:p w14:paraId="38DC406C" w14:textId="77777777" w:rsidR="007E4776" w:rsidRPr="007E4776" w:rsidRDefault="007E4776" w:rsidP="007E4776">
            <w:pPr>
              <w:rPr>
                <w:rFonts w:ascii="Times New Roman" w:hAnsi="Times New Roman" w:cs="Times New Roman"/>
                <w:sz w:val="16"/>
                <w:szCs w:val="16"/>
              </w:rPr>
            </w:pPr>
          </w:p>
          <w:p w14:paraId="74A0376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pathogens</w:t>
            </w:r>
          </w:p>
          <w:p w14:paraId="4179CE1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staph</w:t>
            </w:r>
          </w:p>
          <w:p w14:paraId="78E455B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pnadx_biom$staph &lt;- pnadx_biom$`Bacteria;Firmicutes;Bacilli;Bacillales;Staphylococcaceae;Staphylococcus` + pnadx_biom$`Bacteria;Firmicutes;Bacilli;Bacillales;Staphylococcaceae;Staphylococcaceae_unclassified`</w:t>
            </w:r>
          </w:p>
          <w:p w14:paraId="6ABA50D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pseudomonas</w:t>
            </w:r>
          </w:p>
          <w:p w14:paraId="08BCE51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pnadx_biom$pseudomonas &lt;- pnadx_biom$`Bacteria;Proteobacteria;Gammaproteobacteria;Pseudomonadales;Pseudomonadaceae;Pseudomonas` + pnadx_biom$`Bacteria;Proteobacteria;Gammaproteobacteria;Pseudomonadales;Pseudomonadaceae;Pseudomonadaceae_unclassified`</w:t>
            </w:r>
          </w:p>
          <w:p w14:paraId="51AC41D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Enterobacteriaceae</w:t>
            </w:r>
          </w:p>
          <w:p w14:paraId="5865F92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pnadx_biom$enterobacteriaceae &lt;- pnadx_biom$`Bacteria;Proteobacteria;Gammaproteobacteria;Enterobacteriales;Enterobacteriaceae;Enterobacteriaceae_unclassified`</w:t>
            </w:r>
          </w:p>
          <w:p w14:paraId="5B14C55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escherichia</w:t>
            </w:r>
          </w:p>
          <w:p w14:paraId="46E3182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pnadx_biom$escherichia &lt;- pnadx_biom$`Bacteria;Proteobacteria;Gammaproteobacteria;Enterobacteriales;Enterobacteriaceae;Escherichia-Shigella`</w:t>
            </w:r>
          </w:p>
          <w:p w14:paraId="1121AA6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fusobacterium</w:t>
            </w:r>
          </w:p>
          <w:p w14:paraId="53938B1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pnadx_biom$fusobacterium &lt;- pnadx_biom$`Bacteria;Fusobacteria;Fusobacteriia;Fusobacteriales;Fusobacteriaceae;Fusobacterium`</w:t>
            </w:r>
          </w:p>
          <w:p w14:paraId="5E4B980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haemophilus</w:t>
            </w:r>
          </w:p>
          <w:p w14:paraId="1513C72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pnadx_biom$haemophilus &lt;- pnadx_biom$`Bacteria;Proteobacteria;Gammaproteobacteria;Pasteurellales;Pasteurellaceae;Haemophilus`</w:t>
            </w:r>
          </w:p>
          <w:p w14:paraId="32CC7DC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enterococcus </w:t>
            </w:r>
          </w:p>
          <w:p w14:paraId="6A0349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pnadx_biom$enterococcus &lt;- pnadx_biom$`Bacteria;Firmicutes;Bacilli;Lactobacillales;Enterococcaceae;Enterococcus`</w:t>
            </w:r>
          </w:p>
          <w:p w14:paraId="1B17B77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mycoplasma</w:t>
            </w:r>
          </w:p>
          <w:p w14:paraId="77E7493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pnadx_biom$mycoplasma &lt;- pnadx_biom$`Bacteria;Tenericutes;Mollicutes;Mycoplasmatales;Mycoplasmataceae;Mycoplasma`</w:t>
            </w:r>
          </w:p>
          <w:p w14:paraId="7EEFD6A1" w14:textId="77777777" w:rsidR="007E4776" w:rsidRPr="007E4776" w:rsidRDefault="007E4776" w:rsidP="007E4776">
            <w:pPr>
              <w:rPr>
                <w:rFonts w:ascii="Times New Roman" w:hAnsi="Times New Roman" w:cs="Times New Roman"/>
                <w:sz w:val="16"/>
                <w:szCs w:val="16"/>
              </w:rPr>
            </w:pPr>
          </w:p>
          <w:p w14:paraId="5209EC2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variable contpathogenabund</w:t>
            </w:r>
          </w:p>
          <w:p w14:paraId="61B666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 &lt;- mutate(pnadx_biom, contpathogenabund = pnadx_biom$staph + pnadx_biom$pseudomonas + pnadx_biom$enterobacteriaceae + pnadx_biom$escherichia + pnadx_biom$fusobacterium + pnadx_biom$haemophilus + pnadx_biom$enterococcus + pnadx_biom$mycoplasma)</w:t>
            </w:r>
          </w:p>
          <w:p w14:paraId="2D91670A" w14:textId="77777777" w:rsidR="007E4776" w:rsidRPr="007E4776" w:rsidRDefault="007E4776" w:rsidP="007E4776">
            <w:pPr>
              <w:rPr>
                <w:rFonts w:ascii="Times New Roman" w:hAnsi="Times New Roman" w:cs="Times New Roman"/>
                <w:sz w:val="16"/>
                <w:szCs w:val="16"/>
              </w:rPr>
            </w:pPr>
          </w:p>
          <w:p w14:paraId="3E2AAB7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this variable has a break in ~ 50%. Use high anypathogenabund as &gt;50% sequences for any pathogen. </w:t>
            </w:r>
          </w:p>
          <w:p w14:paraId="060012D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hist(pnadx_biom$contpathogenabund)</w:t>
            </w:r>
          </w:p>
          <w:p w14:paraId="4BDEFD6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 aes(contpathogenabund)) + geom_density()</w:t>
            </w:r>
          </w:p>
          <w:p w14:paraId="44ABF63D" w14:textId="77777777" w:rsidR="007E4776" w:rsidRPr="007E4776" w:rsidRDefault="007E4776" w:rsidP="007E4776">
            <w:pPr>
              <w:rPr>
                <w:rFonts w:ascii="Times New Roman" w:hAnsi="Times New Roman" w:cs="Times New Roman"/>
                <w:sz w:val="16"/>
                <w:szCs w:val="16"/>
              </w:rPr>
            </w:pPr>
          </w:p>
          <w:p w14:paraId="1412673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anypathogenabund50 = any pathogen added up to &gt;50% abundance</w:t>
            </w:r>
          </w:p>
          <w:p w14:paraId="210F6A4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eachpathogenabund50 = any specific pathogen to dominate &gt;50% of community</w:t>
            </w:r>
          </w:p>
          <w:p w14:paraId="676CD47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pnadx_biom &lt;- mutate (pnadx_biom, anypathogenabund50 = ifelse(pnadx_biom$contpathogenabund&gt;0.5, 1, 0)) </w:t>
            </w:r>
          </w:p>
          <w:p w14:paraId="5520060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 &lt;- mutate(pnadx_biom, eachpathogenabund50 = ifelse(staph &gt;0.5 | pseudomonas &gt;0.5 | enterobacteriaceae &gt;0.5 | haemophilus &gt;0.5 | escherichia&gt;0.5 | fusobacterium &gt;0.5 | enterococcus&gt;0.5 | mycoplasma&gt;0.5, 1, 0))</w:t>
            </w:r>
          </w:p>
          <w:p w14:paraId="48939C0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pnadx_biom$eachpathogenabund50 &lt;- as.factor(pnadx_biom$eachpathogenabund50)</w:t>
            </w:r>
          </w:p>
          <w:p w14:paraId="61D654F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pnadx_biom$anypathogenabund50 &lt;- as.factor(pnadx_biom$anypathogenabund50)</w:t>
            </w:r>
          </w:p>
          <w:p w14:paraId="76869B69" w14:textId="77777777" w:rsidR="007E4776" w:rsidRPr="007E4776" w:rsidRDefault="007E4776" w:rsidP="007E4776">
            <w:pPr>
              <w:rPr>
                <w:rFonts w:ascii="Times New Roman" w:hAnsi="Times New Roman" w:cs="Times New Roman"/>
                <w:sz w:val="16"/>
                <w:szCs w:val="16"/>
              </w:rPr>
            </w:pPr>
          </w:p>
          <w:p w14:paraId="25050BE0" w14:textId="77777777" w:rsidR="007E4776" w:rsidRPr="007E4776" w:rsidRDefault="007E4776" w:rsidP="007E4776">
            <w:pPr>
              <w:rPr>
                <w:rFonts w:ascii="Times New Roman" w:hAnsi="Times New Roman" w:cs="Times New Roman"/>
                <w:sz w:val="16"/>
                <w:szCs w:val="16"/>
              </w:rPr>
            </w:pPr>
          </w:p>
          <w:p w14:paraId="4DA5463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ORAL taxa - for definitions of oral taxa as per the Segal Nat Microbiol 2016 paper (supraglottic pneumotype): Prevotella, Rothia, Streptococcus, Veiilonella, Selenomonas,  Neisseria, Gemellacea, Paraprevotellacea</w:t>
            </w:r>
          </w:p>
          <w:p w14:paraId="5884CFB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#prevotella</w:t>
            </w:r>
          </w:p>
          <w:p w14:paraId="7A22018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pnadx_biom$prevotella &lt;- pnadx_biom$`Bacteria;Bacteroidetes;Bacteroidia;Bacteroidales;Prevotellaceae;Prevotella` + pnadx_biom$`Bacteria;Bacteroidetes;Bacteroidia;Bacteroidales;Prevotellaceae;Prevotella_2` + pnadx_biom$`Bacteria;Bacteroidetes;Bacteroidia;Bacteroidales;Prevotellaceae;Prevotella_6` + </w:t>
            </w:r>
          </w:p>
          <w:p w14:paraId="05A1E55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pnadx_biom$`Bacteria;Bacteroidetes;Bacteroidia;Bacteroidales;Prevotellaceae;Prevotella_7`</w:t>
            </w:r>
          </w:p>
          <w:p w14:paraId="2EE8557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pnadx_biom$`Bacteria;Bacteroidetes;Bacteroidia;Bacteroidales;Prevotellaceae;Prevotella_9` +</w:t>
            </w:r>
          </w:p>
          <w:p w14:paraId="22243AD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pnadx_biom$`Bacteria;Bacteroidetes;Bacteroidia;Bacteroidales;Prevotellaceae;Prevotellaceae_unclassified`</w:t>
            </w:r>
          </w:p>
          <w:p w14:paraId="62F1CD7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Veillonella</w:t>
            </w:r>
          </w:p>
          <w:p w14:paraId="7164A1D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pnadx_biom$veillonella &lt;-pnadx_biom$`Bacteria;Firmicutes;Negativicutes;Selenomonadales;Veillonellaceae;Veillonella` + pnadx_biom$`Bacteria;Firmicutes;Negativicutes;Selenomonadales;Veillonellaceae;Veillonellaceae_unclassified`</w:t>
            </w:r>
          </w:p>
          <w:p w14:paraId="3CA11A0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gemella</w:t>
            </w:r>
          </w:p>
          <w:p w14:paraId="0B71756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pnadx_biom$gemella &lt;- pnadx_biom$`Bacteria;Firmicutes;Bacilli;Bacillales;Family_XI;Gemella`</w:t>
            </w:r>
          </w:p>
          <w:p w14:paraId="1AB20D5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granulicatella</w:t>
            </w:r>
          </w:p>
          <w:p w14:paraId="3BB5C3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pnadx_biom$granulicattella &lt;- pnadx_biom$`Bacteria;Firmicutes;Bacilli;Lactobacillales;Carnobacteriaceae;Granulicatella`</w:t>
            </w:r>
          </w:p>
          <w:p w14:paraId="472948D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rothia</w:t>
            </w:r>
          </w:p>
          <w:p w14:paraId="15DC245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pnadx_biom$rothia &lt;- pnadx_biom$`Bacteria;Actinobacteria;Actinobacteria;Micrococcales;Micrococcaceae;Rothia`</w:t>
            </w:r>
          </w:p>
          <w:p w14:paraId="396BEFD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Neisseria</w:t>
            </w:r>
          </w:p>
          <w:p w14:paraId="7CDC955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pnadx_biom$neisseria &lt;- pnadx_biom$`Bacteria;Proteobacteria;Betaproteobacteria;Neisseriales;Neisseriaceae;Neisseria`</w:t>
            </w:r>
          </w:p>
          <w:p w14:paraId="355B32E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Streptococcus </w:t>
            </w:r>
          </w:p>
          <w:p w14:paraId="06BDB10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pnadx_biom$streptococcus &lt;- pnadx_biom$`Bacteria;Firmicutes;Bacilli;Lactobacillales;Streptococcaceae;Streptococcus`</w:t>
            </w:r>
          </w:p>
          <w:p w14:paraId="363C0CFD" w14:textId="77777777" w:rsidR="007E4776" w:rsidRPr="007E4776" w:rsidRDefault="007E4776" w:rsidP="007E4776">
            <w:pPr>
              <w:rPr>
                <w:rFonts w:ascii="Times New Roman" w:hAnsi="Times New Roman" w:cs="Times New Roman"/>
                <w:sz w:val="16"/>
                <w:szCs w:val="16"/>
              </w:rPr>
            </w:pPr>
          </w:p>
          <w:p w14:paraId="38CB246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variable contoralabund</w:t>
            </w:r>
          </w:p>
          <w:p w14:paraId="6440126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 &lt;- mutate(pnadx_biom, contoralabund = pnadx_biom$prevotella + pnadx_biom$veillonella + pnadx_biom$rothia + pnadx_biom$neisseria + pnadx_biom$streptococcus + pnadx_biom$granulicattella + pnadx_biom$gemella)</w:t>
            </w:r>
          </w:p>
          <w:p w14:paraId="090EDFD9" w14:textId="77777777" w:rsidR="007E4776" w:rsidRPr="007E4776" w:rsidRDefault="007E4776" w:rsidP="007E4776">
            <w:pPr>
              <w:rPr>
                <w:rFonts w:ascii="Times New Roman" w:hAnsi="Times New Roman" w:cs="Times New Roman"/>
                <w:sz w:val="16"/>
                <w:szCs w:val="16"/>
              </w:rPr>
            </w:pPr>
          </w:p>
          <w:p w14:paraId="1AAE46E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this variable also has a break in ~ 50%. Use high anyoralabund as &gt;50% sequences for any pathogen. </w:t>
            </w:r>
          </w:p>
          <w:p w14:paraId="2AE3A35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hist(pnadx_biom$contoralabund)</w:t>
            </w:r>
          </w:p>
          <w:p w14:paraId="79FD8DF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 aes(contoralabund)) + geom_density()</w:t>
            </w:r>
          </w:p>
          <w:p w14:paraId="0F3BAB93" w14:textId="77777777" w:rsidR="007E4776" w:rsidRPr="007E4776" w:rsidRDefault="007E4776" w:rsidP="007E4776">
            <w:pPr>
              <w:rPr>
                <w:rFonts w:ascii="Times New Roman" w:hAnsi="Times New Roman" w:cs="Times New Roman"/>
                <w:sz w:val="16"/>
                <w:szCs w:val="16"/>
              </w:rPr>
            </w:pPr>
          </w:p>
          <w:p w14:paraId="7F31E97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anyoralabund50 = any oral taxon added up to &gt;50% abundance</w:t>
            </w:r>
          </w:p>
          <w:p w14:paraId="38D6438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eachoralabund50 = any specific pathogen to dominate &gt;50% of community</w:t>
            </w:r>
          </w:p>
          <w:p w14:paraId="0EE8C4F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pnadx_biom &lt;- mutate (pnadx_biom, anyoralabund50 = ifelse(pnadx_biom$contoralabund&gt;0.5, 1, 0)) </w:t>
            </w:r>
          </w:p>
          <w:p w14:paraId="12D82EE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 &lt;- mutate(pnadx_biom, eachoralabund50 = ifelse(prevotella &gt;0.5 | veillonella &gt;0.5 | rothia &gt;0.5 | granulicattella &gt;0.5 | gemella&gt;0.5 | streptococcus &gt;0.5 | neisseria&gt;0.5, 1, 0))</w:t>
            </w:r>
          </w:p>
          <w:p w14:paraId="0A8C86E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pnadx_biom$anyoralabund50 &lt;- as.factor(pnadx_biom$anyoralabund50)</w:t>
            </w:r>
          </w:p>
          <w:p w14:paraId="4C20E34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pnadx_biom$eachoralabund50 &lt;- as.factor(pnadx_biom$eachoralabund50)</w:t>
            </w:r>
          </w:p>
          <w:p w14:paraId="24BAEE16" w14:textId="77777777" w:rsidR="007E4776" w:rsidRPr="007E4776" w:rsidRDefault="007E4776" w:rsidP="007E4776">
            <w:pPr>
              <w:rPr>
                <w:rFonts w:ascii="Times New Roman" w:hAnsi="Times New Roman" w:cs="Times New Roman"/>
                <w:sz w:val="16"/>
                <w:szCs w:val="16"/>
              </w:rPr>
            </w:pPr>
          </w:p>
          <w:p w14:paraId="324C81A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separate lung and oral datasets</w:t>
            </w:r>
          </w:p>
          <w:p w14:paraId="3C17D93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 &lt;-filter(pnadx_biom, sampletype=="tracheal")</w:t>
            </w:r>
          </w:p>
          <w:p w14:paraId="79F3CC4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pnadx_biom_oral &lt;-filter(pnadx_biom, sampletype=="oral")</w:t>
            </w:r>
          </w:p>
          <w:p w14:paraId="18F057FF" w14:textId="77777777" w:rsidR="007E4776" w:rsidRPr="007E4776" w:rsidRDefault="007E4776" w:rsidP="007E4776">
            <w:pPr>
              <w:rPr>
                <w:rFonts w:ascii="Times New Roman" w:hAnsi="Times New Roman" w:cs="Times New Roman"/>
                <w:sz w:val="16"/>
                <w:szCs w:val="16"/>
              </w:rPr>
            </w:pPr>
          </w:p>
          <w:p w14:paraId="576C9EE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examine how pathogen and oral abundance is distributed in the dataset - as expected pathogen and oral are largely reciprocal when looking at them from balposbasl positivity - the other stratification factors did not accomplish such separation </w:t>
            </w:r>
          </w:p>
          <w:p w14:paraId="7D184EB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ggplot(pnadx_biom_lung, aes(contpathogenabund)) + geom_density(aes(group=pnadx_biom_lung$balposbasl, fill = pnadx_biom_lung$balposbasl, alpha = 0.2))</w:t>
            </w:r>
          </w:p>
          <w:p w14:paraId="2890C40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 aes(contoralabund)) + geom_density(aes(group=pnadx_biom$balposbasl, fill = pnadx_biom$balposbasl, alpha = 0.2))</w:t>
            </w:r>
          </w:p>
          <w:p w14:paraId="54BD42F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distribution by eachpathogenabund50</w:t>
            </w:r>
          </w:p>
          <w:p w14:paraId="7BBFED2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 aes(contpathogenabund)) + geom_density(aes(group=pnadx_biom$eachpathogenabund50, fill = pnadx_biom$eachpathogenabund50, alpha = 0.2))</w:t>
            </w:r>
          </w:p>
          <w:p w14:paraId="0CFACE9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 aes(contoralabund)) + geom_density(aes(group=pnadx_biom$anypathogenabund50, fill = pnadx_biom$anypathogenabund50, alpha = 0.2))</w:t>
            </w:r>
          </w:p>
          <w:p w14:paraId="0CD31D7E" w14:textId="77777777" w:rsidR="007E4776" w:rsidRPr="007E4776" w:rsidRDefault="007E4776" w:rsidP="007E4776">
            <w:pPr>
              <w:rPr>
                <w:rFonts w:ascii="Times New Roman" w:hAnsi="Times New Roman" w:cs="Times New Roman"/>
                <w:sz w:val="16"/>
                <w:szCs w:val="16"/>
              </w:rPr>
            </w:pPr>
          </w:p>
          <w:p w14:paraId="1A1F209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pnadx_biom_lung$balposbasl&lt;- as.factor(pnadx_biom_lung$balposbasl)</w:t>
            </w:r>
          </w:p>
          <w:p w14:paraId="37316AEA" w14:textId="77777777" w:rsidR="007E4776" w:rsidRPr="007E4776" w:rsidRDefault="007E4776" w:rsidP="007E4776">
            <w:pPr>
              <w:rPr>
                <w:rFonts w:ascii="Times New Roman" w:hAnsi="Times New Roman" w:cs="Times New Roman"/>
                <w:sz w:val="16"/>
                <w:szCs w:val="16"/>
              </w:rPr>
            </w:pPr>
          </w:p>
          <w:p w14:paraId="7DDF5FB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publishable graph for relative pathogen abundance</w:t>
            </w:r>
          </w:p>
          <w:p w14:paraId="7D68892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ggplot(pnadx_biom_lung, aes(contpathogenabund)) + geom_density(aes(group=pnadx_biom_lung$balposbasl, fill = pnadx_biom_lung$balposbasl, alpha = 0.2)) + xlab("Relative Pathogen Abundance") + theme(legend.position = 'none', axis.text.x = element_text(size=24, face="bold"), axis.text.y = element_text(face="bold", size = 12), axis.title.y = element_text(size=18),  title =element_text(size=30, face='bold')) +  scale_fill_manual(values=c("turquoise", "red")) + geom_text(size=14, aes(0.78, 4, label="Cx positive", colour="red")) + geom_text(size = 14, aes(0.23, 4.5, label="Cx negative", colour="turquoise"))</w:t>
            </w:r>
          </w:p>
          <w:p w14:paraId="2E61D577" w14:textId="77777777" w:rsidR="007E4776" w:rsidRPr="007E4776" w:rsidRDefault="007E4776" w:rsidP="007E4776">
            <w:pPr>
              <w:rPr>
                <w:rFonts w:ascii="Times New Roman" w:hAnsi="Times New Roman" w:cs="Times New Roman"/>
                <w:sz w:val="16"/>
                <w:szCs w:val="16"/>
              </w:rPr>
            </w:pPr>
          </w:p>
          <w:p w14:paraId="7A46F04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publishable graph for relative oral abundance</w:t>
            </w:r>
          </w:p>
          <w:p w14:paraId="0E7D8B0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ggplot(pnadx_biom_lung, aes(contoralabund)) + geom_density(aes(group=pnadx_biom_lung$balposbasl, fill = pnadx_biom_lung$balposbasl, alpha = 0.2)) + xlab("Relative Oral Taxa Abundance") + theme(legend.position = 'none', axis.text.x = element_text(size=24, face="bold"), axis.text.y = element_text(face="bold", size = 12), axis.title.y = element_text(size=18),  title =element_text(size=30, face='bold')) +  scale_fill_manual(values=c("turquoise", "red")) + geom_text(size=14, aes(0.25, 4.2, label="Cx positive", colour="red")) + geom_text(size = 14, aes(0.7, 2, label="Cx negative", colour="turquoise"))</w:t>
            </w:r>
          </w:p>
          <w:p w14:paraId="014C1385" w14:textId="77777777" w:rsidR="007E4776" w:rsidRPr="007E4776" w:rsidRDefault="007E4776" w:rsidP="007E4776">
            <w:pPr>
              <w:rPr>
                <w:rFonts w:ascii="Times New Roman" w:hAnsi="Times New Roman" w:cs="Times New Roman"/>
                <w:sz w:val="16"/>
                <w:szCs w:val="16"/>
              </w:rPr>
            </w:pPr>
          </w:p>
          <w:p w14:paraId="5E9585B8" w14:textId="77777777" w:rsidR="007E4776" w:rsidRPr="007E4776" w:rsidRDefault="007E4776" w:rsidP="007E4776">
            <w:pPr>
              <w:rPr>
                <w:rFonts w:ascii="Times New Roman" w:hAnsi="Times New Roman" w:cs="Times New Roman"/>
                <w:sz w:val="16"/>
                <w:szCs w:val="16"/>
              </w:rPr>
            </w:pPr>
          </w:p>
          <w:p w14:paraId="2937CAB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Beta diversity analyses with vegan</w:t>
            </w:r>
          </w:p>
          <w:p w14:paraId="5C68E93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Use the taxa table: "ALIR_taxa_genus_summary_table_clean"</w:t>
            </w:r>
          </w:p>
          <w:p w14:paraId="3FC77377" w14:textId="77777777" w:rsidR="007E4776" w:rsidRPr="007E4776" w:rsidRDefault="007E4776" w:rsidP="007E4776">
            <w:pPr>
              <w:rPr>
                <w:rFonts w:ascii="Times New Roman" w:hAnsi="Times New Roman" w:cs="Times New Roman"/>
                <w:sz w:val="16"/>
                <w:szCs w:val="16"/>
              </w:rPr>
            </w:pPr>
          </w:p>
          <w:p w14:paraId="61A5749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perform beta-diversity analyses in vegan for oral/lung by pneumonia vs not and by cx positivity vs not</w:t>
            </w:r>
          </w:p>
          <w:p w14:paraId="2375E4CD" w14:textId="77777777" w:rsidR="007E4776" w:rsidRPr="007E4776" w:rsidRDefault="007E4776" w:rsidP="007E4776">
            <w:pPr>
              <w:rPr>
                <w:rFonts w:ascii="Times New Roman" w:hAnsi="Times New Roman" w:cs="Times New Roman"/>
                <w:sz w:val="16"/>
                <w:szCs w:val="16"/>
              </w:rPr>
            </w:pPr>
          </w:p>
          <w:p w14:paraId="7CD7453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#filter for samples in the pnadx dataset</w:t>
            </w:r>
          </w:p>
          <w:p w14:paraId="698655E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 &lt;-  subset(ALIR_taxa_genus_summary_table_clean, select = -Total)</w:t>
            </w:r>
          </w:p>
          <w:p w14:paraId="619A1E0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 &lt;- filter(pnadx_vegan, Sample_ID %in% pnadx_meta_SampleIDs)</w:t>
            </w:r>
          </w:p>
          <w:p w14:paraId="707E418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#sort by Sample_ID variable and confirm they are equal</w:t>
            </w:r>
          </w:p>
          <w:p w14:paraId="36A52CE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 &lt;- arrange(pnadx_meta, Sample_ID)</w:t>
            </w:r>
          </w:p>
          <w:p w14:paraId="79B8E87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 &lt;- arrange(pnadx_vegan, Sample_ID)</w:t>
            </w:r>
          </w:p>
          <w:p w14:paraId="45BC21A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pnadx_vegan$Sample_ID</w:t>
            </w:r>
          </w:p>
          <w:p w14:paraId="5D641BD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pnadx_meta$Sample_ID # confirmed that these are aligned properly. </w:t>
            </w:r>
          </w:p>
          <w:p w14:paraId="648D2A4C" w14:textId="77777777" w:rsidR="007E4776" w:rsidRPr="007E4776" w:rsidRDefault="007E4776" w:rsidP="007E4776">
            <w:pPr>
              <w:rPr>
                <w:rFonts w:ascii="Times New Roman" w:hAnsi="Times New Roman" w:cs="Times New Roman"/>
                <w:sz w:val="16"/>
                <w:szCs w:val="16"/>
              </w:rPr>
            </w:pPr>
          </w:p>
          <w:p w14:paraId="169C96F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now remove Sample_ID from taxa table to ensure all are numeric</w:t>
            </w:r>
          </w:p>
          <w:p w14:paraId="1058C7D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pnadx_vegan&lt;- subset(pnadx_vegan, select = -Sample_ID)</w:t>
            </w:r>
          </w:p>
          <w:p w14:paraId="38F766D6" w14:textId="77777777" w:rsidR="007E4776" w:rsidRPr="007E4776" w:rsidRDefault="007E4776" w:rsidP="007E4776">
            <w:pPr>
              <w:rPr>
                <w:rFonts w:ascii="Times New Roman" w:hAnsi="Times New Roman" w:cs="Times New Roman"/>
                <w:sz w:val="16"/>
                <w:szCs w:val="16"/>
              </w:rPr>
            </w:pPr>
          </w:p>
          <w:p w14:paraId="0630F08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new factor of balcx positivity and site</w:t>
            </w:r>
          </w:p>
          <w:p w14:paraId="1E87CA7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pnadx_meta$balposbasl[is.na(pnadx_meta$balposbasl)]&lt;- 0</w:t>
            </w:r>
          </w:p>
          <w:p w14:paraId="5A6E771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 &lt;- mutate(pnadx_meta, balcx_site = ifelse(pnadx_meta$balposbasl==1 &amp; pnadx_meta$sampletype=="tracheal", "lungcxpos", NA))</w:t>
            </w:r>
          </w:p>
          <w:p w14:paraId="5ADB9AF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 &lt;- mutate(pnadx_meta, balcx_site = ifelse(pnadx_meta$balposbasl==1 &amp; pnadx_meta$sampletype=="oral", "oralcxpos", pnadx_meta$balcx_site))</w:t>
            </w:r>
          </w:p>
          <w:p w14:paraId="35D538B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 &lt;- mutate(pnadx_meta, balcx_site = ifelse(pnadx_meta$balposbasl==0 &amp; pnadx_meta$sampletype=="oral", "oralcxneg", pnadx_meta$balcx_site))</w:t>
            </w:r>
          </w:p>
          <w:p w14:paraId="4FECD04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 &lt;- mutate(pnadx_meta, balcx_site = ifelse(pnadx_meta$balposbasl==0 &amp; pnadx_meta$sampletype=="tracheal", "lungcxneg", pnadx_meta$balcx_site))</w:t>
            </w:r>
          </w:p>
          <w:p w14:paraId="4AFEA51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pnadx_meta$balcx_site &lt;-as.factor(pnadx_meta$balcx_site)</w:t>
            </w:r>
          </w:p>
          <w:p w14:paraId="2610E5EF" w14:textId="77777777" w:rsidR="007E4776" w:rsidRPr="007E4776" w:rsidRDefault="007E4776" w:rsidP="007E4776">
            <w:pPr>
              <w:rPr>
                <w:rFonts w:ascii="Times New Roman" w:hAnsi="Times New Roman" w:cs="Times New Roman"/>
                <w:sz w:val="16"/>
                <w:szCs w:val="16"/>
              </w:rPr>
            </w:pPr>
          </w:p>
          <w:p w14:paraId="7151D59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balcx_site</w:t>
            </w:r>
          </w:p>
          <w:p w14:paraId="6B7C04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pnadx_vegan_mds &lt;- metaMDS(pnadx_vegan, noshare =TRUE, k = 3) # stress 0.17</w:t>
            </w:r>
          </w:p>
          <w:p w14:paraId="0FD5064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define factor for ordination plot</w:t>
            </w:r>
          </w:p>
          <w:p w14:paraId="7A5ED57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fac &lt;- pnadx_meta$balcx_site</w:t>
            </w:r>
          </w:p>
          <w:p w14:paraId="232F2F5D" w14:textId="77777777" w:rsidR="007E4776" w:rsidRPr="007E4776" w:rsidRDefault="007E4776" w:rsidP="007E4776">
            <w:pPr>
              <w:rPr>
                <w:rFonts w:ascii="Times New Roman" w:hAnsi="Times New Roman" w:cs="Times New Roman"/>
                <w:sz w:val="16"/>
                <w:szCs w:val="16"/>
              </w:rPr>
            </w:pPr>
          </w:p>
          <w:p w14:paraId="6438B80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NMDS plot for balcx_site</w:t>
            </w:r>
          </w:p>
          <w:p w14:paraId="6EF9F6E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plot(pnadx_vegan_mds, disp="sites", type = "n", xlim=c(-0.9, 0.9), ylim=c(-0.9, 0.9))</w:t>
            </w:r>
          </w:p>
          <w:p w14:paraId="06820BD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points(pnadx_vegan_mds, disp="sites", pch=21, col = "#FF0000",  cex = 2, select=which(fac=="lungcxpos"))</w:t>
            </w:r>
          </w:p>
          <w:p w14:paraId="460DA7D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points(pnadx_vegan_mds, disp="sites", pch=24, col = "#FF0000",  cex = 2, select=which(fac=="oralcxpos"))</w:t>
            </w:r>
          </w:p>
          <w:p w14:paraId="14ED212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points(pnadx_vegan_mds, disp="sites", pch=24, col = "#3399FF",  cex = 2, select=which(fac=="oralcxneg"))</w:t>
            </w:r>
          </w:p>
          <w:p w14:paraId="681C94A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points(pnadx_vegan_mds, disp="sites", pch=21, col = "#3399FF",  cex = 2, select=which(fac=="lungcxneg"))</w:t>
            </w:r>
          </w:p>
          <w:p w14:paraId="2B8098B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ordiellipse(pnadx_vegan_mds, group=fac, show.groups="lungcxpos", col = "#FF0000", lwd = 2)</w:t>
            </w:r>
          </w:p>
          <w:p w14:paraId="7F6EDB6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ordiellipse(pnadx_vegan_mds, group=fac, show.groups="oralcxpos", col = "#FF0000", lwd = 2)</w:t>
            </w:r>
          </w:p>
          <w:p w14:paraId="5AE4BA9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ordiellipse(pnadx_vegan_mds, group=fac, show.groups="oralcxneg", col = "#3399FF", lwd = 2)</w:t>
            </w:r>
          </w:p>
          <w:p w14:paraId="13D806F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ordiellipse(pnadx_vegan_mds, group=fac, show.groups="lungcxneg", col = "#3399FF", lwd = 2)</w:t>
            </w:r>
          </w:p>
          <w:p w14:paraId="618FAA6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ordispider(pnadx_vegan_mds, group=fac, show.groups="oralcxpos", col = "#FF0000", label = TRUE)</w:t>
            </w:r>
          </w:p>
          <w:p w14:paraId="5F88797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ordispider(pnadx_vegan_mds, group=fac, show.groups="oralcxneg", col = "#CCCCCC", label = TRUE)</w:t>
            </w:r>
          </w:p>
          <w:p w14:paraId="11A7F05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ordispider(pnadx_vegan_mds, group=fac, show.groups="lungcxneg", col = "#CCCCCC", label = TRUE)</w:t>
            </w:r>
          </w:p>
          <w:p w14:paraId="72BB2E7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ordispider(pnadx_vegan_mds, group=fac, show.groups="lungcxpos", col = "#FF0000", label = TRUE)</w:t>
            </w:r>
          </w:p>
          <w:p w14:paraId="11F2594F" w14:textId="77777777" w:rsidR="007E4776" w:rsidRPr="007E4776" w:rsidRDefault="007E4776" w:rsidP="007E4776">
            <w:pPr>
              <w:rPr>
                <w:rFonts w:ascii="Times New Roman" w:hAnsi="Times New Roman" w:cs="Times New Roman"/>
                <w:sz w:val="16"/>
                <w:szCs w:val="16"/>
              </w:rPr>
            </w:pPr>
          </w:p>
          <w:p w14:paraId="1958E9A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adonis</w:t>
            </w:r>
          </w:p>
          <w:p w14:paraId="030900E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betadivbybalcx_site &lt;- betadiver(pnadx_vegan, "z")</w:t>
            </w:r>
          </w:p>
          <w:p w14:paraId="0B74E8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adonis(betadivbybalcx_site ~ balcx_site, pnadx_meta, perm=1000)</w:t>
            </w:r>
          </w:p>
          <w:p w14:paraId="1F179BD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           Df SumsOfSqs MeanSqs F.Model      R2   Pr(&gt;F)    </w:t>
            </w:r>
          </w:p>
          <w:p w14:paraId="67C37C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balcx_site   3    2.0614 0.68714  2.8393 0.07438 0.000999 ***.06368 0.000999 ***</w:t>
            </w:r>
          </w:p>
          <w:p w14:paraId="517C50E3" w14:textId="77777777" w:rsidR="007E4776" w:rsidRPr="007E4776" w:rsidRDefault="007E4776" w:rsidP="007E4776">
            <w:pPr>
              <w:rPr>
                <w:rFonts w:ascii="Times New Roman" w:hAnsi="Times New Roman" w:cs="Times New Roman"/>
                <w:sz w:val="16"/>
                <w:szCs w:val="16"/>
              </w:rPr>
            </w:pPr>
          </w:p>
          <w:p w14:paraId="29380469" w14:textId="77777777" w:rsidR="007E4776" w:rsidRPr="007E4776" w:rsidRDefault="007E4776" w:rsidP="007E4776">
            <w:pPr>
              <w:rPr>
                <w:rFonts w:ascii="Times New Roman" w:hAnsi="Times New Roman" w:cs="Times New Roman"/>
                <w:sz w:val="16"/>
                <w:szCs w:val="16"/>
              </w:rPr>
            </w:pPr>
          </w:p>
          <w:p w14:paraId="650DF1D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vegan analyses for lung samples only</w:t>
            </w:r>
          </w:p>
          <w:p w14:paraId="630443D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#filter for samples in the pnadx dataset</w:t>
            </w:r>
          </w:p>
          <w:p w14:paraId="35AC3EF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pnadx_vegan_lung &lt;-  subset(ALIR_taxa_genus_summary_table_clean, select = -Total)</w:t>
            </w:r>
          </w:p>
          <w:p w14:paraId="2BF76C3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pnadx_meta_lung_sampleids &lt;- pnadx_meta_lung$Sample_ID</w:t>
            </w:r>
          </w:p>
          <w:p w14:paraId="4DFFF49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pnadx_vegan_lung &lt;- filter(pnadx_vegan_lung, Sample_ID %in% pnadx_meta_lung_sampleids)</w:t>
            </w:r>
          </w:p>
          <w:p w14:paraId="6F581B6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#sort by Sample_ID variable and confirm they are equal</w:t>
            </w:r>
          </w:p>
          <w:p w14:paraId="2221101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pnadx_vegan_lung &lt;- arrange(pnadx_vegan_lung, Sample_ID)</w:t>
            </w:r>
          </w:p>
          <w:p w14:paraId="697441E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 &lt;- arrange(pnadx_meta_lung, Sample_ID)</w:t>
            </w:r>
          </w:p>
          <w:p w14:paraId="2C1180E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pnadx_meta_lung$Sample_ID</w:t>
            </w:r>
          </w:p>
          <w:p w14:paraId="368A0D8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pnadx_vegan_lung$Sample_ID # confirmed that these are aligned properly. </w:t>
            </w:r>
          </w:p>
          <w:p w14:paraId="6935F36B" w14:textId="77777777" w:rsidR="007E4776" w:rsidRPr="007E4776" w:rsidRDefault="007E4776" w:rsidP="007E4776">
            <w:pPr>
              <w:rPr>
                <w:rFonts w:ascii="Times New Roman" w:hAnsi="Times New Roman" w:cs="Times New Roman"/>
                <w:sz w:val="16"/>
                <w:szCs w:val="16"/>
              </w:rPr>
            </w:pPr>
          </w:p>
          <w:p w14:paraId="55C847F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now remove Sample_ID from taxa table to ensure all are numeric</w:t>
            </w:r>
          </w:p>
          <w:p w14:paraId="7F7E488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pnadx_vegan_lung&lt;- subset(pnadx_vegan_lung, select = -Sample_ID)</w:t>
            </w:r>
          </w:p>
          <w:p w14:paraId="2AB1C69A" w14:textId="77777777" w:rsidR="007E4776" w:rsidRPr="007E4776" w:rsidRDefault="007E4776" w:rsidP="007E4776">
            <w:pPr>
              <w:rPr>
                <w:rFonts w:ascii="Times New Roman" w:hAnsi="Times New Roman" w:cs="Times New Roman"/>
                <w:sz w:val="16"/>
                <w:szCs w:val="16"/>
              </w:rPr>
            </w:pPr>
          </w:p>
          <w:p w14:paraId="011CCE2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 pos</w:t>
            </w:r>
          </w:p>
          <w:p w14:paraId="491D573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pnadx_meta_lung$balposbasl &lt;-as.character(pnadx_meta_lung$balposbasl)</w:t>
            </w:r>
          </w:p>
          <w:p w14:paraId="05A83A9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pnadx_meta_lung$balposbasl[pnadx_meta_lung$balposbasl=="0"] &lt;- "RespCxNeg"</w:t>
            </w:r>
          </w:p>
          <w:p w14:paraId="21DC951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pnadx_meta_lung$balposbasl[pnadx_meta_lung$balposbasl=="1"] &lt;- "RespCxPos"</w:t>
            </w:r>
          </w:p>
          <w:p w14:paraId="26504BD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pnadx_meta_lung$balposbasl &lt;-as.factor(pnadx_meta_lung$balposbasl)</w:t>
            </w:r>
          </w:p>
          <w:p w14:paraId="717AC262" w14:textId="77777777" w:rsidR="007E4776" w:rsidRPr="007E4776" w:rsidRDefault="007E4776" w:rsidP="007E4776">
            <w:pPr>
              <w:rPr>
                <w:rFonts w:ascii="Times New Roman" w:hAnsi="Times New Roman" w:cs="Times New Roman"/>
                <w:sz w:val="16"/>
                <w:szCs w:val="16"/>
              </w:rPr>
            </w:pPr>
          </w:p>
          <w:p w14:paraId="0D8021C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define factor for ordination plot</w:t>
            </w:r>
          </w:p>
          <w:p w14:paraId="079D035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fac &lt;- pnadx_meta_lung$balposbasl</w:t>
            </w:r>
          </w:p>
          <w:p w14:paraId="2D96335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attach(pnadx_meta_lung)</w:t>
            </w:r>
          </w:p>
          <w:p w14:paraId="763B76E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NMDS plot for BALPOS</w:t>
            </w:r>
          </w:p>
          <w:p w14:paraId="624E4D6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plot(pnadx_pneumonia_mds, disp="sites", type = "n", xlim=c(-1.2, 1.2), ylim=c(-1.2, 1.2))</w:t>
            </w:r>
          </w:p>
          <w:p w14:paraId="70FBF9B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points(pnadx_pneumonia_mds, disp="sites", pch=21, col = "#FF3333",  cex = 2, select=which(fac=="RespCxPos"))</w:t>
            </w:r>
          </w:p>
          <w:p w14:paraId="0DA82CD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points(pnadx_pneumonia_mds, disp="sites", pch=24, col = "#0099FF",  cex = 2, select=which(fac=="RespCxNeg"))</w:t>
            </w:r>
          </w:p>
          <w:p w14:paraId="07CCE6B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ordiellipse(pnadx_pneumonia_mds, group=fac, show.groups="RespCxPos", col = "#FF3333", lwd = 2)</w:t>
            </w:r>
          </w:p>
          <w:p w14:paraId="5ABA925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ordiellipse(pnadx_pneumonia_mds, group=fac, show.groups="RespCxNeg", col = "#0099FF", lwd = 2)</w:t>
            </w:r>
          </w:p>
          <w:p w14:paraId="428D6B2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ordispider(pnadx_pneumonia_mds, group=fac, show.groups="RespCxNeg", col = "#0099FF", label = TRUE)</w:t>
            </w:r>
          </w:p>
          <w:p w14:paraId="4655671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ordispider(pnadx_pneumonia_mds, group=fac, show.groups="RespCxPos", col = "#FF3333", label = TRUE)</w:t>
            </w:r>
          </w:p>
          <w:p w14:paraId="556039EA" w14:textId="77777777" w:rsidR="007E4776" w:rsidRPr="007E4776" w:rsidRDefault="007E4776" w:rsidP="007E4776">
            <w:pPr>
              <w:rPr>
                <w:rFonts w:ascii="Times New Roman" w:hAnsi="Times New Roman" w:cs="Times New Roman"/>
                <w:sz w:val="16"/>
                <w:szCs w:val="16"/>
              </w:rPr>
            </w:pPr>
          </w:p>
          <w:p w14:paraId="679AA311" w14:textId="77777777" w:rsidR="007E4776" w:rsidRPr="007E4776" w:rsidRDefault="007E4776" w:rsidP="007E4776">
            <w:pPr>
              <w:rPr>
                <w:rFonts w:ascii="Times New Roman" w:hAnsi="Times New Roman" w:cs="Times New Roman"/>
                <w:sz w:val="16"/>
                <w:szCs w:val="16"/>
              </w:rPr>
            </w:pPr>
          </w:p>
          <w:p w14:paraId="326EB3F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perform permanova based on the variable balpos for formal comparison</w:t>
            </w:r>
          </w:p>
          <w:p w14:paraId="5BFA0C8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betadivbybalpos &lt;- betadiver(pnadx_vegan_lung, "z")</w:t>
            </w:r>
          </w:p>
          <w:p w14:paraId="22C05B8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adonis(betadivbybalpos~balposbasl, pnadx_meta_lung, perm=1000)</w:t>
            </w:r>
          </w:p>
          <w:p w14:paraId="48854AB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Df SumsOfSqs MeanSqs F.Model      R2   Pr(&gt;F)   </w:t>
            </w:r>
          </w:p>
          <w:p w14:paraId="3C9089E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balposbasl  1    0.7047 0.70474  2.7197 0.04795 0.002997 **</w:t>
            </w:r>
          </w:p>
          <w:p w14:paraId="10063B15" w14:textId="77777777" w:rsidR="007E4776" w:rsidRPr="007E4776" w:rsidRDefault="007E4776" w:rsidP="007E4776">
            <w:pPr>
              <w:rPr>
                <w:rFonts w:ascii="Times New Roman" w:hAnsi="Times New Roman" w:cs="Times New Roman"/>
                <w:sz w:val="16"/>
                <w:szCs w:val="16"/>
              </w:rPr>
            </w:pPr>
          </w:p>
          <w:p w14:paraId="5A154CE6" w14:textId="77777777" w:rsidR="007E4776" w:rsidRPr="007E4776" w:rsidRDefault="007E4776" w:rsidP="007E4776">
            <w:pPr>
              <w:rPr>
                <w:rFonts w:ascii="Times New Roman" w:hAnsi="Times New Roman" w:cs="Times New Roman"/>
                <w:sz w:val="16"/>
                <w:szCs w:val="16"/>
              </w:rPr>
            </w:pPr>
          </w:p>
          <w:p w14:paraId="7E33FD33" w14:textId="77777777" w:rsidR="007E4776" w:rsidRPr="007E4776" w:rsidRDefault="007E4776" w:rsidP="007E4776">
            <w:pPr>
              <w:rPr>
                <w:rFonts w:ascii="Times New Roman" w:hAnsi="Times New Roman" w:cs="Times New Roman"/>
                <w:sz w:val="16"/>
                <w:szCs w:val="16"/>
              </w:rPr>
            </w:pPr>
          </w:p>
          <w:p w14:paraId="2B85921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vegan analyses for oral only</w:t>
            </w:r>
          </w:p>
          <w:p w14:paraId="3E41C92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pnadx_vegan_oral &lt;-  subset(ALIR_taxa_genus_summary_table_clean, select = -Total)</w:t>
            </w:r>
          </w:p>
          <w:p w14:paraId="7CCFC13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 &lt;- filter(pnadx_meta, sampletype=="oral")</w:t>
            </w:r>
          </w:p>
          <w:p w14:paraId="4934AD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pnadx_meta_oral_sampleids &lt;- pnadx_meta_oral$Sample_ID</w:t>
            </w:r>
          </w:p>
          <w:p w14:paraId="05005D0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pnadx_vegan_oral &lt;- filter(pnadx_vegan_oral, Sample_ID %in% pnadx_meta_oral_sampleids)</w:t>
            </w:r>
          </w:p>
          <w:p w14:paraId="79FE5EF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#sort by Sample_ID variable and confirm they are equal</w:t>
            </w:r>
          </w:p>
          <w:p w14:paraId="2E8D054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pnadx_vegan_oral &lt;- arrange(pnadx_vegan_oral, Sample_ID)</w:t>
            </w:r>
          </w:p>
          <w:p w14:paraId="730FC0B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 &lt;- arrange(pnadx_meta_oral, Sample_ID)</w:t>
            </w:r>
          </w:p>
          <w:p w14:paraId="3E61237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pnadx_meta_oral$Sample_ID</w:t>
            </w:r>
          </w:p>
          <w:p w14:paraId="2F9A772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pnadx_vegan_oral$Sample_ID # confirmed that these are aligned properly. </w:t>
            </w:r>
          </w:p>
          <w:p w14:paraId="53D9F4B9" w14:textId="77777777" w:rsidR="007E4776" w:rsidRPr="007E4776" w:rsidRDefault="007E4776" w:rsidP="007E4776">
            <w:pPr>
              <w:rPr>
                <w:rFonts w:ascii="Times New Roman" w:hAnsi="Times New Roman" w:cs="Times New Roman"/>
                <w:sz w:val="16"/>
                <w:szCs w:val="16"/>
              </w:rPr>
            </w:pPr>
          </w:p>
          <w:p w14:paraId="6B8E4A1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now remove Sample_ID from taxa table to ensure all are numeric</w:t>
            </w:r>
          </w:p>
          <w:p w14:paraId="4CBCB82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pnadx_vegan_oral&lt;- subset(pnadx_vegan_oral, select = -Sample_ID)</w:t>
            </w:r>
          </w:p>
          <w:p w14:paraId="7EF2B18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 pos</w:t>
            </w:r>
          </w:p>
          <w:p w14:paraId="3F91425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pnadx_meta_oral$balposbasl &lt;-as.character(pnadx_meta_oral$balposbasl)</w:t>
            </w:r>
          </w:p>
          <w:p w14:paraId="42AAC35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pnadx_meta_oral$balposbasl[pnadx_meta_oral$balposbasl=="0"] &lt;- "RespCxNeg"</w:t>
            </w:r>
          </w:p>
          <w:p w14:paraId="2C15DD1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pnadx_meta_oral$balposbasl[pnadx_meta_oral$balposbasl=="1"] &lt;- "RespCxPos"</w:t>
            </w:r>
          </w:p>
          <w:p w14:paraId="5DCFA36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pnadx_meta_oral$balposbasl &lt;-as.factor(pnadx_meta_oral$balposbasl)</w:t>
            </w:r>
          </w:p>
          <w:p w14:paraId="01BD9845" w14:textId="77777777" w:rsidR="007E4776" w:rsidRPr="007E4776" w:rsidRDefault="007E4776" w:rsidP="007E4776">
            <w:pPr>
              <w:rPr>
                <w:rFonts w:ascii="Times New Roman" w:hAnsi="Times New Roman" w:cs="Times New Roman"/>
                <w:sz w:val="16"/>
                <w:szCs w:val="16"/>
              </w:rPr>
            </w:pPr>
          </w:p>
          <w:p w14:paraId="6187325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define factor for ordination plot</w:t>
            </w:r>
          </w:p>
          <w:p w14:paraId="1AA3BC1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fac &lt;- pnadx_meta_oral$balposbasl</w:t>
            </w:r>
          </w:p>
          <w:p w14:paraId="167429A2" w14:textId="77777777" w:rsidR="007E4776" w:rsidRPr="007E4776" w:rsidRDefault="007E4776" w:rsidP="007E4776">
            <w:pPr>
              <w:rPr>
                <w:rFonts w:ascii="Times New Roman" w:hAnsi="Times New Roman" w:cs="Times New Roman"/>
                <w:sz w:val="16"/>
                <w:szCs w:val="16"/>
              </w:rPr>
            </w:pPr>
          </w:p>
          <w:p w14:paraId="016DECD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NMDS plot for BALPOS</w:t>
            </w:r>
          </w:p>
          <w:p w14:paraId="7122D3E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plot(pnadx_oral_mds, disp="sites", type = "n", xlim=c(-1.2, 1.2), ylim=c(-1.2, 1.2))</w:t>
            </w:r>
          </w:p>
          <w:p w14:paraId="60285E2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points(pnadx_oral_mds, disp="sites", pch=21, col = "#FF3333",  cex = 2, select=which(fac=="RespCxPos"))</w:t>
            </w:r>
          </w:p>
          <w:p w14:paraId="07B0A85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points(pnadx_oral_mds, disp="sites", pch=24, col = "#0099FF",  cex = 2, select=which(fac=="RespCxNeg"))</w:t>
            </w:r>
          </w:p>
          <w:p w14:paraId="1F3768A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ordiellipse(pnadx_oral_mds, group=fac, show.groups="RespCxPos", col = "#FF3333", lwd = 2)</w:t>
            </w:r>
          </w:p>
          <w:p w14:paraId="2BB68DF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ordiellipse(pnadx_oral_mds, group=fac, show.groups="RespCxNeg", col = "#0099FF", lwd = 2)</w:t>
            </w:r>
          </w:p>
          <w:p w14:paraId="1571C2A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ordispider(pnadx_oral_mds, group=fac, show.groups="RespCxNeg", col = "#0099FF", label = TRUE)</w:t>
            </w:r>
          </w:p>
          <w:p w14:paraId="484667A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ordispider(pnadx_oral_mds, group=fac, show.groups="RespCxPos", col = "#FF3333", label = TRUE)</w:t>
            </w:r>
          </w:p>
          <w:p w14:paraId="50032E5C" w14:textId="77777777" w:rsidR="007E4776" w:rsidRPr="007E4776" w:rsidRDefault="007E4776" w:rsidP="007E4776">
            <w:pPr>
              <w:rPr>
                <w:rFonts w:ascii="Times New Roman" w:hAnsi="Times New Roman" w:cs="Times New Roman"/>
                <w:sz w:val="16"/>
                <w:szCs w:val="16"/>
              </w:rPr>
            </w:pPr>
          </w:p>
          <w:p w14:paraId="25165E3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perform permanova based on the variable balpos for formal comparison</w:t>
            </w:r>
          </w:p>
          <w:p w14:paraId="6628E87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betadivbybalpos &lt;- betadiver(pnadx_vegan_oral, "z")</w:t>
            </w:r>
          </w:p>
          <w:p w14:paraId="4A6B664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adonis(betadivbybalpos~balposbasl, pnadx_meta_oral, perm=1000)</w:t>
            </w:r>
          </w:p>
          <w:p w14:paraId="153EFF4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Df SumsOfSqs MeanSqs F.Model     R2   Pr(&gt;F)    </w:t>
            </w:r>
          </w:p>
          <w:p w14:paraId="2CD4A9C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balposbasl  1    0.7113 0.71130  3.1721 0.0575 0.000999 ***</w:t>
            </w:r>
          </w:p>
          <w:p w14:paraId="75810BD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impressive difference in oral communities. </w:t>
            </w:r>
          </w:p>
          <w:p w14:paraId="72B0B9FB" w14:textId="77777777" w:rsidR="007E4776" w:rsidRPr="007E4776" w:rsidRDefault="007E4776" w:rsidP="007E4776">
            <w:pPr>
              <w:rPr>
                <w:rFonts w:ascii="Times New Roman" w:hAnsi="Times New Roman" w:cs="Times New Roman"/>
                <w:sz w:val="16"/>
                <w:szCs w:val="16"/>
              </w:rPr>
            </w:pPr>
          </w:p>
          <w:p w14:paraId="00DBC1E8" w14:textId="77777777" w:rsidR="007E4776" w:rsidRPr="007E4776" w:rsidRDefault="007E4776" w:rsidP="007E4776">
            <w:pPr>
              <w:rPr>
                <w:rFonts w:ascii="Times New Roman" w:hAnsi="Times New Roman" w:cs="Times New Roman"/>
                <w:sz w:val="16"/>
                <w:szCs w:val="16"/>
              </w:rPr>
            </w:pPr>
          </w:p>
          <w:p w14:paraId="09AA8E2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Alpha diversity analyses</w:t>
            </w:r>
          </w:p>
          <w:p w14:paraId="6F1CB38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alpha diversity analyses</w:t>
            </w:r>
          </w:p>
          <w:p w14:paraId="3B20385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publishable graphs for alpha diversity comparisons between  pneumonia and balcxpos</w:t>
            </w:r>
          </w:p>
          <w:p w14:paraId="5E1D5DCE" w14:textId="77777777" w:rsidR="007E4776" w:rsidRPr="007E4776" w:rsidRDefault="007E4776" w:rsidP="007E4776">
            <w:pPr>
              <w:rPr>
                <w:rFonts w:ascii="Times New Roman" w:hAnsi="Times New Roman" w:cs="Times New Roman"/>
                <w:sz w:val="16"/>
                <w:szCs w:val="16"/>
              </w:rPr>
            </w:pPr>
          </w:p>
          <w:p w14:paraId="27A494A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pnadx_alphadivgraphdataset_lung &lt;- subset(pnadx_meta_lung, select = c(Sample_ID, shannon, dominance, lips_aspiration, balposbasl, lips_pneumonia, cxposbasl))</w:t>
            </w:r>
          </w:p>
          <w:p w14:paraId="6FE6DAC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make long format to enable simultaneous presentation of shannon and dominance</w:t>
            </w:r>
          </w:p>
          <w:p w14:paraId="0664BD0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library(tidyr)</w:t>
            </w:r>
          </w:p>
          <w:p w14:paraId="61B52F6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pnadx_alphadivgraphdataset_lung_long &lt;- gather(pnadx_alphadivgraphdataset_lung, alphadiv, measurement, shannon:dominance, factor_key = TRUE)</w:t>
            </w:r>
          </w:p>
          <w:p w14:paraId="7EE9600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View(pnadx_alphadivgraphdataset_lung_long)</w:t>
            </w:r>
          </w:p>
          <w:p w14:paraId="5A160146" w14:textId="77777777" w:rsidR="007E4776" w:rsidRPr="007E4776" w:rsidRDefault="007E4776" w:rsidP="007E4776">
            <w:pPr>
              <w:rPr>
                <w:rFonts w:ascii="Times New Roman" w:hAnsi="Times New Roman" w:cs="Times New Roman"/>
                <w:sz w:val="16"/>
                <w:szCs w:val="16"/>
              </w:rPr>
            </w:pPr>
          </w:p>
          <w:p w14:paraId="193BC9B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balpos</w:t>
            </w:r>
          </w:p>
          <w:p w14:paraId="25B5A7C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ggplot(pnadx_alphadivgraphdataset_lung_long, aes(x = balposbasl, y = measurement, fill = balposbasl)) + </w:t>
            </w:r>
          </w:p>
          <w:p w14:paraId="44F154C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geom_boxplot(lwd=0.8,  outlier.shape = 8) + </w:t>
            </w:r>
          </w:p>
          <w:p w14:paraId="794E42F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geom_jitter(width = 0.1,  size = 8, shape = 1)  + </w:t>
            </w:r>
          </w:p>
          <w:p w14:paraId="4A6AD99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facet_wrap(~alphadiv, scales = "free_y") + </w:t>
            </w:r>
          </w:p>
          <w:p w14:paraId="0029443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ylab("alpha diversity metric") + </w:t>
            </w:r>
          </w:p>
          <w:p w14:paraId="4A2A3F0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xlab("Respiratory Cultures") + </w:t>
            </w:r>
          </w:p>
          <w:p w14:paraId="51C0DBF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'none', axis.text.x = element_text(size=20, face="bold"), axis.text.y = element_text(face="bold", size = 16), axis.title.y = element_text(size=14),  title =element_text(size=30, face='bold')) +</w:t>
            </w:r>
          </w:p>
          <w:p w14:paraId="6EC3749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theme(strip.text = element_text(face="bold",  size = 20, colour = "blue")) + </w:t>
            </w:r>
          </w:p>
          <w:p w14:paraId="5B5C80D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theme(panel.background = element_rect(fill = "white"), panel.grid.major = element_line(size = 0.5, linetype = 'solid', colour="gray")) + scale_fill_manual(values = c("#0099FF", "#CC0000"))  + </w:t>
            </w:r>
          </w:p>
          <w:p w14:paraId="06C8D7E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scale_x_discrete(labels = c("Negative", "Positive"))</w:t>
            </w:r>
          </w:p>
          <w:p w14:paraId="620ED004" w14:textId="77777777" w:rsidR="007E4776" w:rsidRPr="007E4776" w:rsidRDefault="007E4776" w:rsidP="007E4776">
            <w:pPr>
              <w:rPr>
                <w:rFonts w:ascii="Times New Roman" w:hAnsi="Times New Roman" w:cs="Times New Roman"/>
                <w:sz w:val="16"/>
                <w:szCs w:val="16"/>
              </w:rPr>
            </w:pPr>
          </w:p>
          <w:p w14:paraId="6D4F1E4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statistical testing for shannon and dominance by balposbasl</w:t>
            </w:r>
          </w:p>
          <w:p w14:paraId="0F48F75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wilcox.test(pnadx_meta_lung$shannon ~ pnadx_meta_lung$balposbasl) # 0.02168</w:t>
            </w:r>
          </w:p>
          <w:p w14:paraId="7D466A8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wilcox.test(pnadx_meta_lung$dominance ~ pnadx_meta_lung$balposbasl) # 0.0413</w:t>
            </w:r>
          </w:p>
          <w:p w14:paraId="11726CCE" w14:textId="77777777" w:rsidR="007E4776" w:rsidRPr="007E4776" w:rsidRDefault="007E4776" w:rsidP="007E4776">
            <w:pPr>
              <w:rPr>
                <w:rFonts w:ascii="Times New Roman" w:hAnsi="Times New Roman" w:cs="Times New Roman"/>
                <w:sz w:val="16"/>
                <w:szCs w:val="16"/>
              </w:rPr>
            </w:pPr>
          </w:p>
          <w:p w14:paraId="6DC4DCB2" w14:textId="77777777" w:rsidR="007E4776" w:rsidRPr="007E4776" w:rsidRDefault="007E4776" w:rsidP="007E4776">
            <w:pPr>
              <w:rPr>
                <w:rFonts w:ascii="Times New Roman" w:hAnsi="Times New Roman" w:cs="Times New Roman"/>
                <w:sz w:val="16"/>
                <w:szCs w:val="16"/>
              </w:rPr>
            </w:pPr>
          </w:p>
          <w:p w14:paraId="34538BE8" w14:textId="77777777" w:rsidR="007E4776" w:rsidRPr="007E4776" w:rsidRDefault="007E4776" w:rsidP="007E4776">
            <w:pPr>
              <w:rPr>
                <w:rFonts w:ascii="Times New Roman" w:hAnsi="Times New Roman" w:cs="Times New Roman"/>
                <w:sz w:val="16"/>
                <w:szCs w:val="16"/>
              </w:rPr>
            </w:pPr>
          </w:p>
          <w:p w14:paraId="042B04D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 Taxonomic composition in culture positive and negative cases</w:t>
            </w:r>
          </w:p>
          <w:p w14:paraId="0165A9D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define "other" abundance in biom file</w:t>
            </w:r>
          </w:p>
          <w:p w14:paraId="343148A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pnadx_biom_lung$other &lt;- 1- (pnadx_biom_lung$contpathogenabund + pnadx_biom_lung$contoralabund)</w:t>
            </w:r>
          </w:p>
          <w:p w14:paraId="61BC838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w:t>
            </w:r>
          </w:p>
          <w:p w14:paraId="180E05F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pnadx_biom_lung$balposbasl[is.na(pnadx_biom_lung$balposbasl)] &lt;-0</w:t>
            </w:r>
          </w:p>
          <w:p w14:paraId="6D073D3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pnadx_biom_lung$cxposbasl [is.na(pnadx_biom_lung$cxposbasl)] &lt;-0</w:t>
            </w:r>
          </w:p>
          <w:p w14:paraId="49C3CC6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pnadx_biom_lung$bloodcxposbasl[is.na(pnadx_biom_lung$bloodcxposbasl)] &lt;-0</w:t>
            </w:r>
          </w:p>
          <w:p w14:paraId="7784930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pnadx_biom_lung$balposbasl &lt;- as.factor(pnadx_biom_lung$balposbasl)</w:t>
            </w:r>
          </w:p>
          <w:p w14:paraId="3408918A" w14:textId="77777777" w:rsidR="007E4776" w:rsidRPr="007E4776" w:rsidRDefault="007E4776" w:rsidP="007E4776">
            <w:pPr>
              <w:rPr>
                <w:rFonts w:ascii="Times New Roman" w:hAnsi="Times New Roman" w:cs="Times New Roman"/>
                <w:sz w:val="16"/>
                <w:szCs w:val="16"/>
              </w:rPr>
            </w:pPr>
          </w:p>
          <w:p w14:paraId="47C41E7E" w14:textId="77777777" w:rsidR="007E4776" w:rsidRPr="007E4776" w:rsidRDefault="007E4776" w:rsidP="007E4776">
            <w:pPr>
              <w:rPr>
                <w:rFonts w:ascii="Times New Roman" w:hAnsi="Times New Roman" w:cs="Times New Roman"/>
                <w:sz w:val="16"/>
                <w:szCs w:val="16"/>
              </w:rPr>
            </w:pPr>
          </w:p>
          <w:p w14:paraId="49D2ACE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filter balpos and negative files</w:t>
            </w:r>
          </w:p>
          <w:p w14:paraId="3240E22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pnadx_biom_lung_balpos &lt;- filter(pnadx_biom_lung, balposbasl==1)</w:t>
            </w:r>
          </w:p>
          <w:p w14:paraId="7E31CFA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pnadx_biom_lung_balneg &lt;- filter(pnadx_biom_lung, balposbasl==0)</w:t>
            </w:r>
          </w:p>
          <w:p w14:paraId="57F75A48" w14:textId="77777777" w:rsidR="007E4776" w:rsidRPr="007E4776" w:rsidRDefault="007E4776" w:rsidP="007E4776">
            <w:pPr>
              <w:rPr>
                <w:rFonts w:ascii="Times New Roman" w:hAnsi="Times New Roman" w:cs="Times New Roman"/>
                <w:sz w:val="16"/>
                <w:szCs w:val="16"/>
              </w:rPr>
            </w:pPr>
          </w:p>
          <w:p w14:paraId="474F73A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select only relevant taxa plus other</w:t>
            </w:r>
          </w:p>
          <w:p w14:paraId="4E15361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pnadx_biom_lung_balpos_taxa &lt;- subset(pnadx_biom_lung_balpos, select = c(Sample_ID,  staph , pseudomonas, enterobacteriaceae , escherichia , fusobacterium , haemophilus , enterococcus , mycoplasma, prevotella , veillonella , rothia, neisseria, streptococcus, granulicattella, gemella, other))</w:t>
            </w:r>
          </w:p>
          <w:p w14:paraId="1EC921CB" w14:textId="77777777" w:rsidR="007E4776" w:rsidRPr="007E4776" w:rsidRDefault="007E4776" w:rsidP="007E4776">
            <w:pPr>
              <w:rPr>
                <w:rFonts w:ascii="Times New Roman" w:hAnsi="Times New Roman" w:cs="Times New Roman"/>
                <w:sz w:val="16"/>
                <w:szCs w:val="16"/>
              </w:rPr>
            </w:pPr>
          </w:p>
          <w:p w14:paraId="252231E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transpose dataset </w:t>
            </w:r>
          </w:p>
          <w:p w14:paraId="2BE0430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https://stackoverflow.com/questions/7970179/transposing-a-dataframe-maintaining-the-first-column-as-heading</w:t>
            </w:r>
          </w:p>
          <w:p w14:paraId="5577550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https://stackoverflow.com/questions/29511215/convert-row-names-into-first-column</w:t>
            </w:r>
          </w:p>
          <w:p w14:paraId="5E05DB5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pnadx_biom_lung_balpos_taxa_transposed &lt;- as.data.frame(t(pnadx_biom_lung_balpos_taxa[, -1]))</w:t>
            </w:r>
          </w:p>
          <w:p w14:paraId="21BB69E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colnames(pnadx_biom_lung_balpos_taxa_transposed) &lt;- pnadx_biom_lung_balpos_taxa$Sample_ID</w:t>
            </w:r>
          </w:p>
          <w:p w14:paraId="2DD979B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pnadx_biom_lung_balpos_taxa_transposed$taxon &lt;- rownames(pnadx_biom_lung_balpos_taxa_transposed)</w:t>
            </w:r>
          </w:p>
          <w:p w14:paraId="0B200674" w14:textId="77777777" w:rsidR="007E4776" w:rsidRPr="007E4776" w:rsidRDefault="007E4776" w:rsidP="007E4776">
            <w:pPr>
              <w:rPr>
                <w:rFonts w:ascii="Times New Roman" w:hAnsi="Times New Roman" w:cs="Times New Roman"/>
                <w:sz w:val="16"/>
                <w:szCs w:val="16"/>
              </w:rPr>
            </w:pPr>
          </w:p>
          <w:p w14:paraId="66A44BD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melt dataset for visualizations</w:t>
            </w:r>
          </w:p>
          <w:p w14:paraId="47FF07D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 &lt;- melt(pnadx_biom_lung_balpos_taxa_transposed, id.vars = "taxon", variable.name = "SampleID", value.name = "abundance")</w:t>
            </w:r>
          </w:p>
          <w:p w14:paraId="1DDCC9E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lungbalpostaxa$Taxa &lt;- as.factor(lungbalpostaxa$taxon)</w:t>
            </w:r>
          </w:p>
          <w:p w14:paraId="3A3A73F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ggplot(lungbalpostaxa, aes(x=SampleID, y = abundance, fill = Taxa)) + geom_bar(stat="identity", colour = "black")</w:t>
            </w:r>
          </w:p>
          <w:p w14:paraId="6F809F47" w14:textId="77777777" w:rsidR="007E4776" w:rsidRPr="007E4776" w:rsidRDefault="007E4776" w:rsidP="007E4776">
            <w:pPr>
              <w:rPr>
                <w:rFonts w:ascii="Times New Roman" w:hAnsi="Times New Roman" w:cs="Times New Roman"/>
                <w:sz w:val="16"/>
                <w:szCs w:val="16"/>
              </w:rPr>
            </w:pPr>
          </w:p>
          <w:p w14:paraId="346B55F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reorder taxa</w:t>
            </w:r>
          </w:p>
          <w:p w14:paraId="14CE93A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lungbalpostaxa$Taxa  &lt;- ordered(lungbalpostaxa$Taxa , levels = c("staph", "pseudomonas", "enterobacteriaceae" , "escherichia", "fusobacterium" , "haemophilus", "enterococcus", "mycoplasma", "prevotella", "veillonella", "rothia", "neisseria", "streptococcus", "granulicattella", "gemella", "other"))</w:t>
            </w:r>
          </w:p>
          <w:p w14:paraId="5403C8E8" w14:textId="77777777" w:rsidR="007E4776" w:rsidRPr="007E4776" w:rsidRDefault="007E4776" w:rsidP="007E4776">
            <w:pPr>
              <w:rPr>
                <w:rFonts w:ascii="Times New Roman" w:hAnsi="Times New Roman" w:cs="Times New Roman"/>
                <w:sz w:val="16"/>
                <w:szCs w:val="16"/>
              </w:rPr>
            </w:pPr>
          </w:p>
          <w:p w14:paraId="303F588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ggplot(lungbalpostaxa, aes(x=SampleID, y = abundance, fill = Taxa)) + geom_bar(stat="identity") + theme_classic() </w:t>
            </w:r>
          </w:p>
          <w:p w14:paraId="09350520" w14:textId="77777777" w:rsidR="007E4776" w:rsidRPr="007E4776" w:rsidRDefault="007E4776" w:rsidP="007E4776">
            <w:pPr>
              <w:rPr>
                <w:rFonts w:ascii="Times New Roman" w:hAnsi="Times New Roman" w:cs="Times New Roman"/>
                <w:sz w:val="16"/>
                <w:szCs w:val="16"/>
              </w:rPr>
            </w:pPr>
          </w:p>
          <w:p w14:paraId="52123F51" w14:textId="77777777" w:rsidR="007E4776" w:rsidRPr="007E4776" w:rsidRDefault="007E4776" w:rsidP="007E4776">
            <w:pPr>
              <w:rPr>
                <w:rFonts w:ascii="Times New Roman" w:hAnsi="Times New Roman" w:cs="Times New Roman"/>
                <w:sz w:val="16"/>
                <w:szCs w:val="16"/>
              </w:rPr>
            </w:pPr>
          </w:p>
          <w:p w14:paraId="2113E41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create color pallette</w:t>
            </w:r>
          </w:p>
          <w:p w14:paraId="1321FBC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http://www.cookbook-r.com/Graphs/Colors_(ggplot2)/</w:t>
            </w:r>
          </w:p>
          <w:p w14:paraId="19C4EEB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colorpalette_lungbaltaxa &lt;- c("#990066","#FF0066", "#FF0000", "#FF6666", "#CC6666",  "#990000",  "#996666", "#FF6633", </w:t>
            </w:r>
          </w:p>
          <w:p w14:paraId="3305B74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"#3399FF", "#0066CC", "#003366", "#66CCFF", "#00CCFF", "#00FFFF", "#CCFFFF",</w:t>
            </w:r>
          </w:p>
          <w:p w14:paraId="7D54AA0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"#CCCCCC")</w:t>
            </w:r>
          </w:p>
          <w:p w14:paraId="340BD830" w14:textId="77777777" w:rsidR="007E4776" w:rsidRPr="007E4776" w:rsidRDefault="007E4776" w:rsidP="007E4776">
            <w:pPr>
              <w:rPr>
                <w:rFonts w:ascii="Times New Roman" w:hAnsi="Times New Roman" w:cs="Times New Roman"/>
                <w:sz w:val="16"/>
                <w:szCs w:val="16"/>
              </w:rPr>
            </w:pPr>
          </w:p>
          <w:p w14:paraId="457176D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reorder observations in trach_balpos_taxa dataset to have concordant cases first and discordant later</w:t>
            </w:r>
          </w:p>
          <w:p w14:paraId="2CE8E1EF" w14:textId="77777777" w:rsidR="007E4776" w:rsidRPr="007E4776" w:rsidRDefault="007E4776" w:rsidP="007E4776">
            <w:pPr>
              <w:rPr>
                <w:rFonts w:ascii="Times New Roman" w:hAnsi="Times New Roman" w:cs="Times New Roman"/>
                <w:sz w:val="16"/>
                <w:szCs w:val="16"/>
              </w:rPr>
            </w:pPr>
          </w:p>
          <w:p w14:paraId="7D3060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lungbalpostaxa_order &lt;- c("0102.1031.1.T", "0102.3769.1.T", "0102.3995.1.T",  "0102.3699.1.T.N", "0102.47.1.T",  "0102.3476.1.T", "0102.3508.1.T", "0102.3673.1.T", "0102.3772.1.T", "0102.3931.3.T.2", "0102.3734.1.T", "0102.3902.1.T")</w:t>
            </w:r>
          </w:p>
          <w:p w14:paraId="43FD4254" w14:textId="77777777" w:rsidR="007E4776" w:rsidRPr="007E4776" w:rsidRDefault="007E4776" w:rsidP="007E4776">
            <w:pPr>
              <w:rPr>
                <w:rFonts w:ascii="Times New Roman" w:hAnsi="Times New Roman" w:cs="Times New Roman"/>
                <w:sz w:val="16"/>
                <w:szCs w:val="16"/>
              </w:rPr>
            </w:pPr>
          </w:p>
          <w:p w14:paraId="65E6658F" w14:textId="77777777" w:rsidR="007E4776" w:rsidRPr="007E4776" w:rsidRDefault="007E4776" w:rsidP="007E4776">
            <w:pPr>
              <w:rPr>
                <w:rFonts w:ascii="Times New Roman" w:hAnsi="Times New Roman" w:cs="Times New Roman"/>
                <w:sz w:val="16"/>
                <w:szCs w:val="16"/>
              </w:rPr>
            </w:pPr>
          </w:p>
          <w:p w14:paraId="52D2FF0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library(gdata)</w:t>
            </w:r>
          </w:p>
          <w:p w14:paraId="038DC45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http://stackoverflow.com/questions/11977102/order-data-frame-rows-according-to-a-target-vector-that-specifies-the-desired-or</w:t>
            </w:r>
          </w:p>
          <w:p w14:paraId="70B15A6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lungbalpostaxa$SampleID &lt;- reorder.factor(lungbalpostaxa$SampleID, new.order = lungbalpostaxa_order)</w:t>
            </w:r>
          </w:p>
          <w:p w14:paraId="5EE5E860" w14:textId="77777777" w:rsidR="007E4776" w:rsidRPr="007E4776" w:rsidRDefault="007E4776" w:rsidP="007E4776">
            <w:pPr>
              <w:rPr>
                <w:rFonts w:ascii="Times New Roman" w:hAnsi="Times New Roman" w:cs="Times New Roman"/>
                <w:sz w:val="16"/>
                <w:szCs w:val="16"/>
              </w:rPr>
            </w:pPr>
          </w:p>
          <w:p w14:paraId="3510855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optimize label with italics/capitals for taxa names. </w:t>
            </w:r>
          </w:p>
          <w:p w14:paraId="55D7311E" w14:textId="77777777" w:rsidR="007E4776" w:rsidRPr="007E4776" w:rsidRDefault="007E4776" w:rsidP="007E4776">
            <w:pPr>
              <w:rPr>
                <w:rFonts w:ascii="Times New Roman" w:hAnsi="Times New Roman" w:cs="Times New Roman"/>
                <w:sz w:val="16"/>
                <w:szCs w:val="16"/>
              </w:rPr>
            </w:pPr>
          </w:p>
          <w:p w14:paraId="3B842AA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 &lt;- lungbalpostaxa</w:t>
            </w:r>
          </w:p>
          <w:p w14:paraId="58664CC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 &lt;- as.character(lungbalpostaxa_2$Taxa)</w:t>
            </w:r>
          </w:p>
          <w:p w14:paraId="679D040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lungbalpostaxa_2$Taxa[lungbalpostaxa_2$Taxa=="staph"] &lt;- "Staphylococcus"</w:t>
            </w:r>
          </w:p>
          <w:p w14:paraId="0DB14DA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lungbalpostaxa_2$Taxa[lungbalpostaxa_2$Taxa=="pseudomonas"] &lt;- "Pseudomonas"</w:t>
            </w:r>
          </w:p>
          <w:p w14:paraId="65FDAF5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lungbalpostaxa_2$Taxa[lungbalpostaxa_2$Taxa=="enterobacteriaceae"] &lt;- "Enterobacteriaceae"</w:t>
            </w:r>
          </w:p>
          <w:p w14:paraId="503CF0C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lungbalpostaxa_2$Taxa[lungbalpostaxa_2$Taxa=="escherichia"] &lt;- "Escherichia"</w:t>
            </w:r>
          </w:p>
          <w:p w14:paraId="4CEED1E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lungbalpostaxa_2$Taxa[lungbalpostaxa_2$Taxa=="fusobacterium"] &lt;- "Fusobacterium"</w:t>
            </w:r>
          </w:p>
          <w:p w14:paraId="00F72DD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lungbalpostaxa_2$Taxa[lungbalpostaxa_2$Taxa=="haemophilus"] &lt;- "Haemophilus"</w:t>
            </w:r>
          </w:p>
          <w:p w14:paraId="25A636F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lungbalpostaxa_2$Taxa[lungbalpostaxa_2$Taxa=="enterococcus"] &lt;- "Enterococcus"</w:t>
            </w:r>
          </w:p>
          <w:p w14:paraId="7496B15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lungbalpostaxa_2$Taxa[lungbalpostaxa_2$Taxa=="mycoplasma"] &lt;- "Mycoplasma"</w:t>
            </w:r>
          </w:p>
          <w:p w14:paraId="541E2A4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lungbalpostaxa_2$Taxa[lungbalpostaxa_2$Taxa=="prevotella"] &lt;- "Prevotella"</w:t>
            </w:r>
          </w:p>
          <w:p w14:paraId="244831D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lungbalpostaxa_2$Taxa[lungbalpostaxa_2$Taxa=="veillonella"] &lt;- "Veillonella"</w:t>
            </w:r>
          </w:p>
          <w:p w14:paraId="00ADF03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lungbalpostaxa_2$Taxa[lungbalpostaxa_2$Taxa=="rothia"] &lt;- "Rothia"</w:t>
            </w:r>
          </w:p>
          <w:p w14:paraId="2BE503F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lungbalpostaxa_2$Taxa[lungbalpostaxa_2$Taxa=="neisseria"] &lt;- "Neisseria"</w:t>
            </w:r>
          </w:p>
          <w:p w14:paraId="0BD4CA2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lungbalpostaxa_2$Taxa[lungbalpostaxa_2$Taxa=="streptococcus"] &lt;- "Streptococcus"</w:t>
            </w:r>
          </w:p>
          <w:p w14:paraId="7D5B455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lungbalpostaxa_2$Taxa[lungbalpostaxa_2$Taxa=="granulicattella"] &lt;- "Granulicattella"</w:t>
            </w:r>
          </w:p>
          <w:p w14:paraId="317F172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lungbalpostaxa_2$Taxa[lungbalpostaxa_2$Taxa=="gemella"] &lt;- "Gemella"</w:t>
            </w:r>
          </w:p>
          <w:p w14:paraId="73A7B9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lungbalpostaxa_2$Taxa[lungbalpostaxa_2$Taxa=="other"] &lt;- "Other"</w:t>
            </w:r>
          </w:p>
          <w:p w14:paraId="0474683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 &lt;- as.factor(lungbalpostaxa_2$Taxa)</w:t>
            </w:r>
          </w:p>
          <w:p w14:paraId="00CFF80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View(lungbalpostaxa_2)</w:t>
            </w:r>
          </w:p>
          <w:p w14:paraId="456BE948" w14:textId="77777777" w:rsidR="007E4776" w:rsidRPr="007E4776" w:rsidRDefault="007E4776" w:rsidP="007E4776">
            <w:pPr>
              <w:rPr>
                <w:rFonts w:ascii="Times New Roman" w:hAnsi="Times New Roman" w:cs="Times New Roman"/>
                <w:sz w:val="16"/>
                <w:szCs w:val="16"/>
              </w:rPr>
            </w:pPr>
          </w:p>
          <w:p w14:paraId="57E151D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lungbalpostaxa_2$Taxa  &lt;- ordered(lungbalpostaxa_2$Taxa , levels = c("Staphylococcus", "Pseudomonas", "Enterobacteriaceae" , "Escherichia", "Fusobacterium" , "Haemophilus", "Enterococcus", "Mycoplasma", "Prevotella", "Veillonella", "Rothia", "Neisseria", "Streptococcus", "Granulicattella", "Gemella", "Other"))</w:t>
            </w:r>
          </w:p>
          <w:p w14:paraId="7A0D6C82" w14:textId="77777777" w:rsidR="007E4776" w:rsidRPr="007E4776" w:rsidRDefault="007E4776" w:rsidP="007E4776">
            <w:pPr>
              <w:rPr>
                <w:rFonts w:ascii="Times New Roman" w:hAnsi="Times New Roman" w:cs="Times New Roman"/>
                <w:sz w:val="16"/>
                <w:szCs w:val="16"/>
              </w:rPr>
            </w:pPr>
          </w:p>
          <w:p w14:paraId="7008BB6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ggplot(lungbalpostaxa_2, aes(x=SampleID, y = abundance, fill = Taxa)) + geom_bar(stat="identity", colour = "black") +  </w:t>
            </w:r>
          </w:p>
          <w:p w14:paraId="1A0A21C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scale_fill_manual(breaks = c("Staphylococcus", "Pseudomonas", "Enterobacteriaceae" , "Escherichia", "Fusobacterium" , "Haemophilus", "Enterococcus", "Mycoplasma", "Prevotella", "Veillonella", "Rothia", "Neisseria", "Streptococcus", "Granulicattella", "Gemella", "Other"), values = colorpalette_lungbaltaxa)  + </w:t>
            </w:r>
          </w:p>
          <w:p w14:paraId="11BEB48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ggtitle("Taxonomic composition for culture positive samples") + </w:t>
            </w:r>
          </w:p>
          <w:p w14:paraId="5C203B5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scale_x_discrete(breaks = NULL) + xlab("") + ylab("Relative Abundance") + </w:t>
            </w:r>
          </w:p>
          <w:p w14:paraId="5B9251F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'bottom', axis.text.y = element_text(face="bold"))  + </w:t>
            </w:r>
          </w:p>
          <w:p w14:paraId="175EB8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theme(strip.background = element_blank(), strip.text = element_blank(), title = element_text(size=14, face='bold'), legend.text = element_text(size=14, face="italic")) +</w:t>
            </w:r>
          </w:p>
          <w:p w14:paraId="27C8F18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 0.5, label = "S.aureus", angle = 90), size = 8, colour = "black") + </w:t>
            </w:r>
          </w:p>
          <w:p w14:paraId="62E73B4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 0.6, label = "S.aureus", angle = 90), size = 8, colour = "black") +</w:t>
            </w:r>
          </w:p>
          <w:p w14:paraId="5BD9440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geom_text(aes(3, 0.7, label = "S.aureus", angle = 90), size = 8, colour = "black") + </w:t>
            </w:r>
          </w:p>
          <w:p w14:paraId="3914378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geom_text(aes(4, 0.8, label = "S.aureus", angle = 90), size = 6, colour = "black") + </w:t>
            </w:r>
          </w:p>
          <w:p w14:paraId="57A2441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geom_text(aes(5, 0.9, label = "S.aureus", angle = 90), size = 3, colour = "black") +</w:t>
            </w:r>
          </w:p>
          <w:p w14:paraId="071A828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geom_text(aes(5, 0.5, label = "H. Flu", angle = 90), size = 6, colour = "black") +</w:t>
            </w:r>
          </w:p>
          <w:p w14:paraId="1F0EC8B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geom_text(aes(6, 0.6, label = "Pseudomonas", angle = 90), size = 7, colour = "black") +</w:t>
            </w:r>
          </w:p>
          <w:p w14:paraId="1536F37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geom_text(aes(7, 0.5, label = "Klebsiella", angle = 90), size = 7, colour = "black") +</w:t>
            </w:r>
          </w:p>
          <w:p w14:paraId="7827E88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geom_text(aes(8, 0.5, label = "Klebsiella", angle = 90), size = 7, colour = "black") +</w:t>
            </w:r>
          </w:p>
          <w:p w14:paraId="2E10BFB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geom_text(aes(9, 0.5, label = "E.coli", angle = 90), size = 7, colour = "black") +</w:t>
            </w:r>
          </w:p>
          <w:p w14:paraId="5397915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geom_text(aes(10, 0.87, label = "Klebsiella", angle = 90), size = 4, colour = "black") +</w:t>
            </w:r>
          </w:p>
          <w:p w14:paraId="78AFA9D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geom_text(aes(11, 0.98, label = "Staph"), size = 4, colour = "black") + </w:t>
            </w:r>
          </w:p>
          <w:p w14:paraId="0613AB4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geom_text(aes(10, 0.5, label = "-"), size = 15, colour = "black") + </w:t>
            </w:r>
          </w:p>
          <w:p w14:paraId="3B9D596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geom_text(aes(11, 0.5, label = "-"), size = 15, colour = "black") + </w:t>
            </w:r>
          </w:p>
          <w:p w14:paraId="1E7B327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geom_text(aes(12, 0.5, label = "-"), size = 15, colour = "black") + </w:t>
            </w:r>
          </w:p>
          <w:p w14:paraId="774AB5B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geom_segment(aes(x=0.5, y=-0.05, xend=9, yend=-0.05)) + </w:t>
            </w:r>
          </w:p>
          <w:p w14:paraId="082B500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geom_segment(aes(x=10, y=-0.08, xend=12.5, yend=-0.08), linetype = "dashed") + </w:t>
            </w:r>
          </w:p>
          <w:p w14:paraId="00AA0F4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geom_text(aes(3, -0.08, label = "Culture concordance"), size = 8, colour = "black") + </w:t>
            </w:r>
          </w:p>
          <w:p w14:paraId="1718345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geom_text(aes(11, -0.10, label = "Culture discordance"), size = 5, colour = "black") +</w:t>
            </w:r>
          </w:p>
          <w:p w14:paraId="169CAD8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 1.04, label = "1"), size = 4, colour = "blue") + </w:t>
            </w:r>
          </w:p>
          <w:p w14:paraId="13B9AA5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 1.04, label = "2"), size = 4, colour = "blue") + </w:t>
            </w:r>
          </w:p>
          <w:p w14:paraId="54C86D5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geom_text(aes(3, 1.04, label = "3"), size = 4, colour = "blue") + </w:t>
            </w:r>
          </w:p>
          <w:p w14:paraId="281848E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geom_text(aes(4, 1.04, label = "4"), size = 4, colour = "blue") + </w:t>
            </w:r>
          </w:p>
          <w:p w14:paraId="46B1022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geom_text(aes(5, 1.04, label = "5"), size = 4, colour = "blue") + </w:t>
            </w:r>
          </w:p>
          <w:p w14:paraId="0FAD972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geom_text(aes(6, 1.04, label = "6"), size = 4, colour = "blue") + </w:t>
            </w:r>
          </w:p>
          <w:p w14:paraId="118B562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geom_text(aes(7, 1.04, label = "7"), size = 4, colour = "blue") + </w:t>
            </w:r>
          </w:p>
          <w:p w14:paraId="29740FF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geom_text(aes(8, 1.04, label = "8"), size = 4, colour = "blue") + </w:t>
            </w:r>
          </w:p>
          <w:p w14:paraId="6495911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geom_text(aes(9, 1.04, label = "9"), size = 4, colour = "blue") + </w:t>
            </w:r>
          </w:p>
          <w:p w14:paraId="58EBB35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geom_text(aes(10, 1.04, label = "10"), size = 4, colour = "blue") + </w:t>
            </w:r>
          </w:p>
          <w:p w14:paraId="654CBD5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geom_text(aes(11, 1.04, label = "11"), size = 4, colour = "blue") + </w:t>
            </w:r>
          </w:p>
          <w:p w14:paraId="4C099D0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geom_text(aes(12, 1.04, label = "12"), size = 4, colour = "blue") + </w:t>
            </w:r>
          </w:p>
          <w:p w14:paraId="27DA2C9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geom_text(aes(5.3, 1.04, label="#"), size=4, colour = "black") +</w:t>
            </w:r>
          </w:p>
          <w:p w14:paraId="77EDCA9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geom_text(aes(11.3, 1.04, label="#"), size=4, colour = "black") </w:t>
            </w:r>
          </w:p>
          <w:p w14:paraId="7882CB7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w:t>
            </w:r>
          </w:p>
          <w:p w14:paraId="4CC56E5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w:t>
            </w:r>
          </w:p>
          <w:p w14:paraId="4D263FF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taxonomic composition of balneg samples</w:t>
            </w:r>
          </w:p>
          <w:p w14:paraId="4F71C4F2" w14:textId="77777777" w:rsidR="007E4776" w:rsidRPr="007E4776" w:rsidRDefault="007E4776" w:rsidP="007E4776">
            <w:pPr>
              <w:rPr>
                <w:rFonts w:ascii="Times New Roman" w:hAnsi="Times New Roman" w:cs="Times New Roman"/>
                <w:sz w:val="16"/>
                <w:szCs w:val="16"/>
              </w:rPr>
            </w:pPr>
          </w:p>
          <w:p w14:paraId="5A9D514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select only relevant taxa plus other</w:t>
            </w:r>
          </w:p>
          <w:p w14:paraId="6044EB8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pnadx_biom_lung_balneg_taxa &lt;- subset(pnadx_biom_lung_balneg, select = c(Sample_ID,  staph , pseudomonas, enterobacteriaceae , escherichia , fusobacterium , haemophilus , enterococcus , mycoplasma, prevotella , veillonella , rothia, neisseria, streptococcus, granulicattella, gemella, other))</w:t>
            </w:r>
          </w:p>
          <w:p w14:paraId="4F0DBF1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remove sample 0102.3818.1.T</w:t>
            </w:r>
          </w:p>
          <w:p w14:paraId="5D67BB2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pnadx_biom_lung_balneg_taxa &lt;- pnadx_biom_lung_balneg_taxa[-23, ]</w:t>
            </w:r>
          </w:p>
          <w:p w14:paraId="6F83A80C" w14:textId="77777777" w:rsidR="007E4776" w:rsidRPr="007E4776" w:rsidRDefault="007E4776" w:rsidP="007E4776">
            <w:pPr>
              <w:rPr>
                <w:rFonts w:ascii="Times New Roman" w:hAnsi="Times New Roman" w:cs="Times New Roman"/>
                <w:sz w:val="16"/>
                <w:szCs w:val="16"/>
              </w:rPr>
            </w:pPr>
          </w:p>
          <w:p w14:paraId="28D2CF3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transpose dataset </w:t>
            </w:r>
          </w:p>
          <w:p w14:paraId="3A65532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https://stackoverflow.com/questions/7970179/transposing-a-dataframe-maintaining-the-first-column-as-heading</w:t>
            </w:r>
          </w:p>
          <w:p w14:paraId="5C3463B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https://stackoverflow.com/questions/29511215/convert-row-names-into-first-column</w:t>
            </w:r>
          </w:p>
          <w:p w14:paraId="60E1A40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pnadx_biom_lung_balneg_taxa_transposed &lt;- as.data.frame(t(pnadx_biom_lung_balneg_taxa[, -1]))</w:t>
            </w:r>
          </w:p>
          <w:p w14:paraId="4B5E0D1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colnames(pnadx_biom_lung_balneg_taxa_transposed) &lt;- pnadx_biom_lung_balneg_taxa$Sample_ID</w:t>
            </w:r>
          </w:p>
          <w:p w14:paraId="7227EFF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pnadx_biom_lung_balneg_taxa_transposed$taxon &lt;- rownames(pnadx_biom_lung_balneg_taxa_transposed)</w:t>
            </w:r>
          </w:p>
          <w:p w14:paraId="012D7F59" w14:textId="77777777" w:rsidR="007E4776" w:rsidRPr="007E4776" w:rsidRDefault="007E4776" w:rsidP="007E4776">
            <w:pPr>
              <w:rPr>
                <w:rFonts w:ascii="Times New Roman" w:hAnsi="Times New Roman" w:cs="Times New Roman"/>
                <w:sz w:val="16"/>
                <w:szCs w:val="16"/>
              </w:rPr>
            </w:pPr>
          </w:p>
          <w:p w14:paraId="497B17D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melt dataset for visualizations</w:t>
            </w:r>
          </w:p>
          <w:p w14:paraId="124DF7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lungbalnegtaxa &lt;- melt(pnadx_biom_lung_balneg_taxa_transposed, id.vars = "taxon", variable.name = "SampleID", value.name = "abundance")</w:t>
            </w:r>
          </w:p>
          <w:p w14:paraId="540CC87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lungbalnegtaxa$Taxa &lt;- as.factor(lungbalnegtaxa$taxon)</w:t>
            </w:r>
          </w:p>
          <w:p w14:paraId="0973E71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ggplot(lungbalnegtaxa, aes(x=SampleID, y = abundance, fill = Taxa)) + geom_bar(stat="identity", colour = "black")</w:t>
            </w:r>
          </w:p>
          <w:p w14:paraId="3E74E6A6" w14:textId="77777777" w:rsidR="007E4776" w:rsidRPr="007E4776" w:rsidRDefault="007E4776" w:rsidP="007E4776">
            <w:pPr>
              <w:rPr>
                <w:rFonts w:ascii="Times New Roman" w:hAnsi="Times New Roman" w:cs="Times New Roman"/>
                <w:sz w:val="16"/>
                <w:szCs w:val="16"/>
              </w:rPr>
            </w:pPr>
          </w:p>
          <w:p w14:paraId="25C135D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reorder taxa</w:t>
            </w:r>
          </w:p>
          <w:p w14:paraId="003C24A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lungbalnegtaxa$Taxa  &lt;- ordered(lungbalnegtaxa$Taxa , levels = c("staph", "pseudomonas", "enterobacteriaceae" , "escherichia", "fusobacterium" , "haemophilus", "enterococcus", "mycoplasma", "prevotella", "veillonella", "rothia", "neisseria", "streptococcus", "granulicattella", "gemella", "other"))</w:t>
            </w:r>
          </w:p>
          <w:p w14:paraId="1E57959B" w14:textId="77777777" w:rsidR="007E4776" w:rsidRPr="007E4776" w:rsidRDefault="007E4776" w:rsidP="007E4776">
            <w:pPr>
              <w:rPr>
                <w:rFonts w:ascii="Times New Roman" w:hAnsi="Times New Roman" w:cs="Times New Roman"/>
                <w:sz w:val="16"/>
                <w:szCs w:val="16"/>
              </w:rPr>
            </w:pPr>
          </w:p>
          <w:p w14:paraId="21131AD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reorder SampleIDs</w:t>
            </w:r>
          </w:p>
          <w:p w14:paraId="74F9E04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lungbalnegtaxa_order &lt;- c("0102.1819.1.T.N", "0102.3964.1.T", "0102.3927.1.T.2",  "0102.3935.1.T" , "0102.3966.1.T.2", "0102.3928.1.T", "0102.3987.1.T", "0102.3774.1.T", "0102.3862.1.T", "0102.3904.1.T",  "0102.1357.1.T.N", "0102.1767.1.T", "0102.1971.1.T",   "0102.3189.1.T.N", "0102.3538.1.T",    "0102.3641.1.T", "0102.3644.1.T", "0102.3645.1.T", "0102.3646.1.T", "0102.3672.1.T", "0102.3731.1.T", "0102.3732.1.T", "0102.3747.1R.T",   "0102.3768.1.T", "0102.3770.1.T", "0102.3771.1.T", "0102.3775.1.T", "0102.3801.1.T", "0102.3838.1.T", "0102.3847.1.T", "0102.3864.1.T","0102.3497.3.T", "0102.3901.1.T", "0102.3930.1.T", "0102.3986.1.T.2", "0102.3932.1.T", "0102.3933.1.T", "0102.3996.1.T", "0102.3934.1.T", "0102.4048.1.T", "0102.4055.1.T", "0102.3881.1.T.2")   </w:t>
            </w:r>
          </w:p>
          <w:p w14:paraId="311D0D42" w14:textId="77777777" w:rsidR="007E4776" w:rsidRPr="007E4776" w:rsidRDefault="007E4776" w:rsidP="007E4776">
            <w:pPr>
              <w:rPr>
                <w:rFonts w:ascii="Times New Roman" w:hAnsi="Times New Roman" w:cs="Times New Roman"/>
                <w:sz w:val="16"/>
                <w:szCs w:val="16"/>
              </w:rPr>
            </w:pPr>
          </w:p>
          <w:p w14:paraId="4292695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library(gdata)</w:t>
            </w:r>
          </w:p>
          <w:p w14:paraId="05DF98E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http://stackoverflow.com/questions/11977102/order-data-frame-rows-according-to-a-target-vector-that-specifies-the-desired-or</w:t>
            </w:r>
          </w:p>
          <w:p w14:paraId="6DF8AFA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lungbalnegtaxa$SampleID &lt;- reorder.factor(lungbalnegtaxa$SampleID, new.order = lungbalnegtaxa_order)</w:t>
            </w:r>
          </w:p>
          <w:p w14:paraId="7877712E" w14:textId="77777777" w:rsidR="007E4776" w:rsidRPr="007E4776" w:rsidRDefault="007E4776" w:rsidP="007E4776">
            <w:pPr>
              <w:rPr>
                <w:rFonts w:ascii="Times New Roman" w:hAnsi="Times New Roman" w:cs="Times New Roman"/>
                <w:sz w:val="16"/>
                <w:szCs w:val="16"/>
              </w:rPr>
            </w:pPr>
          </w:p>
          <w:p w14:paraId="193DF7E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graph for culture negative samples#################################</w:t>
            </w:r>
          </w:p>
          <w:p w14:paraId="795C656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ggplot(lungbalnegtaxa, aes(x=SampleID, y = abundance, fill = Taxa)) + </w:t>
            </w:r>
          </w:p>
          <w:p w14:paraId="68AB36B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geom_bar(stat="identity", colour = "black") +  </w:t>
            </w:r>
          </w:p>
          <w:p w14:paraId="0B5F3F7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scale_fill_manual(values = colorpalette_lungbaltaxa) + </w:t>
            </w:r>
          </w:p>
          <w:p w14:paraId="6011523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scale_x_discrete(breaks = NULL) + </w:t>
            </w:r>
          </w:p>
          <w:p w14:paraId="138B564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ggtitle("Taxonomic composition for culture negative samples") + xlab("") + ylab("Relative Abundance") + </w:t>
            </w:r>
          </w:p>
          <w:p w14:paraId="637AB7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'bottom',axis.text.y = element_text(face="bold"), legend.text = element_text(size=15, face="bold"))  + theme(strip.background = element_blank(), strip.text = element_blank(), title = element_text(size=14, face='bold')) + </w:t>
            </w:r>
          </w:p>
          <w:p w14:paraId="75E8B45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geom_segment(aes(x=0.5, y=-0.03, xend=9, yend=-0.03), size = 2, linetype = "solid", colour = "red") + </w:t>
            </w:r>
          </w:p>
          <w:p w14:paraId="7B5B5B2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geom_segment(aes(x=10, y=-0.04, xend=44, yend=-0.04), size = 2, linetype = "longdash", colour = "blue") + </w:t>
            </w:r>
          </w:p>
          <w:p w14:paraId="7AC4B03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geom_text(aes(4.1, -0.08, label = "Missed pathogens"), size = 5, colour = "red") + </w:t>
            </w:r>
          </w:p>
          <w:p w14:paraId="66A9587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geom_text(aes(25, -0.08, label = "Oral taxa abundance"), size = 8, colour = "blue") </w:t>
            </w:r>
          </w:p>
          <w:p w14:paraId="09B2C9E3" w14:textId="77777777" w:rsidR="007E4776" w:rsidRPr="007E4776" w:rsidRDefault="007E4776" w:rsidP="007E4776">
            <w:pPr>
              <w:rPr>
                <w:rFonts w:ascii="Times New Roman" w:hAnsi="Times New Roman" w:cs="Times New Roman"/>
                <w:sz w:val="16"/>
                <w:szCs w:val="16"/>
              </w:rPr>
            </w:pPr>
          </w:p>
          <w:p w14:paraId="2AF7ACFC" w14:textId="77777777" w:rsidR="007E4776" w:rsidRPr="007E4776" w:rsidRDefault="007E4776" w:rsidP="007E4776">
            <w:pPr>
              <w:rPr>
                <w:rFonts w:ascii="Times New Roman" w:hAnsi="Times New Roman" w:cs="Times New Roman"/>
                <w:sz w:val="16"/>
                <w:szCs w:val="16"/>
              </w:rPr>
            </w:pPr>
          </w:p>
          <w:p w14:paraId="7AB3F6C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graph without legend to combine with balposbasl</w:t>
            </w:r>
          </w:p>
          <w:p w14:paraId="650EB862" w14:textId="77777777" w:rsidR="007E4776" w:rsidRPr="007E4776" w:rsidRDefault="007E4776" w:rsidP="007E4776">
            <w:pPr>
              <w:rPr>
                <w:rFonts w:ascii="Times New Roman" w:hAnsi="Times New Roman" w:cs="Times New Roman"/>
                <w:sz w:val="16"/>
                <w:szCs w:val="16"/>
              </w:rPr>
            </w:pPr>
          </w:p>
          <w:p w14:paraId="00C4791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graph for culture negative samples#################################</w:t>
            </w:r>
          </w:p>
          <w:p w14:paraId="0C6754D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ggplot(lungbalnegtaxa, aes(x=SampleID, y = abundance, fill = Taxa)) + </w:t>
            </w:r>
          </w:p>
          <w:p w14:paraId="732F310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geom_bar(stat="identity", colour = "black") +  </w:t>
            </w:r>
          </w:p>
          <w:p w14:paraId="7479766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scale_fill_manual(values = colorpalette_lungbaltaxa) + </w:t>
            </w:r>
          </w:p>
          <w:p w14:paraId="72BF67B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scale_x_discrete(breaks = NULL) + </w:t>
            </w:r>
          </w:p>
          <w:p w14:paraId="33FBAB4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ggtitle("Taxonomic composition for culture negative samples") + xlab("") + ylab("Relative Abundance") + </w:t>
            </w:r>
          </w:p>
          <w:p w14:paraId="58E6B91B"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'none',axis.text.y = element_text(face="bold"), legend.text = element_text(size=15, face="bold"))  + theme(strip.background = element_blank(), strip.text = element_blank(), title = element_text(size=14, face='bold')) + </w:t>
            </w:r>
          </w:p>
          <w:p w14:paraId="2658136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geom_segment(aes(x=0.5, y=-0.03, xend=9, yend=-0.03), size = 2, linetype = "solid", colour = "red") + </w:t>
            </w:r>
          </w:p>
          <w:p w14:paraId="1BEC508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geom_segment(aes(x=10, y=-0.04, xend=44, yend=-0.04), size = 2, linetype = "longdash", colour = "blue") + </w:t>
            </w:r>
          </w:p>
          <w:p w14:paraId="53D9E7D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geom_text(aes(5, -0.08, label = "Missed pathogens"), size = 5, colour = "red") + </w:t>
            </w:r>
          </w:p>
          <w:p w14:paraId="699F0D2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geom_text(aes(25, -0.08, label = "Oral taxa abundance"), size = 8, colour = "blue") + </w:t>
            </w:r>
          </w:p>
          <w:p w14:paraId="15C93F6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geom_text(aes(14.1, 1.03, label="#"), size=4, colour = "black") +</w:t>
            </w:r>
          </w:p>
          <w:p w14:paraId="64932EC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geom_text(aes(22.1, 1.03, label="#"), size=4, colour = "black") +</w:t>
            </w:r>
          </w:p>
          <w:p w14:paraId="7D75B37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geom_text(aes(23.1, 1.03, label="#"), size=4, colour = "black") +</w:t>
            </w:r>
          </w:p>
          <w:p w14:paraId="2773117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geom_text(aes(26.1, 1.03, label="#"), size=4, colour = "black") </w:t>
            </w:r>
          </w:p>
          <w:p w14:paraId="0472848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w:t>
            </w:r>
          </w:p>
          <w:p w14:paraId="38524D7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w:t>
            </w:r>
          </w:p>
          <w:p w14:paraId="48737B3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diagnostic framework for eachpathogen abund 50. </w:t>
            </w:r>
          </w:p>
          <w:p w14:paraId="114ADFC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remove obs 31 from pnadx_biom_lung as this was removed at clean up phase in qiime</w:t>
            </w:r>
          </w:p>
          <w:p w14:paraId="00776CE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pnadx_biom_lung &lt;- pnadx_biom_lung[-31, ]</w:t>
            </w:r>
          </w:p>
          <w:p w14:paraId="00996F5A" w14:textId="77777777" w:rsidR="007E4776" w:rsidRPr="007E4776" w:rsidRDefault="007E4776" w:rsidP="007E4776">
            <w:pPr>
              <w:rPr>
                <w:rFonts w:ascii="Times New Roman" w:hAnsi="Times New Roman" w:cs="Times New Roman"/>
                <w:sz w:val="16"/>
                <w:szCs w:val="16"/>
              </w:rPr>
            </w:pPr>
          </w:p>
          <w:p w14:paraId="1951813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oddsratio.fisher(pnadx_biom_lung$eachpathogenabund50, pnadx_biom_lung$balposbasl) # OR 20.2 (3.4-224.3), p&lt;10-5. </w:t>
            </w:r>
          </w:p>
          <w:p w14:paraId="66D74F8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oddsratio.fisher(pnadx_biom_lung$anypathogenabund50, pnadx_biom_lung$balposbasl) # OR 38.2 (4.5-1817.6), p&lt;10-5. </w:t>
            </w:r>
          </w:p>
          <w:p w14:paraId="6D126A68" w14:textId="77777777" w:rsidR="007E4776" w:rsidRPr="007E4776" w:rsidRDefault="007E4776" w:rsidP="007E4776">
            <w:pPr>
              <w:rPr>
                <w:rFonts w:ascii="Times New Roman" w:hAnsi="Times New Roman" w:cs="Times New Roman"/>
                <w:sz w:val="16"/>
                <w:szCs w:val="16"/>
              </w:rPr>
            </w:pPr>
          </w:p>
          <w:p w14:paraId="76890C1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look at negative associations with oral taxa abundance</w:t>
            </w:r>
          </w:p>
          <w:p w14:paraId="02A0E4C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oddsratio.small(pnadx_biom_lung$eachoralabund50, pnadx_biom_lung$balposbasl)  # highly statistically significant</w:t>
            </w:r>
          </w:p>
          <w:p w14:paraId="7175A93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oddsratio.small(pnadx_biom_lung$anyoralabund50, pnadx_biom_lung$balposbasl) # highly statistically significant and clinically more relevant, indicating that if &gt;50% of the community is occupied by oral taxa, then chances of a positive culture are extremely low</w:t>
            </w:r>
          </w:p>
          <w:p w14:paraId="49E8A32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OR 0.08 0.0007744463 0.2586769. p&lt;10-6</w:t>
            </w:r>
          </w:p>
          <w:p w14:paraId="7CC804B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w:t>
            </w:r>
          </w:p>
          <w:p w14:paraId="206A538D" w14:textId="77777777" w:rsidR="007E4776" w:rsidRPr="007E4776" w:rsidRDefault="007E4776" w:rsidP="007E4776">
            <w:pPr>
              <w:rPr>
                <w:rFonts w:ascii="Times New Roman" w:hAnsi="Times New Roman" w:cs="Times New Roman"/>
                <w:sz w:val="16"/>
                <w:szCs w:val="16"/>
              </w:rPr>
            </w:pPr>
          </w:p>
          <w:p w14:paraId="2A1404F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#biomarker graphs</w:t>
            </w:r>
          </w:p>
          <w:p w14:paraId="5D1043A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use the facet_wrap function to create nice publishable graphs, but this needs a gather function of the dataset. </w:t>
            </w:r>
          </w:p>
          <w:p w14:paraId="54009DDC"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http://www.sthda.com/english/wiki/tidyr-crucial-step-reshaping-data-with-r-for-easier-analyses</w:t>
            </w:r>
          </w:p>
          <w:p w14:paraId="36B4D73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pnadx_4biomarkergraphs &lt;- subset(pnadx_biom_lung, select = c(subjectid, grouplips, balposbasl,eachpathogenabund50, anypathogenabund50,  il6_rd, rage_rd, tnfr1_rd ,il8_rd, ))</w:t>
            </w:r>
          </w:p>
          <w:p w14:paraId="52B2229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change variable names to make them look nice for graph. </w:t>
            </w:r>
          </w:p>
          <w:p w14:paraId="16E5D61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colnames(pnadx_4biomarkergraphs)[colnames(pnadx_4biomarkergraphs)=='il6_rd'] &lt;- 'IL-6'</w:t>
            </w:r>
          </w:p>
          <w:p w14:paraId="0A541FE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colnames(pnadx_4biomarkergraphs)[colnames(pnadx_4biomarkergraphs)=='rage_rd'] &lt;- 'RAGE'</w:t>
            </w:r>
          </w:p>
          <w:p w14:paraId="5857D28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colnames(pnadx_4biomarkergraphs)[colnames(pnadx_4biomarkergraphs)=='tnfr1_rd'] &lt;- 'TNFR1'</w:t>
            </w:r>
          </w:p>
          <w:p w14:paraId="3C3566E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colnames(pnadx_4biomarkergraphs)[colnames(pnadx_4biomarkergraphs)=='il8_rd'] &lt;- 'IL-8'</w:t>
            </w:r>
          </w:p>
          <w:p w14:paraId="67BA8E07" w14:textId="77777777" w:rsidR="007E4776" w:rsidRPr="007E4776" w:rsidRDefault="007E4776" w:rsidP="007E4776">
            <w:pPr>
              <w:rPr>
                <w:rFonts w:ascii="Times New Roman" w:hAnsi="Times New Roman" w:cs="Times New Roman"/>
                <w:sz w:val="16"/>
                <w:szCs w:val="16"/>
              </w:rPr>
            </w:pPr>
          </w:p>
          <w:p w14:paraId="7AE78D03" w14:textId="77777777" w:rsidR="007E4776" w:rsidRPr="007E4776" w:rsidRDefault="007E4776" w:rsidP="007E4776">
            <w:pPr>
              <w:rPr>
                <w:rFonts w:ascii="Times New Roman" w:hAnsi="Times New Roman" w:cs="Times New Roman"/>
                <w:sz w:val="16"/>
                <w:szCs w:val="16"/>
              </w:rPr>
            </w:pPr>
          </w:p>
          <w:p w14:paraId="2019B09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library(tidyr)</w:t>
            </w:r>
          </w:p>
          <w:p w14:paraId="1497638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convert to long inorder to graph cytokine variable</w:t>
            </w:r>
          </w:p>
          <w:p w14:paraId="0ED2C688" w14:textId="77777777" w:rsidR="007E4776" w:rsidRPr="007E4776" w:rsidRDefault="007E4776" w:rsidP="007E4776">
            <w:pPr>
              <w:rPr>
                <w:rFonts w:ascii="Times New Roman" w:hAnsi="Times New Roman" w:cs="Times New Roman"/>
                <w:sz w:val="16"/>
                <w:szCs w:val="16"/>
              </w:rPr>
            </w:pPr>
          </w:p>
          <w:p w14:paraId="47170C9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pnadx_4biomarkergraphs_long &lt;- gather(pnadx_4biomarkergraphs, cytokine, value,`IL-10`:`PCT`, factor_key = TRUE)</w:t>
            </w:r>
          </w:p>
          <w:p w14:paraId="5A4C18F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View(pnadx_4biomarkergraphs_long)</w:t>
            </w:r>
          </w:p>
          <w:p w14:paraId="3466701B" w14:textId="77777777" w:rsidR="007E4776" w:rsidRPr="007E4776" w:rsidRDefault="007E4776" w:rsidP="007E4776">
            <w:pPr>
              <w:rPr>
                <w:rFonts w:ascii="Times New Roman" w:hAnsi="Times New Roman" w:cs="Times New Roman"/>
                <w:sz w:val="16"/>
                <w:szCs w:val="16"/>
              </w:rPr>
            </w:pPr>
          </w:p>
          <w:p w14:paraId="58E7945F"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Graph:</w:t>
            </w:r>
          </w:p>
          <w:p w14:paraId="4733F52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ggplot(pnadx_4biomarkergraphs_long, aes(x = eachpathogenabund50, y = value, fill = eachpathogenabund50), show.legend=F) + </w:t>
            </w:r>
          </w:p>
          <w:p w14:paraId="2F51921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geom_boxplot(lwd=0.8,  notch = FALSE, aes(group=pnadx_4biomarkergraphs_long$eachpathogenabund50), alpha=0.3) +</w:t>
            </w:r>
          </w:p>
          <w:p w14:paraId="675D846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geom_jitter(width = 0.1, size=4, aes(shape = factor(pnadx_4biomarkergraphs_long$balposbasl)), show.legend=F)  +</w:t>
            </w:r>
          </w:p>
          <w:p w14:paraId="09ACF7F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facet_wrap(~cytokine, scales = "free_y") + </w:t>
            </w:r>
          </w:p>
          <w:p w14:paraId="4BB0F64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scale_shape_manual(values = c(1, 16)) +</w:t>
            </w:r>
          </w:p>
          <w:p w14:paraId="5EE4C2D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'none') + </w:t>
            </w:r>
          </w:p>
          <w:p w14:paraId="0913325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xlab("Pathogen Abundance") + </w:t>
            </w:r>
          </w:p>
          <w:p w14:paraId="407EAF43"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ylab("biomarker log-concentrations (pg/ml)") +</w:t>
            </w:r>
          </w:p>
          <w:p w14:paraId="571662A6"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theme(legend.position = 'none', axis.text.x = element_text(size=20, face="bold"), axis.text.y = element_text(face="bold", size = 12), axis.title.y = element_text(size=14),  title =element_text(size=20, face='bold')) + </w:t>
            </w:r>
          </w:p>
          <w:p w14:paraId="10D354D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theme(panel.background = element_rect(fill = "white"), panel.grid.major = element_line(size = 0.5, linetype = 'dashed', colour="gray"), strip.text = element_text(face="bold",  size = 20, colour = "black")) + </w:t>
            </w:r>
          </w:p>
          <w:p w14:paraId="1669BFF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scale_x_discrete(labels = c("&lt; 50%", "&gt; 50%")) + </w:t>
            </w:r>
          </w:p>
          <w:p w14:paraId="71F5A7F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scale_fill_manual(values = c( "#CCFFFF", "#FFCCCC")) + </w:t>
            </w:r>
          </w:p>
          <w:p w14:paraId="78389A2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scale_colour_manual(values=c("black", "red", "blue"))  </w:t>
            </w:r>
          </w:p>
          <w:p w14:paraId="2E7E764D" w14:textId="77777777" w:rsidR="007E4776" w:rsidRPr="007E4776" w:rsidRDefault="007E4776" w:rsidP="007E4776">
            <w:pPr>
              <w:rPr>
                <w:rFonts w:ascii="Times New Roman" w:hAnsi="Times New Roman" w:cs="Times New Roman"/>
                <w:sz w:val="16"/>
                <w:szCs w:val="16"/>
              </w:rPr>
            </w:pPr>
          </w:p>
          <w:p w14:paraId="448D415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examine associations of biomarkers with pathogen abundance &gt;50%</w:t>
            </w:r>
          </w:p>
          <w:p w14:paraId="7A115B02" w14:textId="77777777" w:rsidR="007E4776" w:rsidRPr="007E4776" w:rsidRDefault="007E4776" w:rsidP="007E4776">
            <w:pPr>
              <w:rPr>
                <w:rFonts w:ascii="Times New Roman" w:hAnsi="Times New Roman" w:cs="Times New Roman"/>
                <w:sz w:val="16"/>
                <w:szCs w:val="16"/>
              </w:rPr>
            </w:pPr>
          </w:p>
          <w:p w14:paraId="06DD4DD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examine independence of biomarker association to culture positivity</w:t>
            </w:r>
          </w:p>
          <w:p w14:paraId="7300238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entire cohort</w:t>
            </w:r>
          </w:p>
          <w:p w14:paraId="675F8D2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il6</w:t>
            </w:r>
          </w:p>
          <w:p w14:paraId="57B77B2B" w14:textId="77777777" w:rsidR="007E4776" w:rsidRPr="007E4776" w:rsidRDefault="007E4776" w:rsidP="007E4776">
            <w:pPr>
              <w:rPr>
                <w:rFonts w:ascii="Times New Roman" w:hAnsi="Times New Roman" w:cs="Times New Roman"/>
                <w:sz w:val="16"/>
                <w:szCs w:val="16"/>
              </w:rPr>
            </w:pPr>
          </w:p>
          <w:p w14:paraId="34FD049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lm(il6_rd ~ eachpathogenabund50,   data=pnadx_biom_lung)</w:t>
            </w:r>
          </w:p>
          <w:p w14:paraId="69A5611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139FC49F" w14:textId="77777777" w:rsidR="007E4776" w:rsidRPr="007E4776" w:rsidRDefault="007E4776" w:rsidP="007E4776">
            <w:pPr>
              <w:rPr>
                <w:rFonts w:ascii="Times New Roman" w:hAnsi="Times New Roman" w:cs="Times New Roman"/>
                <w:sz w:val="16"/>
                <w:szCs w:val="16"/>
              </w:rPr>
            </w:pPr>
          </w:p>
          <w:p w14:paraId="7346B29E"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xml:space="preserve">  fit &lt;- lm(il6_rd ~ eachpathogenabund50 + balposbasl,   data=pnadx_biom_lung)</w:t>
            </w:r>
          </w:p>
          <w:p w14:paraId="7A3F53B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3370C455" w14:textId="77777777" w:rsidR="007E4776" w:rsidRPr="007E4776" w:rsidRDefault="007E4776" w:rsidP="007E4776">
            <w:pPr>
              <w:rPr>
                <w:rFonts w:ascii="Times New Roman" w:hAnsi="Times New Roman" w:cs="Times New Roman"/>
                <w:sz w:val="16"/>
                <w:szCs w:val="16"/>
              </w:rPr>
            </w:pPr>
          </w:p>
          <w:p w14:paraId="0828B70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rage</w:t>
            </w:r>
          </w:p>
          <w:p w14:paraId="1D01C888"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lm(rage_rd~ eachpathogenabund50,   data=pnadx_biom_lung)</w:t>
            </w:r>
          </w:p>
          <w:p w14:paraId="6876C61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1BCAEB98" w14:textId="2B34D15E" w:rsidR="007E4776" w:rsidRPr="007E4776" w:rsidRDefault="007E4776" w:rsidP="007E4776">
            <w:pPr>
              <w:rPr>
                <w:rFonts w:ascii="Times New Roman" w:hAnsi="Times New Roman" w:cs="Times New Roman"/>
                <w:sz w:val="16"/>
                <w:szCs w:val="16"/>
              </w:rPr>
            </w:pPr>
          </w:p>
          <w:p w14:paraId="52BCEFB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lm(rage_rd~ eachpathogenabund50 + balposbasl,   data=pnadx_biom_lung)</w:t>
            </w:r>
          </w:p>
          <w:p w14:paraId="35457B1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05F3AED4" w14:textId="77777777" w:rsidR="007E4776" w:rsidRPr="007E4776" w:rsidRDefault="007E4776" w:rsidP="007E4776">
            <w:pPr>
              <w:rPr>
                <w:rFonts w:ascii="Times New Roman" w:hAnsi="Times New Roman" w:cs="Times New Roman"/>
                <w:sz w:val="16"/>
                <w:szCs w:val="16"/>
              </w:rPr>
            </w:pPr>
          </w:p>
          <w:p w14:paraId="7086AAD1" w14:textId="77777777" w:rsidR="007E4776" w:rsidRPr="007E4776" w:rsidRDefault="007E4776" w:rsidP="007E4776">
            <w:pPr>
              <w:rPr>
                <w:rFonts w:ascii="Times New Roman" w:hAnsi="Times New Roman" w:cs="Times New Roman"/>
                <w:sz w:val="16"/>
                <w:szCs w:val="16"/>
              </w:rPr>
            </w:pPr>
          </w:p>
          <w:p w14:paraId="79540FC7"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tnfr1</w:t>
            </w:r>
          </w:p>
          <w:p w14:paraId="28EE4F3D"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lm(tnfr1_rd~ eachpathogenabund50,   data=pnadx_biom_lung)</w:t>
            </w:r>
          </w:p>
          <w:p w14:paraId="59629A1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02DC60CA"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lm(tnfr1_rd~ eachpathogenabund50 + balposbasl,   data=pnadx_biom_lung)</w:t>
            </w:r>
          </w:p>
          <w:p w14:paraId="5B79D8A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538DF7F8" w14:textId="77777777" w:rsidR="007E4776" w:rsidRPr="007E4776" w:rsidRDefault="007E4776" w:rsidP="007E4776">
            <w:pPr>
              <w:rPr>
                <w:rFonts w:ascii="Times New Roman" w:hAnsi="Times New Roman" w:cs="Times New Roman"/>
                <w:sz w:val="16"/>
                <w:szCs w:val="16"/>
              </w:rPr>
            </w:pPr>
          </w:p>
          <w:p w14:paraId="086EB5A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il8</w:t>
            </w:r>
          </w:p>
          <w:p w14:paraId="1A3B388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lm(il8_rd~ eachpathogenabund50,   data=pnadx_biom_lung)</w:t>
            </w:r>
          </w:p>
          <w:p w14:paraId="6CF49F1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01E6AA4F" w14:textId="2450C3AA" w:rsidR="007E4776" w:rsidRPr="007E4776" w:rsidRDefault="007E4776" w:rsidP="007E4776">
            <w:pPr>
              <w:rPr>
                <w:rFonts w:ascii="Times New Roman" w:hAnsi="Times New Roman" w:cs="Times New Roman"/>
                <w:sz w:val="16"/>
                <w:szCs w:val="16"/>
              </w:rPr>
            </w:pPr>
          </w:p>
          <w:p w14:paraId="09203F71"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lm(il8_rd~ eachpathogenabund50 + balposbasl,   data=pnadx_biom_lung)</w:t>
            </w:r>
          </w:p>
          <w:p w14:paraId="352E8202"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2CD2AE91" w14:textId="77777777" w:rsidR="007E4776" w:rsidRPr="007E4776" w:rsidRDefault="007E4776" w:rsidP="007E4776">
            <w:pPr>
              <w:rPr>
                <w:rFonts w:ascii="Times New Roman" w:hAnsi="Times New Roman" w:cs="Times New Roman"/>
                <w:sz w:val="16"/>
                <w:szCs w:val="16"/>
              </w:rPr>
            </w:pPr>
          </w:p>
          <w:p w14:paraId="297FB5B0" w14:textId="77777777" w:rsidR="007E4776" w:rsidRPr="007E4776" w:rsidRDefault="007E4776" w:rsidP="007E4776">
            <w:pPr>
              <w:rPr>
                <w:rFonts w:ascii="Times New Roman" w:hAnsi="Times New Roman" w:cs="Times New Roman"/>
                <w:sz w:val="16"/>
                <w:szCs w:val="16"/>
              </w:rPr>
            </w:pPr>
          </w:p>
          <w:p w14:paraId="2369DF94"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 procalcitonin</w:t>
            </w:r>
          </w:p>
          <w:p w14:paraId="2FB304E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lm(procalcitonin_rd~ eachpathogenabund50,   data=pnadx_biom_lung)</w:t>
            </w:r>
          </w:p>
          <w:p w14:paraId="01D037D0"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175735E9"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fit &lt;- lm(procalcitonin_rd~ eachpathogenabund50 + balposbasl,   data=pnadx_biom_lung)</w:t>
            </w:r>
          </w:p>
          <w:p w14:paraId="07BBF215" w14:textId="77777777" w:rsidR="007E4776" w:rsidRPr="007E4776" w:rsidRDefault="007E4776" w:rsidP="007E4776">
            <w:pPr>
              <w:rPr>
                <w:rFonts w:ascii="Times New Roman" w:hAnsi="Times New Roman" w:cs="Times New Roman"/>
                <w:sz w:val="16"/>
                <w:szCs w:val="16"/>
              </w:rPr>
            </w:pPr>
            <w:r w:rsidRPr="007E4776">
              <w:rPr>
                <w:rFonts w:ascii="Times New Roman" w:hAnsi="Times New Roman" w:cs="Times New Roman"/>
                <w:sz w:val="16"/>
                <w:szCs w:val="16"/>
              </w:rPr>
              <w:t>summary(fit)</w:t>
            </w:r>
          </w:p>
          <w:p w14:paraId="11466809" w14:textId="77777777" w:rsidR="007E4776" w:rsidRPr="007E4776" w:rsidRDefault="007E4776" w:rsidP="007E4776">
            <w:pPr>
              <w:rPr>
                <w:rFonts w:ascii="Times New Roman" w:hAnsi="Times New Roman" w:cs="Times New Roman"/>
                <w:sz w:val="16"/>
                <w:szCs w:val="16"/>
              </w:rPr>
            </w:pPr>
          </w:p>
          <w:p w14:paraId="5511E96D" w14:textId="77777777" w:rsidR="007E4776" w:rsidRPr="007E4776" w:rsidRDefault="007E4776" w:rsidP="007E4776">
            <w:pPr>
              <w:rPr>
                <w:rFonts w:ascii="Times New Roman" w:hAnsi="Times New Roman" w:cs="Times New Roman"/>
                <w:sz w:val="16"/>
                <w:szCs w:val="16"/>
              </w:rPr>
            </w:pPr>
          </w:p>
          <w:p w14:paraId="0FEE2203" w14:textId="77777777" w:rsidR="007E4776" w:rsidRDefault="007E4776" w:rsidP="003B399E">
            <w:pPr>
              <w:rPr>
                <w:rFonts w:ascii="Times New Roman" w:hAnsi="Times New Roman" w:cs="Times New Roman"/>
                <w:sz w:val="16"/>
                <w:szCs w:val="16"/>
              </w:rPr>
            </w:pPr>
          </w:p>
        </w:tc>
      </w:tr>
    </w:tbl>
    <w:p w14:paraId="465B21CC" w14:textId="77777777" w:rsidR="007E4776" w:rsidRPr="007E4776" w:rsidRDefault="007E4776" w:rsidP="003B399E">
      <w:pPr>
        <w:rPr>
          <w:rFonts w:ascii="Times New Roman" w:hAnsi="Times New Roman" w:cs="Times New Roman"/>
          <w:sz w:val="16"/>
          <w:szCs w:val="16"/>
        </w:rPr>
      </w:pPr>
    </w:p>
    <w:p w14:paraId="02D98CBC" w14:textId="77777777" w:rsidR="007E4776" w:rsidRPr="007E4776" w:rsidRDefault="007E4776" w:rsidP="003B399E">
      <w:pPr>
        <w:rPr>
          <w:rFonts w:ascii="Times New Roman" w:hAnsi="Times New Roman" w:cs="Times New Roman"/>
          <w:sz w:val="16"/>
          <w:szCs w:val="16"/>
        </w:rPr>
      </w:pPr>
    </w:p>
    <w:p w14:paraId="48C2D241" w14:textId="77777777" w:rsidR="006B24A5" w:rsidRDefault="006B24A5" w:rsidP="003B399E">
      <w:pPr>
        <w:rPr>
          <w:rFonts w:ascii="Times New Roman" w:hAnsi="Times New Roman" w:cs="Times New Roman"/>
        </w:rPr>
      </w:pPr>
    </w:p>
    <w:p w14:paraId="0457D3AF" w14:textId="3B5BFA24" w:rsidR="006B24A5" w:rsidRDefault="006B24A5">
      <w:pPr>
        <w:rPr>
          <w:rFonts w:ascii="Times New Roman" w:hAnsi="Times New Roman" w:cs="Times New Roman"/>
        </w:rPr>
      </w:pPr>
      <w:r>
        <w:rPr>
          <w:rFonts w:ascii="Times New Roman" w:hAnsi="Times New Roman" w:cs="Times New Roman"/>
        </w:rPr>
        <w:br w:type="page"/>
      </w:r>
    </w:p>
    <w:p w14:paraId="23F264C7" w14:textId="77777777" w:rsidR="0035571D" w:rsidRPr="003B399E" w:rsidRDefault="00394E55" w:rsidP="003B399E">
      <w:pPr>
        <w:rPr>
          <w:rFonts w:ascii="Times New Roman" w:hAnsi="Times New Roman" w:cs="Times New Roman"/>
        </w:rPr>
      </w:pPr>
      <w:r w:rsidRPr="003B399E">
        <w:rPr>
          <w:rFonts w:ascii="Times New Roman" w:hAnsi="Times New Roman" w:cs="Times New Roman"/>
        </w:rPr>
        <w:t>Bibliography</w:t>
      </w:r>
    </w:p>
    <w:p w14:paraId="059927DF" w14:textId="77777777" w:rsidR="008D4385" w:rsidRPr="003B399E" w:rsidRDefault="00394E55" w:rsidP="003B399E">
      <w:pPr>
        <w:widowControl w:val="0"/>
        <w:autoSpaceDE w:val="0"/>
        <w:autoSpaceDN w:val="0"/>
        <w:adjustRightInd w:val="0"/>
        <w:rPr>
          <w:rFonts w:ascii="Times New Roman" w:hAnsi="Times New Roman" w:cs="Times New Roman"/>
          <w:noProof/>
        </w:rPr>
      </w:pPr>
      <w:r w:rsidRPr="003B399E">
        <w:rPr>
          <w:rFonts w:ascii="Times New Roman" w:hAnsi="Times New Roman" w:cs="Times New Roman"/>
        </w:rPr>
        <w:fldChar w:fldCharType="begin"/>
      </w:r>
      <w:r w:rsidR="008D4385" w:rsidRPr="003B399E">
        <w:rPr>
          <w:rFonts w:ascii="Times New Roman" w:hAnsi="Times New Roman" w:cs="Times New Roman"/>
        </w:rPr>
        <w:instrText>ADDIN F1000_CSL_BIBLIOGRAPHY</w:instrText>
      </w:r>
      <w:r w:rsidRPr="003B399E">
        <w:rPr>
          <w:rFonts w:ascii="Times New Roman" w:hAnsi="Times New Roman" w:cs="Times New Roman"/>
        </w:rPr>
        <w:fldChar w:fldCharType="separate"/>
      </w:r>
    </w:p>
    <w:p w14:paraId="5F9B3EB2"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Aliferis, C. F., Statnikov, A., Tsamardinos, I., Mani, S., and Koutsoukos, X. D. (2010a). Local Causal and Markov Blanket Induction for Causal Discovery and Feature Selection for Classification Part I: Algorithms and Empirical Evaluation. </w:t>
      </w:r>
      <w:r w:rsidRPr="003B399E">
        <w:rPr>
          <w:rFonts w:ascii="Times New Roman" w:hAnsi="Times New Roman" w:cs="Times New Roman"/>
          <w:i/>
          <w:iCs/>
          <w:noProof/>
        </w:rPr>
        <w:t>Journal of Machine Learning Research</w:t>
      </w:r>
      <w:r w:rsidRPr="003B399E">
        <w:rPr>
          <w:rFonts w:ascii="Times New Roman" w:hAnsi="Times New Roman" w:cs="Times New Roman"/>
          <w:noProof/>
        </w:rPr>
        <w:t>.</w:t>
      </w:r>
    </w:p>
    <w:p w14:paraId="61C124B4"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Aliferis, C. F., Statnikov, A., Tsamardinos, I., Mani, S., and Koutsoukos, X. D. (2010b). Local Causal and Markov Blanket Induction for Causal Discovery and Feature Selection for Classification Part II: Analysis and Extensions. </w:t>
      </w:r>
      <w:r w:rsidRPr="003B399E">
        <w:rPr>
          <w:rFonts w:ascii="Times New Roman" w:hAnsi="Times New Roman" w:cs="Times New Roman"/>
          <w:i/>
          <w:iCs/>
          <w:noProof/>
        </w:rPr>
        <w:t>Journal of Machine Learning Research</w:t>
      </w:r>
      <w:r w:rsidRPr="003B399E">
        <w:rPr>
          <w:rFonts w:ascii="Times New Roman" w:hAnsi="Times New Roman" w:cs="Times New Roman"/>
          <w:noProof/>
        </w:rPr>
        <w:t>.</w:t>
      </w:r>
    </w:p>
    <w:p w14:paraId="49A9F8C3"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ARDS Definition Task Force, Ranieri, V. M., Rubenfeld, G. D., Thompson, B. T., Ferguson, N. D., Caldwell, E., Fan, E., Camporota, L., and Slutsky, A. S. (2012). Acute respiratory distress syndrome: the Berlin Definition. </w:t>
      </w:r>
      <w:r w:rsidRPr="003B399E">
        <w:rPr>
          <w:rFonts w:ascii="Times New Roman" w:hAnsi="Times New Roman" w:cs="Times New Roman"/>
          <w:i/>
          <w:iCs/>
          <w:noProof/>
        </w:rPr>
        <w:t>JAMA</w:t>
      </w:r>
      <w:r w:rsidRPr="003B399E">
        <w:rPr>
          <w:rFonts w:ascii="Times New Roman" w:hAnsi="Times New Roman" w:cs="Times New Roman"/>
          <w:noProof/>
        </w:rPr>
        <w:t xml:space="preserve"> 307, 2526–2533. doi:10.1001/jama.2012.5669.</w:t>
      </w:r>
    </w:p>
    <w:p w14:paraId="18B935D9"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Calfee, C. S., Delucchi, K., Parsons, P. E., Thompson, B. T., Ware, L. B., Matthay, M. A., and NHLBI ARDS Network (2014). Subphenotypes in acute respiratory distress syndrome: latent class analysis of data from two randomised controlled trials. </w:t>
      </w:r>
      <w:r w:rsidRPr="003B399E">
        <w:rPr>
          <w:rFonts w:ascii="Times New Roman" w:hAnsi="Times New Roman" w:cs="Times New Roman"/>
          <w:i/>
          <w:iCs/>
          <w:noProof/>
        </w:rPr>
        <w:t>Lancet Respir. Med.</w:t>
      </w:r>
      <w:r w:rsidRPr="003B399E">
        <w:rPr>
          <w:rFonts w:ascii="Times New Roman" w:hAnsi="Times New Roman" w:cs="Times New Roman"/>
          <w:noProof/>
        </w:rPr>
        <w:t xml:space="preserve"> 2, 611–620. doi:10.1016/S2213-2600(14)70097-9.</w:t>
      </w:r>
    </w:p>
    <w:p w14:paraId="1453739E"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Caporaso, J. G., Kuczynski, J., Stombaugh, J., Bittinger, K., Bushman, F. D., Costello, E. K., Fierer, N., Peña, A. G., Goodrich, J. K., Gordon, J. I., et al. (2010). QIIME allows analysis of high-throughput community sequencing data. </w:t>
      </w:r>
      <w:r w:rsidRPr="003B399E">
        <w:rPr>
          <w:rFonts w:ascii="Times New Roman" w:hAnsi="Times New Roman" w:cs="Times New Roman"/>
          <w:i/>
          <w:iCs/>
          <w:noProof/>
        </w:rPr>
        <w:t>Nat Methods</w:t>
      </w:r>
      <w:r w:rsidRPr="003B399E">
        <w:rPr>
          <w:rFonts w:ascii="Times New Roman" w:hAnsi="Times New Roman" w:cs="Times New Roman"/>
          <w:noProof/>
        </w:rPr>
        <w:t xml:space="preserve"> 7, 335–336. doi:10.1038/nmeth.f.303.</w:t>
      </w:r>
    </w:p>
    <w:p w14:paraId="60872733"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Caporaso, J. G., Lauber, C. L., Walters, W. A., Berg-Lyons, D., Huntley, J., Fierer, N., Owens, S. M., Betley, J., Fraser, L., Bauer, M., et al. (2012). Ultra-high-throughput microbial community analysis on the Illumina HiSeq and MiSeq platforms. </w:t>
      </w:r>
      <w:r w:rsidRPr="003B399E">
        <w:rPr>
          <w:rFonts w:ascii="Times New Roman" w:hAnsi="Times New Roman" w:cs="Times New Roman"/>
          <w:i/>
          <w:iCs/>
          <w:noProof/>
        </w:rPr>
        <w:t>ISME J</w:t>
      </w:r>
      <w:r w:rsidRPr="003B399E">
        <w:rPr>
          <w:rFonts w:ascii="Times New Roman" w:hAnsi="Times New Roman" w:cs="Times New Roman"/>
          <w:noProof/>
        </w:rPr>
        <w:t xml:space="preserve"> 6, 1621–1624. doi:10.1038/ismej.2012.8.</w:t>
      </w:r>
    </w:p>
    <w:p w14:paraId="3BF7AF36"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Dixon, P. (2003). VEGAN, a package of R functions for community ecology. </w:t>
      </w:r>
      <w:r w:rsidRPr="003B399E">
        <w:rPr>
          <w:rFonts w:ascii="Times New Roman" w:hAnsi="Times New Roman" w:cs="Times New Roman"/>
          <w:i/>
          <w:iCs/>
          <w:noProof/>
        </w:rPr>
        <w:t>Journal of Vegetation Science</w:t>
      </w:r>
      <w:r w:rsidRPr="003B399E">
        <w:rPr>
          <w:rFonts w:ascii="Times New Roman" w:hAnsi="Times New Roman" w:cs="Times New Roman"/>
          <w:noProof/>
        </w:rPr>
        <w:t xml:space="preserve"> 14, 927–930. doi:10.1111/j.1654-1103.2003.tb02228.x.</w:t>
      </w:r>
    </w:p>
    <w:p w14:paraId="280982BC"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Famous, K. R., Delucchi, K., Ware, L. B., Kangelaris, K. N., Liu, K. D., Thompson, B. T., Calfee, C. S., and ARDS Network (2017). Acute respiratory distress syndrome subphenotypes respond differently to randomized fluid management strategy. </w:t>
      </w:r>
      <w:r w:rsidRPr="003B399E">
        <w:rPr>
          <w:rFonts w:ascii="Times New Roman" w:hAnsi="Times New Roman" w:cs="Times New Roman"/>
          <w:i/>
          <w:iCs/>
          <w:noProof/>
        </w:rPr>
        <w:t>Am J Respir Crit Care Med</w:t>
      </w:r>
      <w:r w:rsidRPr="003B399E">
        <w:rPr>
          <w:rFonts w:ascii="Times New Roman" w:hAnsi="Times New Roman" w:cs="Times New Roman"/>
          <w:noProof/>
        </w:rPr>
        <w:t xml:space="preserve"> 195, 331–338. doi:10.1164/rccm.201603-0645OC.</w:t>
      </w:r>
    </w:p>
    <w:p w14:paraId="0FE93127"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Gong, M. N., Thompson, B. T., Williams, P., Pothier, L., Boyce, P. D., and Christiani, D. C. (2005). Clinical predictors of and mortality in acute respiratory distress syndrome: potential role of red cell transfusion. </w:t>
      </w:r>
      <w:r w:rsidRPr="003B399E">
        <w:rPr>
          <w:rFonts w:ascii="Times New Roman" w:hAnsi="Times New Roman" w:cs="Times New Roman"/>
          <w:i/>
          <w:iCs/>
          <w:noProof/>
        </w:rPr>
        <w:t>Crit Care Med</w:t>
      </w:r>
      <w:r w:rsidRPr="003B399E">
        <w:rPr>
          <w:rFonts w:ascii="Times New Roman" w:hAnsi="Times New Roman" w:cs="Times New Roman"/>
          <w:noProof/>
        </w:rPr>
        <w:t xml:space="preserve"> 33, 1191–1198.</w:t>
      </w:r>
    </w:p>
    <w:p w14:paraId="000F6A42"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Haas, B. J., Gevers, D., Earl, A. M., Feldgarden, M., Ward, D. V., Giannoukos, G., Ciulla, D., Tabbaa, D., Highlander, S. K., Sodergren, E., et al. (2011). Chimeric 16S rRNA sequence formation and detection in Sanger and 454-pyrosequenced PCR amplicons. </w:t>
      </w:r>
      <w:r w:rsidRPr="003B399E">
        <w:rPr>
          <w:rFonts w:ascii="Times New Roman" w:hAnsi="Times New Roman" w:cs="Times New Roman"/>
          <w:i/>
          <w:iCs/>
          <w:noProof/>
        </w:rPr>
        <w:t>Genome Res</w:t>
      </w:r>
      <w:r w:rsidRPr="003B399E">
        <w:rPr>
          <w:rFonts w:ascii="Times New Roman" w:hAnsi="Times New Roman" w:cs="Times New Roman"/>
          <w:noProof/>
        </w:rPr>
        <w:t xml:space="preserve"> 21, 494–504. doi:10.1101/gr.112730.110.</w:t>
      </w:r>
    </w:p>
    <w:p w14:paraId="6A6C0538"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Hastie, T., Tibshirani, R., and Friedman, J. (2009). </w:t>
      </w:r>
      <w:r w:rsidRPr="003B399E">
        <w:rPr>
          <w:rFonts w:ascii="Times New Roman" w:hAnsi="Times New Roman" w:cs="Times New Roman"/>
          <w:i/>
          <w:iCs/>
          <w:noProof/>
        </w:rPr>
        <w:t>The Elements of Statistical Learning</w:t>
      </w:r>
      <w:r w:rsidRPr="003B399E">
        <w:rPr>
          <w:rFonts w:ascii="Times New Roman" w:hAnsi="Times New Roman" w:cs="Times New Roman"/>
          <w:noProof/>
        </w:rPr>
        <w:t>. New York, NY: Springer New York doi:10.1007/978-0-387-84858-7.</w:t>
      </w:r>
    </w:p>
    <w:p w14:paraId="4D112BBB"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Jain, S., Self, W. H., Wunderink, R. G., Fakhran, S., Balk, R., Bramley, A. M., Reed, C., Grijalva, C. G., Anderson, E. J., Courtney, D. M., et al. (2015). Community-Acquired Pneumonia Requiring Hospitalization among U.S. Adults. </w:t>
      </w:r>
      <w:r w:rsidRPr="003B399E">
        <w:rPr>
          <w:rFonts w:ascii="Times New Roman" w:hAnsi="Times New Roman" w:cs="Times New Roman"/>
          <w:i/>
          <w:iCs/>
          <w:noProof/>
        </w:rPr>
        <w:t>N Engl J Med</w:t>
      </w:r>
      <w:r w:rsidRPr="003B399E">
        <w:rPr>
          <w:rFonts w:ascii="Times New Roman" w:hAnsi="Times New Roman" w:cs="Times New Roman"/>
          <w:noProof/>
        </w:rPr>
        <w:t xml:space="preserve"> 373, 415–427. doi:10.1056/NEJMoa1500245.</w:t>
      </w:r>
    </w:p>
    <w:p w14:paraId="26C78C1D"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Kalanuria, A. A., Ziai, W., and Mirski, M. (2014). Ventilator-associated pneumonia in the ICU. </w:t>
      </w:r>
      <w:r w:rsidRPr="003B399E">
        <w:rPr>
          <w:rFonts w:ascii="Times New Roman" w:hAnsi="Times New Roman" w:cs="Times New Roman"/>
          <w:i/>
          <w:iCs/>
          <w:noProof/>
        </w:rPr>
        <w:t>Crit Care</w:t>
      </w:r>
      <w:r w:rsidRPr="003B399E">
        <w:rPr>
          <w:rFonts w:ascii="Times New Roman" w:hAnsi="Times New Roman" w:cs="Times New Roman"/>
          <w:noProof/>
        </w:rPr>
        <w:t xml:space="preserve"> 18, 208. doi:10.1186/cc13775.</w:t>
      </w:r>
    </w:p>
    <w:p w14:paraId="5056EC95"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Kalil, A. C., Metersky, M. L., Klompas, M., Muscedere, J., Sweeney, D. A., Palmer, L. B., Napolitano, L. M., O’Grady, N. P., Bartlett, J. G., Carratalà, J., et al. (2016). Executive Summary: Management of Adults With Hospital-acquired and Ventilator-associated Pneumonia: 2016 Clinical Practice Guidelines by the Infectious Diseases Society of America and the American Thoracic Society. </w:t>
      </w:r>
      <w:r w:rsidRPr="003B399E">
        <w:rPr>
          <w:rFonts w:ascii="Times New Roman" w:hAnsi="Times New Roman" w:cs="Times New Roman"/>
          <w:i/>
          <w:iCs/>
          <w:noProof/>
        </w:rPr>
        <w:t>Clin Infect Dis</w:t>
      </w:r>
      <w:r w:rsidRPr="003B399E">
        <w:rPr>
          <w:rFonts w:ascii="Times New Roman" w:hAnsi="Times New Roman" w:cs="Times New Roman"/>
          <w:noProof/>
        </w:rPr>
        <w:t xml:space="preserve"> 63, 575–582. doi:10.1093/cid/ciw504.</w:t>
      </w:r>
    </w:p>
    <w:p w14:paraId="31BEE4E0"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Kelly, B. J., Imai, I., Bittinger, K., Laughlin, A., Fuchs, B. D., Bushman, F. D., and Collman, R. G. (2016). Composition and dynamics of the respiratory tract microbiome in intubated patients. </w:t>
      </w:r>
      <w:r w:rsidRPr="003B399E">
        <w:rPr>
          <w:rFonts w:ascii="Times New Roman" w:hAnsi="Times New Roman" w:cs="Times New Roman"/>
          <w:i/>
          <w:iCs/>
          <w:noProof/>
        </w:rPr>
        <w:t>Microbiome</w:t>
      </w:r>
      <w:r w:rsidRPr="003B399E">
        <w:rPr>
          <w:rFonts w:ascii="Times New Roman" w:hAnsi="Times New Roman" w:cs="Times New Roman"/>
          <w:noProof/>
        </w:rPr>
        <w:t xml:space="preserve"> 4, 7. doi:10.1186/s40168-016-0151-8.</w:t>
      </w:r>
    </w:p>
    <w:p w14:paraId="035F2990"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Khoury, M., Little, J., and Burke, W. (2003). “ACCE: A Model Process for Evaluating Data on Emerging Genetic Tests,” in </w:t>
      </w:r>
      <w:r w:rsidRPr="003B399E">
        <w:rPr>
          <w:rFonts w:ascii="Times New Roman" w:hAnsi="Times New Roman" w:cs="Times New Roman"/>
          <w:i/>
          <w:iCs/>
          <w:noProof/>
        </w:rPr>
        <w:t>Human Genome Epidemiology: A Scientific Foundation for Using Genetic Information to Improve Health and Prevent Disease</w:t>
      </w:r>
      <w:r w:rsidRPr="003B399E">
        <w:rPr>
          <w:rFonts w:ascii="Times New Roman" w:hAnsi="Times New Roman" w:cs="Times New Roman"/>
          <w:noProof/>
        </w:rPr>
        <w:t>, 217–233.</w:t>
      </w:r>
    </w:p>
    <w:p w14:paraId="74CA3806"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Kitsios, G. D., Morowitz, M. J., Dickson, R. P., Huffnagle, G. B., McVerry, B. J., and Morris, A. (2017). Dysbiosis in the intensive care unit: Microbiome science coming to the bedside. </w:t>
      </w:r>
      <w:r w:rsidRPr="003B399E">
        <w:rPr>
          <w:rFonts w:ascii="Times New Roman" w:hAnsi="Times New Roman" w:cs="Times New Roman"/>
          <w:i/>
          <w:iCs/>
          <w:noProof/>
        </w:rPr>
        <w:t>J Crit Care</w:t>
      </w:r>
      <w:r w:rsidRPr="003B399E">
        <w:rPr>
          <w:rFonts w:ascii="Times New Roman" w:hAnsi="Times New Roman" w:cs="Times New Roman"/>
          <w:noProof/>
        </w:rPr>
        <w:t xml:space="preserve"> 38, 84–91. doi:10.1016/j.jcrc.2016.09.029.</w:t>
      </w:r>
    </w:p>
    <w:p w14:paraId="0CD43FA9"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McKay, H. S., Margolick, J. B., Martínez-Maza, O., Lopez, J., Phair, J., Rappocciolo, G., Denny, T. N., Magpantay, L. I., Jacobson, L. P., and Bream, J. H. (2017). Multiplex assay reliability and long-term intra-individual variation of serologic inflammatory biomarkers. </w:t>
      </w:r>
      <w:r w:rsidRPr="003B399E">
        <w:rPr>
          <w:rFonts w:ascii="Times New Roman" w:hAnsi="Times New Roman" w:cs="Times New Roman"/>
          <w:i/>
          <w:iCs/>
          <w:noProof/>
        </w:rPr>
        <w:t>Cytokine</w:t>
      </w:r>
      <w:r w:rsidRPr="003B399E">
        <w:rPr>
          <w:rFonts w:ascii="Times New Roman" w:hAnsi="Times New Roman" w:cs="Times New Roman"/>
          <w:noProof/>
        </w:rPr>
        <w:t xml:space="preserve"> 90, 185–192. doi:10.1016/j.cyto.2016.09.018.</w:t>
      </w:r>
    </w:p>
    <w:p w14:paraId="459AE513"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Mehta, R. L., Kellum, J. A., Shah, S. V., Molitoris, B. A., Ronco, C., Warnock, D. G., Levin, A., and Acute Kidney Injury Network (2007). Acute Kidney Injury Network: report of an initiative to improve outcomes in acute kidney injury. </w:t>
      </w:r>
      <w:r w:rsidRPr="003B399E">
        <w:rPr>
          <w:rFonts w:ascii="Times New Roman" w:hAnsi="Times New Roman" w:cs="Times New Roman"/>
          <w:i/>
          <w:iCs/>
          <w:noProof/>
        </w:rPr>
        <w:t>Crit Care</w:t>
      </w:r>
      <w:r w:rsidRPr="003B399E">
        <w:rPr>
          <w:rFonts w:ascii="Times New Roman" w:hAnsi="Times New Roman" w:cs="Times New Roman"/>
          <w:noProof/>
        </w:rPr>
        <w:t xml:space="preserve"> 11, R31. doi:10.1186/cc5713.</w:t>
      </w:r>
    </w:p>
    <w:p w14:paraId="6252E9F5"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Morgulis, A., Gertz, E. M., Schäffer, A. A., and Agarwala, R. (2006). A fast and symmetric DUST implementation to mask low-complexity DNA sequences. </w:t>
      </w:r>
      <w:r w:rsidRPr="003B399E">
        <w:rPr>
          <w:rFonts w:ascii="Times New Roman" w:hAnsi="Times New Roman" w:cs="Times New Roman"/>
          <w:i/>
          <w:iCs/>
          <w:noProof/>
        </w:rPr>
        <w:t>J Comput Biol</w:t>
      </w:r>
      <w:r w:rsidRPr="003B399E">
        <w:rPr>
          <w:rFonts w:ascii="Times New Roman" w:hAnsi="Times New Roman" w:cs="Times New Roman"/>
          <w:noProof/>
        </w:rPr>
        <w:t xml:space="preserve"> 13, 1028–1040. doi:10.1089/cmb.2006.13.1028.</w:t>
      </w:r>
    </w:p>
    <w:p w14:paraId="21E656F7"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Morris, A., Beck, J. M., Schloss, P. D., Campbell, T. B., Crothers, K., Curtis, J. L., Flores, S. C., Fontenot, A. P., Ghedin, E., Huang, L., et al. (2013). Comparison of the respiratory microbiome in healthy nonsmokers and smokers. </w:t>
      </w:r>
      <w:r w:rsidRPr="003B399E">
        <w:rPr>
          <w:rFonts w:ascii="Times New Roman" w:hAnsi="Times New Roman" w:cs="Times New Roman"/>
          <w:i/>
          <w:iCs/>
          <w:noProof/>
        </w:rPr>
        <w:t>Am J Respir Crit Care Med</w:t>
      </w:r>
      <w:r w:rsidRPr="003B399E">
        <w:rPr>
          <w:rFonts w:ascii="Times New Roman" w:hAnsi="Times New Roman" w:cs="Times New Roman"/>
          <w:noProof/>
        </w:rPr>
        <w:t xml:space="preserve"> 187, 1067–1075. doi:10.1164/rccm.201210-1913OC.</w:t>
      </w:r>
    </w:p>
    <w:p w14:paraId="1CA2F7FB"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Narvaez-Rivera, R. M., Rendon, A., Salinas-Carmona, M. C., and Rosas-Taraco, A. G. (2012). Soluble RAGE as a severity marker in community acquired pneumonia associated sepsis. </w:t>
      </w:r>
      <w:r w:rsidRPr="003B399E">
        <w:rPr>
          <w:rFonts w:ascii="Times New Roman" w:hAnsi="Times New Roman" w:cs="Times New Roman"/>
          <w:i/>
          <w:iCs/>
          <w:noProof/>
        </w:rPr>
        <w:t>BMC Infect Dis</w:t>
      </w:r>
      <w:r w:rsidRPr="003B399E">
        <w:rPr>
          <w:rFonts w:ascii="Times New Roman" w:hAnsi="Times New Roman" w:cs="Times New Roman"/>
          <w:noProof/>
        </w:rPr>
        <w:t xml:space="preserve"> 12, 15. doi:10.1186/1471-2334-12-15.</w:t>
      </w:r>
    </w:p>
    <w:p w14:paraId="33101F24"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Neto, A. S., Barbas, C. S. V., Simonis, F. D., Artigas-Raventós, A., Canet, J., Determann, R. M., Anstey, J., Hedenstierna, G., Hemmes, S. N. T., Hermans, G., et al. (2016). Epidemiological characteristics, practice of ventilation, and clinical outcome in patients at risk of acute respiratory distress syndrome in intensive care units from 16 countries (PRoVENT): an international, multicentre, prospective study. </w:t>
      </w:r>
      <w:r w:rsidRPr="003B399E">
        <w:rPr>
          <w:rFonts w:ascii="Times New Roman" w:hAnsi="Times New Roman" w:cs="Times New Roman"/>
          <w:i/>
          <w:iCs/>
          <w:noProof/>
        </w:rPr>
        <w:t>Lancet Respir. Med.</w:t>
      </w:r>
      <w:r w:rsidRPr="003B399E">
        <w:rPr>
          <w:rFonts w:ascii="Times New Roman" w:hAnsi="Times New Roman" w:cs="Times New Roman"/>
          <w:noProof/>
        </w:rPr>
        <w:t xml:space="preserve"> 4, 882–893. doi:10.1016/S2213-2600(16)30305-8.</w:t>
      </w:r>
    </w:p>
    <w:p w14:paraId="0C878272"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Panzer, A. R., Lynch, S. V., Langelier, C., Christie, J. D., McCauley, K., Nelson, M., Cheung, C. K., Benowitz, N. L., Cohen, M. J., and Calfee, C. S. (2017). Lung microbiota is related to smoking status and to development of ARDS in critically ill trauma patients. </w:t>
      </w:r>
      <w:r w:rsidRPr="003B399E">
        <w:rPr>
          <w:rFonts w:ascii="Times New Roman" w:hAnsi="Times New Roman" w:cs="Times New Roman"/>
          <w:i/>
          <w:iCs/>
          <w:noProof/>
        </w:rPr>
        <w:t>Am J Respir Crit Care Med</w:t>
      </w:r>
      <w:r w:rsidRPr="003B399E">
        <w:rPr>
          <w:rFonts w:ascii="Times New Roman" w:hAnsi="Times New Roman" w:cs="Times New Roman"/>
          <w:noProof/>
        </w:rPr>
        <w:t>. doi:10.1164/rccm.201702-0441OC.</w:t>
      </w:r>
    </w:p>
    <w:p w14:paraId="45A40523"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Pattern Recognition and Machine Learning | Christopher Bishop | Springer Available at: http://www.springer.com/us/book/9780387310732 [Accessed December 1, 2017].</w:t>
      </w:r>
    </w:p>
    <w:p w14:paraId="4065F29F" w14:textId="4BCD58C2"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R Foundation for Statistical Computing, R. C. T. (2016). </w:t>
      </w:r>
      <w:r w:rsidRPr="003B399E">
        <w:rPr>
          <w:rFonts w:ascii="Times New Roman" w:hAnsi="Times New Roman" w:cs="Times New Roman"/>
          <w:i/>
          <w:iCs/>
          <w:noProof/>
        </w:rPr>
        <w:t>R: A Language and Environment for Statistical Computing</w:t>
      </w:r>
      <w:r w:rsidRPr="003B399E">
        <w:rPr>
          <w:rFonts w:ascii="Times New Roman" w:hAnsi="Times New Roman" w:cs="Times New Roman"/>
          <w:noProof/>
        </w:rPr>
        <w:t>. Vienna, Austria: CRAN.</w:t>
      </w:r>
    </w:p>
    <w:p w14:paraId="22198E9D"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Schloss, P. D., Westcott, S. L., Ryabin, T., Hall, J. R., Hartmann, M., Hollister, E. B., Lesniewski, R. A., Oakley, B. B., Parks, D. H., Robinson, C. J., et al. (2009). Introducing mothur: open-source, platform-independent, community-supported software for describing and comparing microbial communities. </w:t>
      </w:r>
      <w:r w:rsidRPr="003B399E">
        <w:rPr>
          <w:rFonts w:ascii="Times New Roman" w:hAnsi="Times New Roman" w:cs="Times New Roman"/>
          <w:i/>
          <w:iCs/>
          <w:noProof/>
        </w:rPr>
        <w:t>Appl Environ Microbiol</w:t>
      </w:r>
      <w:r w:rsidRPr="003B399E">
        <w:rPr>
          <w:rFonts w:ascii="Times New Roman" w:hAnsi="Times New Roman" w:cs="Times New Roman"/>
          <w:noProof/>
        </w:rPr>
        <w:t xml:space="preserve"> 75, 7537–7541. doi:10.1128/AEM.01541-09.</w:t>
      </w:r>
    </w:p>
    <w:p w14:paraId="4980D023"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Sedgewick, A. J., Shi, I., Donovan, R. M., and Benos, P. V. (2016). Learning mixed graphical models with separate sparsity parameters and stability-based model selection. </w:t>
      </w:r>
      <w:r w:rsidRPr="003B399E">
        <w:rPr>
          <w:rFonts w:ascii="Times New Roman" w:hAnsi="Times New Roman" w:cs="Times New Roman"/>
          <w:i/>
          <w:iCs/>
          <w:noProof/>
        </w:rPr>
        <w:t>BMC Bioinformatics</w:t>
      </w:r>
      <w:r w:rsidRPr="003B399E">
        <w:rPr>
          <w:rFonts w:ascii="Times New Roman" w:hAnsi="Times New Roman" w:cs="Times New Roman"/>
          <w:noProof/>
        </w:rPr>
        <w:t xml:space="preserve"> 17 Suppl 5, 175. doi:10.1186/s12859-016-1039-0.</w:t>
      </w:r>
    </w:p>
    <w:p w14:paraId="6DBDA3E8"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Segal, L. N., Clemente, J. C., Tsay, J.-C. J., Koralov, S. B., Keller, B. C., Wu, B. G., Li, Y., Shen, N., Ghedin, E., Morris, A., et al. (2016). Enrichment of the lung microbiome with oral taxa is associated with lung inflammation of a Th17 phenotype. </w:t>
      </w:r>
      <w:r w:rsidRPr="003B399E">
        <w:rPr>
          <w:rFonts w:ascii="Times New Roman" w:hAnsi="Times New Roman" w:cs="Times New Roman"/>
          <w:i/>
          <w:iCs/>
          <w:noProof/>
        </w:rPr>
        <w:t>Nat. Microbiol.</w:t>
      </w:r>
      <w:r w:rsidRPr="003B399E">
        <w:rPr>
          <w:rFonts w:ascii="Times New Roman" w:hAnsi="Times New Roman" w:cs="Times New Roman"/>
          <w:noProof/>
        </w:rPr>
        <w:t xml:space="preserve"> 1, 16031. doi:10.1038/nmicrobiol.2016.31.</w:t>
      </w:r>
    </w:p>
    <w:p w14:paraId="1F45E947"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Singer, M., Deutschman, C. S., Seymour, C. W., Shankar-Hari, M., Annane, D., Bauer, M., Bellomo, R., Bernard, G. R., Chiche, J.-D., Coopersmith, C. M., et al. (2016). The Third International Consensus Definitions for Sepsis and Septic Shock (Sepsis-3). </w:t>
      </w:r>
      <w:r w:rsidRPr="003B399E">
        <w:rPr>
          <w:rFonts w:ascii="Times New Roman" w:hAnsi="Times New Roman" w:cs="Times New Roman"/>
          <w:i/>
          <w:iCs/>
          <w:noProof/>
        </w:rPr>
        <w:t>JAMA</w:t>
      </w:r>
      <w:r w:rsidRPr="003B399E">
        <w:rPr>
          <w:rFonts w:ascii="Times New Roman" w:hAnsi="Times New Roman" w:cs="Times New Roman"/>
          <w:noProof/>
        </w:rPr>
        <w:t xml:space="preserve"> 315, 801–810. doi:10.1001/jama.2016.0287.</w:t>
      </w:r>
    </w:p>
    <w:p w14:paraId="58131525"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Srinivasan, R., Karaoz, U., Volegova, M., MacKichan, J., Kato-Maeda, M., Miller, S., Nadarajan, R., Brodie, E. L., and Lynch, S. V. (2015). Use of 16S rRNA gene for identification of a broad range of clinically relevant bacterial pathogens. </w:t>
      </w:r>
      <w:r w:rsidRPr="003B399E">
        <w:rPr>
          <w:rFonts w:ascii="Times New Roman" w:hAnsi="Times New Roman" w:cs="Times New Roman"/>
          <w:i/>
          <w:iCs/>
          <w:noProof/>
        </w:rPr>
        <w:t>PLoS ONE</w:t>
      </w:r>
      <w:r w:rsidRPr="003B399E">
        <w:rPr>
          <w:rFonts w:ascii="Times New Roman" w:hAnsi="Times New Roman" w:cs="Times New Roman"/>
          <w:noProof/>
        </w:rPr>
        <w:t xml:space="preserve"> 10, e0117617. doi:10.1371/journal.pone.0117617.</w:t>
      </w:r>
    </w:p>
    <w:p w14:paraId="6F1F09CD" w14:textId="77777777" w:rsidR="008D4385" w:rsidRPr="003B399E" w:rsidRDefault="008D4385" w:rsidP="003B399E">
      <w:pPr>
        <w:widowControl w:val="0"/>
        <w:autoSpaceDE w:val="0"/>
        <w:autoSpaceDN w:val="0"/>
        <w:adjustRightInd w:val="0"/>
        <w:ind w:left="720" w:hanging="720"/>
        <w:rPr>
          <w:rFonts w:ascii="Times New Roman" w:hAnsi="Times New Roman" w:cs="Times New Roman"/>
          <w:noProof/>
        </w:rPr>
      </w:pPr>
      <w:r w:rsidRPr="003B399E">
        <w:rPr>
          <w:rFonts w:ascii="Times New Roman" w:hAnsi="Times New Roman" w:cs="Times New Roman"/>
          <w:noProof/>
        </w:rPr>
        <w:t xml:space="preserve">Zumla, A., Tawfiq, J. A. Al-, Enne, V. I., Kidd, M., Drosten, C., Breuer, J., Muller, M. A., Hui, D., Maeurer, M., Bates, M., et al. (2014). Rapid point of care diagnostic tests for viral and bacterial respiratory tract infections--needs, advances, and future prospects. </w:t>
      </w:r>
      <w:r w:rsidRPr="003B399E">
        <w:rPr>
          <w:rFonts w:ascii="Times New Roman" w:hAnsi="Times New Roman" w:cs="Times New Roman"/>
          <w:i/>
          <w:iCs/>
          <w:noProof/>
        </w:rPr>
        <w:t>Lancet Infect Dis</w:t>
      </w:r>
      <w:r w:rsidRPr="003B399E">
        <w:rPr>
          <w:rFonts w:ascii="Times New Roman" w:hAnsi="Times New Roman" w:cs="Times New Roman"/>
          <w:noProof/>
        </w:rPr>
        <w:t xml:space="preserve"> 14, 1123–1135. doi:10.1016/S1473-3099(14)70827-8.</w:t>
      </w:r>
    </w:p>
    <w:p w14:paraId="1A7C5D64" w14:textId="65D87C34" w:rsidR="00394E55" w:rsidRPr="003B399E" w:rsidRDefault="00394E55" w:rsidP="003B399E">
      <w:pPr>
        <w:widowControl w:val="0"/>
        <w:autoSpaceDE w:val="0"/>
        <w:autoSpaceDN w:val="0"/>
        <w:adjustRightInd w:val="0"/>
        <w:rPr>
          <w:rFonts w:ascii="Times New Roman" w:hAnsi="Times New Roman" w:cs="Times New Roman"/>
        </w:rPr>
      </w:pPr>
      <w:r w:rsidRPr="003B399E">
        <w:rPr>
          <w:rFonts w:ascii="Times New Roman" w:hAnsi="Times New Roman" w:cs="Times New Roman"/>
        </w:rPr>
        <w:fldChar w:fldCharType="end"/>
      </w:r>
    </w:p>
    <w:sectPr w:rsidR="00394E55" w:rsidRPr="003B399E" w:rsidSect="00D3062F">
      <w:footerReference w:type="even" r:id="rId15"/>
      <w:footerReference w:type="default" r:id="rId16"/>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0DD110" w15:done="0"/>
  <w15:commentEx w15:paraId="481A2921" w15:done="0"/>
  <w15:commentEx w15:paraId="2EA8BA6B" w15:done="0"/>
  <w15:commentEx w15:paraId="1A047623" w15:done="0"/>
  <w15:commentEx w15:paraId="3834D955" w15:done="0"/>
  <w15:commentEx w15:paraId="5E8269B1" w15:done="0"/>
  <w15:commentEx w15:paraId="4C1DA70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6B84B" w14:textId="77777777" w:rsidR="009C2A18" w:rsidRDefault="009C2A18" w:rsidP="00614A99">
      <w:r>
        <w:separator/>
      </w:r>
    </w:p>
  </w:endnote>
  <w:endnote w:type="continuationSeparator" w:id="0">
    <w:p w14:paraId="53D4BCC3" w14:textId="77777777" w:rsidR="009C2A18" w:rsidRDefault="009C2A18" w:rsidP="0061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73852" w14:textId="77777777" w:rsidR="009C2A18" w:rsidRDefault="009C2A18" w:rsidP="00614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F86E24" w14:textId="77777777" w:rsidR="009C2A18" w:rsidRDefault="009C2A18" w:rsidP="00F7285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006F6" w14:textId="3CFDA2DB" w:rsidR="009C2A18" w:rsidRDefault="009C2A18" w:rsidP="00614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2D41">
      <w:rPr>
        <w:rStyle w:val="PageNumber"/>
        <w:noProof/>
      </w:rPr>
      <w:t>1</w:t>
    </w:r>
    <w:r>
      <w:rPr>
        <w:rStyle w:val="PageNumber"/>
      </w:rPr>
      <w:fldChar w:fldCharType="end"/>
    </w:r>
  </w:p>
  <w:p w14:paraId="30A8093F" w14:textId="77777777" w:rsidR="009C2A18" w:rsidRDefault="009C2A18" w:rsidP="00267FE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84B5C" w14:textId="77777777" w:rsidR="009C2A18" w:rsidRDefault="009C2A18" w:rsidP="00614A99">
      <w:r>
        <w:separator/>
      </w:r>
    </w:p>
  </w:footnote>
  <w:footnote w:type="continuationSeparator" w:id="0">
    <w:p w14:paraId="1C9661AB" w14:textId="77777777" w:rsidR="009C2A18" w:rsidRDefault="009C2A18" w:rsidP="00614A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5A0AE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25305B5"/>
    <w:multiLevelType w:val="hybridMultilevel"/>
    <w:tmpl w:val="4F8C24FA"/>
    <w:lvl w:ilvl="0" w:tplc="A9DCD718">
      <w:start w:val="1"/>
      <w:numFmt w:val="bullet"/>
      <w:pStyle w:val="TableTitl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2A6B7D13"/>
    <w:multiLevelType w:val="hybridMultilevel"/>
    <w:tmpl w:val="3C3A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156B5C"/>
    <w:multiLevelType w:val="hybridMultilevel"/>
    <w:tmpl w:val="A084556C"/>
    <w:lvl w:ilvl="0" w:tplc="7D882648">
      <w:start w:val="1"/>
      <w:numFmt w:val="decimal"/>
      <w:lvlText w:val="%1."/>
      <w:lvlJc w:val="left"/>
      <w:pPr>
        <w:ind w:left="720" w:hanging="360"/>
      </w:pPr>
      <w:rPr>
        <w:rFonts w:ascii="Arial" w:eastAsiaTheme="minorEastAsia" w:hAnsi="Arial"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516162"/>
    <w:multiLevelType w:val="hybridMultilevel"/>
    <w:tmpl w:val="6A90B29C"/>
    <w:lvl w:ilvl="0" w:tplc="7D882648">
      <w:start w:val="1"/>
      <w:numFmt w:val="decimal"/>
      <w:lvlText w:val="%1."/>
      <w:lvlJc w:val="left"/>
      <w:pPr>
        <w:ind w:left="720"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1E554C"/>
    <w:multiLevelType w:val="hybridMultilevel"/>
    <w:tmpl w:val="9984D4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7E6BF7"/>
    <w:multiLevelType w:val="hybridMultilevel"/>
    <w:tmpl w:val="9CFA9A5E"/>
    <w:lvl w:ilvl="0" w:tplc="9D3A4A16">
      <w:start w:val="1"/>
      <w:numFmt w:val="decimal"/>
      <w:lvlText w:val="%1."/>
      <w:lvlJc w:val="left"/>
      <w:pPr>
        <w:ind w:left="1720" w:hanging="1000"/>
      </w:pPr>
      <w:rPr>
        <w:rFonts w:eastAsiaTheme="minorEastAsia"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Verry, Bryan J">
    <w15:presenceInfo w15:providerId="AD" w15:userId="S-1-5-21-2100575077-1586313154-91453608-190473"/>
  </w15:person>
  <w15:person w15:author="Morris, Alison M.">
    <w15:presenceInfo w15:providerId="AD" w15:userId="S-1-5-21-2100575077-1586313154-91453608-243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70"/>
    <w:rsid w:val="00013E81"/>
    <w:rsid w:val="00023AFE"/>
    <w:rsid w:val="00033E68"/>
    <w:rsid w:val="000345DB"/>
    <w:rsid w:val="0003660B"/>
    <w:rsid w:val="00040242"/>
    <w:rsid w:val="00043F9F"/>
    <w:rsid w:val="00060083"/>
    <w:rsid w:val="0006221A"/>
    <w:rsid w:val="00062726"/>
    <w:rsid w:val="00063F2A"/>
    <w:rsid w:val="00064B09"/>
    <w:rsid w:val="0006632F"/>
    <w:rsid w:val="00066C23"/>
    <w:rsid w:val="00073568"/>
    <w:rsid w:val="00074753"/>
    <w:rsid w:val="000751B5"/>
    <w:rsid w:val="00084512"/>
    <w:rsid w:val="00092A6F"/>
    <w:rsid w:val="000951E8"/>
    <w:rsid w:val="000A39BD"/>
    <w:rsid w:val="000B1A09"/>
    <w:rsid w:val="000C7F8B"/>
    <w:rsid w:val="000D3742"/>
    <w:rsid w:val="000D4DE2"/>
    <w:rsid w:val="000E1096"/>
    <w:rsid w:val="000E64EA"/>
    <w:rsid w:val="000F6CBC"/>
    <w:rsid w:val="000F72C8"/>
    <w:rsid w:val="00100E38"/>
    <w:rsid w:val="00104196"/>
    <w:rsid w:val="00110205"/>
    <w:rsid w:val="001129F6"/>
    <w:rsid w:val="0011403B"/>
    <w:rsid w:val="00117CE5"/>
    <w:rsid w:val="00117CF7"/>
    <w:rsid w:val="00122214"/>
    <w:rsid w:val="00140464"/>
    <w:rsid w:val="00143243"/>
    <w:rsid w:val="00146AC3"/>
    <w:rsid w:val="00146B4B"/>
    <w:rsid w:val="00153323"/>
    <w:rsid w:val="00156451"/>
    <w:rsid w:val="00166630"/>
    <w:rsid w:val="0017003C"/>
    <w:rsid w:val="00174201"/>
    <w:rsid w:val="00180378"/>
    <w:rsid w:val="00183454"/>
    <w:rsid w:val="0019048C"/>
    <w:rsid w:val="00190EC9"/>
    <w:rsid w:val="001920D9"/>
    <w:rsid w:val="001A2D43"/>
    <w:rsid w:val="001B4582"/>
    <w:rsid w:val="001B4C01"/>
    <w:rsid w:val="001B5EB5"/>
    <w:rsid w:val="001B6F2B"/>
    <w:rsid w:val="001C362D"/>
    <w:rsid w:val="001C364F"/>
    <w:rsid w:val="001C69AB"/>
    <w:rsid w:val="001D18C7"/>
    <w:rsid w:val="001D5C86"/>
    <w:rsid w:val="001E11C3"/>
    <w:rsid w:val="001E241C"/>
    <w:rsid w:val="001F2F29"/>
    <w:rsid w:val="001F623F"/>
    <w:rsid w:val="00201207"/>
    <w:rsid w:val="00202D2E"/>
    <w:rsid w:val="00212D41"/>
    <w:rsid w:val="00213B95"/>
    <w:rsid w:val="00233681"/>
    <w:rsid w:val="00235CBB"/>
    <w:rsid w:val="00240682"/>
    <w:rsid w:val="00240A72"/>
    <w:rsid w:val="0025317E"/>
    <w:rsid w:val="00254B9E"/>
    <w:rsid w:val="00255FD5"/>
    <w:rsid w:val="00260FCD"/>
    <w:rsid w:val="0026644F"/>
    <w:rsid w:val="00267FED"/>
    <w:rsid w:val="00272740"/>
    <w:rsid w:val="002732B6"/>
    <w:rsid w:val="00274C00"/>
    <w:rsid w:val="002803B2"/>
    <w:rsid w:val="00282D53"/>
    <w:rsid w:val="00284D40"/>
    <w:rsid w:val="0028595E"/>
    <w:rsid w:val="002976A8"/>
    <w:rsid w:val="002A1B66"/>
    <w:rsid w:val="002B47F0"/>
    <w:rsid w:val="002B6505"/>
    <w:rsid w:val="002B7450"/>
    <w:rsid w:val="002C49A3"/>
    <w:rsid w:val="002D0B51"/>
    <w:rsid w:val="002D45A7"/>
    <w:rsid w:val="002E0396"/>
    <w:rsid w:val="002F0202"/>
    <w:rsid w:val="002F2D70"/>
    <w:rsid w:val="0030189E"/>
    <w:rsid w:val="003032DB"/>
    <w:rsid w:val="0030629B"/>
    <w:rsid w:val="00306E88"/>
    <w:rsid w:val="003135AD"/>
    <w:rsid w:val="003340F6"/>
    <w:rsid w:val="00334F96"/>
    <w:rsid w:val="00342FF8"/>
    <w:rsid w:val="00346294"/>
    <w:rsid w:val="0035571D"/>
    <w:rsid w:val="00364E8A"/>
    <w:rsid w:val="003774E4"/>
    <w:rsid w:val="00383E48"/>
    <w:rsid w:val="00394E55"/>
    <w:rsid w:val="0039789C"/>
    <w:rsid w:val="003A3B89"/>
    <w:rsid w:val="003A5CB4"/>
    <w:rsid w:val="003B3829"/>
    <w:rsid w:val="003B399E"/>
    <w:rsid w:val="003B39CE"/>
    <w:rsid w:val="003C17B7"/>
    <w:rsid w:val="003C70C5"/>
    <w:rsid w:val="003E162C"/>
    <w:rsid w:val="003E4AAA"/>
    <w:rsid w:val="003F1189"/>
    <w:rsid w:val="003F2BBB"/>
    <w:rsid w:val="003F63F3"/>
    <w:rsid w:val="004043D8"/>
    <w:rsid w:val="0040742B"/>
    <w:rsid w:val="00412E15"/>
    <w:rsid w:val="00422A81"/>
    <w:rsid w:val="004548A8"/>
    <w:rsid w:val="00456596"/>
    <w:rsid w:val="0047026A"/>
    <w:rsid w:val="00472969"/>
    <w:rsid w:val="0047776A"/>
    <w:rsid w:val="004807F3"/>
    <w:rsid w:val="00480D17"/>
    <w:rsid w:val="00481DE5"/>
    <w:rsid w:val="00483142"/>
    <w:rsid w:val="004A089F"/>
    <w:rsid w:val="004A4ED3"/>
    <w:rsid w:val="004B5A3B"/>
    <w:rsid w:val="004C51B5"/>
    <w:rsid w:val="004C5D19"/>
    <w:rsid w:val="004C78F5"/>
    <w:rsid w:val="004D3304"/>
    <w:rsid w:val="004D4B66"/>
    <w:rsid w:val="004E0A9E"/>
    <w:rsid w:val="004F792B"/>
    <w:rsid w:val="005304DB"/>
    <w:rsid w:val="00532C51"/>
    <w:rsid w:val="00534EE5"/>
    <w:rsid w:val="0053686F"/>
    <w:rsid w:val="00556A61"/>
    <w:rsid w:val="005578F9"/>
    <w:rsid w:val="00561C9D"/>
    <w:rsid w:val="00561F2D"/>
    <w:rsid w:val="00565DAB"/>
    <w:rsid w:val="00572D3D"/>
    <w:rsid w:val="00573724"/>
    <w:rsid w:val="00583343"/>
    <w:rsid w:val="005855B9"/>
    <w:rsid w:val="00586545"/>
    <w:rsid w:val="00591DD7"/>
    <w:rsid w:val="00595CBC"/>
    <w:rsid w:val="005A1ECF"/>
    <w:rsid w:val="005B5A85"/>
    <w:rsid w:val="005B6489"/>
    <w:rsid w:val="005C0D10"/>
    <w:rsid w:val="005C647C"/>
    <w:rsid w:val="005D4A2C"/>
    <w:rsid w:val="005D680B"/>
    <w:rsid w:val="005D7404"/>
    <w:rsid w:val="005E1632"/>
    <w:rsid w:val="005E3AF4"/>
    <w:rsid w:val="005F08EB"/>
    <w:rsid w:val="00606EBA"/>
    <w:rsid w:val="00614A99"/>
    <w:rsid w:val="00616D51"/>
    <w:rsid w:val="00617D5C"/>
    <w:rsid w:val="00647487"/>
    <w:rsid w:val="006520FC"/>
    <w:rsid w:val="006557EA"/>
    <w:rsid w:val="00655CF4"/>
    <w:rsid w:val="00655DF1"/>
    <w:rsid w:val="0065698E"/>
    <w:rsid w:val="0066062B"/>
    <w:rsid w:val="00661FB8"/>
    <w:rsid w:val="0066353D"/>
    <w:rsid w:val="00664434"/>
    <w:rsid w:val="006645C4"/>
    <w:rsid w:val="00694081"/>
    <w:rsid w:val="00694931"/>
    <w:rsid w:val="00694E51"/>
    <w:rsid w:val="006A3936"/>
    <w:rsid w:val="006A440B"/>
    <w:rsid w:val="006B24A5"/>
    <w:rsid w:val="006B28CC"/>
    <w:rsid w:val="006B45F2"/>
    <w:rsid w:val="006D1606"/>
    <w:rsid w:val="006D3AB2"/>
    <w:rsid w:val="006D51A6"/>
    <w:rsid w:val="00705B71"/>
    <w:rsid w:val="0071566D"/>
    <w:rsid w:val="00724C4C"/>
    <w:rsid w:val="007304EF"/>
    <w:rsid w:val="00733F04"/>
    <w:rsid w:val="00733F56"/>
    <w:rsid w:val="00741773"/>
    <w:rsid w:val="007417E5"/>
    <w:rsid w:val="00775B02"/>
    <w:rsid w:val="007874CD"/>
    <w:rsid w:val="007929BB"/>
    <w:rsid w:val="007A0DE8"/>
    <w:rsid w:val="007A0E43"/>
    <w:rsid w:val="007A72B7"/>
    <w:rsid w:val="007B4868"/>
    <w:rsid w:val="007C31F3"/>
    <w:rsid w:val="007C3846"/>
    <w:rsid w:val="007E4776"/>
    <w:rsid w:val="007F0730"/>
    <w:rsid w:val="007F2528"/>
    <w:rsid w:val="007F7640"/>
    <w:rsid w:val="00800823"/>
    <w:rsid w:val="00803CCC"/>
    <w:rsid w:val="00805C15"/>
    <w:rsid w:val="00811E0E"/>
    <w:rsid w:val="00817FD8"/>
    <w:rsid w:val="00820C80"/>
    <w:rsid w:val="008226C4"/>
    <w:rsid w:val="00822821"/>
    <w:rsid w:val="00830B65"/>
    <w:rsid w:val="00834F66"/>
    <w:rsid w:val="0083506E"/>
    <w:rsid w:val="00837BB7"/>
    <w:rsid w:val="00846B3B"/>
    <w:rsid w:val="00851F11"/>
    <w:rsid w:val="008642B5"/>
    <w:rsid w:val="00865491"/>
    <w:rsid w:val="008666D2"/>
    <w:rsid w:val="0086683F"/>
    <w:rsid w:val="00877ED7"/>
    <w:rsid w:val="00882A49"/>
    <w:rsid w:val="00885AB7"/>
    <w:rsid w:val="008910BF"/>
    <w:rsid w:val="00891632"/>
    <w:rsid w:val="008B1B7F"/>
    <w:rsid w:val="008B5BBF"/>
    <w:rsid w:val="008B6EEC"/>
    <w:rsid w:val="008B6F87"/>
    <w:rsid w:val="008B7C51"/>
    <w:rsid w:val="008C0686"/>
    <w:rsid w:val="008C37FF"/>
    <w:rsid w:val="008C50FB"/>
    <w:rsid w:val="008D1B20"/>
    <w:rsid w:val="008D4385"/>
    <w:rsid w:val="008D4509"/>
    <w:rsid w:val="008D4B7C"/>
    <w:rsid w:val="008D659A"/>
    <w:rsid w:val="008E503A"/>
    <w:rsid w:val="008F7F21"/>
    <w:rsid w:val="00904C5F"/>
    <w:rsid w:val="00906F80"/>
    <w:rsid w:val="00925255"/>
    <w:rsid w:val="00925CBC"/>
    <w:rsid w:val="009413A2"/>
    <w:rsid w:val="00945A60"/>
    <w:rsid w:val="009460D3"/>
    <w:rsid w:val="00950883"/>
    <w:rsid w:val="0095089D"/>
    <w:rsid w:val="00953664"/>
    <w:rsid w:val="0096260D"/>
    <w:rsid w:val="0096621B"/>
    <w:rsid w:val="0097439F"/>
    <w:rsid w:val="0097537B"/>
    <w:rsid w:val="00977CC6"/>
    <w:rsid w:val="00981425"/>
    <w:rsid w:val="00982443"/>
    <w:rsid w:val="009848D3"/>
    <w:rsid w:val="00986245"/>
    <w:rsid w:val="00994E8D"/>
    <w:rsid w:val="009A1ED0"/>
    <w:rsid w:val="009A5649"/>
    <w:rsid w:val="009A62F0"/>
    <w:rsid w:val="009A71D7"/>
    <w:rsid w:val="009A7B48"/>
    <w:rsid w:val="009B08E2"/>
    <w:rsid w:val="009C2A18"/>
    <w:rsid w:val="009C7684"/>
    <w:rsid w:val="009D3E78"/>
    <w:rsid w:val="009D49B2"/>
    <w:rsid w:val="009D4A92"/>
    <w:rsid w:val="009E2801"/>
    <w:rsid w:val="009E42AB"/>
    <w:rsid w:val="009E6EF6"/>
    <w:rsid w:val="009E72CB"/>
    <w:rsid w:val="009F0C0B"/>
    <w:rsid w:val="009F3641"/>
    <w:rsid w:val="00A06C46"/>
    <w:rsid w:val="00A151E0"/>
    <w:rsid w:val="00A30DB5"/>
    <w:rsid w:val="00A31A1F"/>
    <w:rsid w:val="00A35592"/>
    <w:rsid w:val="00A35F6D"/>
    <w:rsid w:val="00A40E06"/>
    <w:rsid w:val="00A40EF4"/>
    <w:rsid w:val="00A53BD8"/>
    <w:rsid w:val="00A54BDD"/>
    <w:rsid w:val="00A56180"/>
    <w:rsid w:val="00A614DF"/>
    <w:rsid w:val="00A66BE6"/>
    <w:rsid w:val="00A755E5"/>
    <w:rsid w:val="00A77668"/>
    <w:rsid w:val="00A82D1F"/>
    <w:rsid w:val="00A84632"/>
    <w:rsid w:val="00A85845"/>
    <w:rsid w:val="00A863F6"/>
    <w:rsid w:val="00AA366A"/>
    <w:rsid w:val="00AA5D71"/>
    <w:rsid w:val="00AB3002"/>
    <w:rsid w:val="00AD4484"/>
    <w:rsid w:val="00AE0005"/>
    <w:rsid w:val="00AE3068"/>
    <w:rsid w:val="00AE4B6F"/>
    <w:rsid w:val="00AE5440"/>
    <w:rsid w:val="00AE69AB"/>
    <w:rsid w:val="00AF0164"/>
    <w:rsid w:val="00B0258C"/>
    <w:rsid w:val="00B051BD"/>
    <w:rsid w:val="00B06DD1"/>
    <w:rsid w:val="00B11329"/>
    <w:rsid w:val="00B21B6F"/>
    <w:rsid w:val="00B30FD2"/>
    <w:rsid w:val="00B32DC7"/>
    <w:rsid w:val="00B34C4B"/>
    <w:rsid w:val="00B4093A"/>
    <w:rsid w:val="00B44CFA"/>
    <w:rsid w:val="00B4585E"/>
    <w:rsid w:val="00B50B64"/>
    <w:rsid w:val="00B5362E"/>
    <w:rsid w:val="00B64D05"/>
    <w:rsid w:val="00B64D98"/>
    <w:rsid w:val="00B71233"/>
    <w:rsid w:val="00B721CE"/>
    <w:rsid w:val="00B83515"/>
    <w:rsid w:val="00B907FE"/>
    <w:rsid w:val="00B9414D"/>
    <w:rsid w:val="00B95CD8"/>
    <w:rsid w:val="00BA3CD0"/>
    <w:rsid w:val="00BB0DDC"/>
    <w:rsid w:val="00BD2E77"/>
    <w:rsid w:val="00BE589B"/>
    <w:rsid w:val="00C0024A"/>
    <w:rsid w:val="00C0550C"/>
    <w:rsid w:val="00C12DC5"/>
    <w:rsid w:val="00C17D60"/>
    <w:rsid w:val="00C23DE5"/>
    <w:rsid w:val="00C305CF"/>
    <w:rsid w:val="00C31342"/>
    <w:rsid w:val="00C31C10"/>
    <w:rsid w:val="00C32A1D"/>
    <w:rsid w:val="00C34973"/>
    <w:rsid w:val="00C56FC4"/>
    <w:rsid w:val="00C73350"/>
    <w:rsid w:val="00C74A20"/>
    <w:rsid w:val="00C82EB6"/>
    <w:rsid w:val="00C83524"/>
    <w:rsid w:val="00C91EC0"/>
    <w:rsid w:val="00CA1ED7"/>
    <w:rsid w:val="00CA666F"/>
    <w:rsid w:val="00CB0637"/>
    <w:rsid w:val="00CB205B"/>
    <w:rsid w:val="00CC7050"/>
    <w:rsid w:val="00CD1651"/>
    <w:rsid w:val="00CD30B7"/>
    <w:rsid w:val="00CD540C"/>
    <w:rsid w:val="00CD5C0B"/>
    <w:rsid w:val="00CE2511"/>
    <w:rsid w:val="00CE6A82"/>
    <w:rsid w:val="00CF422B"/>
    <w:rsid w:val="00CF44A2"/>
    <w:rsid w:val="00D05298"/>
    <w:rsid w:val="00D11AE3"/>
    <w:rsid w:val="00D14656"/>
    <w:rsid w:val="00D17012"/>
    <w:rsid w:val="00D23C57"/>
    <w:rsid w:val="00D265A1"/>
    <w:rsid w:val="00D3062F"/>
    <w:rsid w:val="00D309B9"/>
    <w:rsid w:val="00D313F8"/>
    <w:rsid w:val="00D41253"/>
    <w:rsid w:val="00D42762"/>
    <w:rsid w:val="00D470AF"/>
    <w:rsid w:val="00D54E8E"/>
    <w:rsid w:val="00D5538B"/>
    <w:rsid w:val="00D571C5"/>
    <w:rsid w:val="00D60AC8"/>
    <w:rsid w:val="00D61FFE"/>
    <w:rsid w:val="00D6623B"/>
    <w:rsid w:val="00D8332B"/>
    <w:rsid w:val="00D8445C"/>
    <w:rsid w:val="00D90DFB"/>
    <w:rsid w:val="00DB0D16"/>
    <w:rsid w:val="00DB1551"/>
    <w:rsid w:val="00DB7562"/>
    <w:rsid w:val="00DB7812"/>
    <w:rsid w:val="00DC579E"/>
    <w:rsid w:val="00DD3F7E"/>
    <w:rsid w:val="00DD6CB7"/>
    <w:rsid w:val="00DE227E"/>
    <w:rsid w:val="00DF208D"/>
    <w:rsid w:val="00DF2FC5"/>
    <w:rsid w:val="00DF365C"/>
    <w:rsid w:val="00DF418C"/>
    <w:rsid w:val="00E037A8"/>
    <w:rsid w:val="00E03AC5"/>
    <w:rsid w:val="00E05CCD"/>
    <w:rsid w:val="00E13920"/>
    <w:rsid w:val="00E162D4"/>
    <w:rsid w:val="00E21B65"/>
    <w:rsid w:val="00E33079"/>
    <w:rsid w:val="00E36EFD"/>
    <w:rsid w:val="00E4069E"/>
    <w:rsid w:val="00E4263A"/>
    <w:rsid w:val="00E50D46"/>
    <w:rsid w:val="00E515D1"/>
    <w:rsid w:val="00E5555C"/>
    <w:rsid w:val="00E5736C"/>
    <w:rsid w:val="00E61CFD"/>
    <w:rsid w:val="00E62CD8"/>
    <w:rsid w:val="00E7601B"/>
    <w:rsid w:val="00E9065B"/>
    <w:rsid w:val="00E9443F"/>
    <w:rsid w:val="00E95A52"/>
    <w:rsid w:val="00EB6E97"/>
    <w:rsid w:val="00EC243A"/>
    <w:rsid w:val="00EC67B0"/>
    <w:rsid w:val="00ED1DE4"/>
    <w:rsid w:val="00ED53CD"/>
    <w:rsid w:val="00EE17FE"/>
    <w:rsid w:val="00EE3EB1"/>
    <w:rsid w:val="00EE638E"/>
    <w:rsid w:val="00EF707D"/>
    <w:rsid w:val="00F022B5"/>
    <w:rsid w:val="00F052C2"/>
    <w:rsid w:val="00F20728"/>
    <w:rsid w:val="00F227D8"/>
    <w:rsid w:val="00F238E6"/>
    <w:rsid w:val="00F23E2B"/>
    <w:rsid w:val="00F271C4"/>
    <w:rsid w:val="00F2776B"/>
    <w:rsid w:val="00F504D4"/>
    <w:rsid w:val="00F554B3"/>
    <w:rsid w:val="00F7285F"/>
    <w:rsid w:val="00F76E1A"/>
    <w:rsid w:val="00F862EC"/>
    <w:rsid w:val="00F863AB"/>
    <w:rsid w:val="00F91A45"/>
    <w:rsid w:val="00FA1370"/>
    <w:rsid w:val="00FC7A18"/>
    <w:rsid w:val="00FD0B77"/>
    <w:rsid w:val="00FD1601"/>
    <w:rsid w:val="00FD2001"/>
    <w:rsid w:val="00FD2727"/>
    <w:rsid w:val="00FD354B"/>
    <w:rsid w:val="00FD35CC"/>
    <w:rsid w:val="00FD55DE"/>
    <w:rsid w:val="00FD72BA"/>
    <w:rsid w:val="00FD787E"/>
    <w:rsid w:val="00FE11C8"/>
    <w:rsid w:val="00FE1FB8"/>
    <w:rsid w:val="00FE479D"/>
    <w:rsid w:val="00FF44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36A7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1">
    <w:name w:val="Light Grid Accent 1"/>
    <w:basedOn w:val="TableNormal"/>
    <w:uiPriority w:val="62"/>
    <w:rsid w:val="00FA13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FA1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
    <w:name w:val="TableNote"/>
    <w:basedOn w:val="Normal"/>
    <w:rsid w:val="00F863AB"/>
    <w:pPr>
      <w:spacing w:line="300" w:lineRule="exact"/>
    </w:pPr>
    <w:rPr>
      <w:rFonts w:ascii="Times New Roman" w:eastAsia="Times New Roman" w:hAnsi="Times New Roman" w:cs="Times New Roman"/>
      <w:szCs w:val="20"/>
      <w:lang w:val="en-GB"/>
    </w:rPr>
  </w:style>
  <w:style w:type="paragraph" w:customStyle="1" w:styleId="TableTitle">
    <w:name w:val="TableTitle"/>
    <w:basedOn w:val="Normal"/>
    <w:rsid w:val="00F863AB"/>
    <w:pPr>
      <w:spacing w:line="300" w:lineRule="exact"/>
    </w:pPr>
    <w:rPr>
      <w:rFonts w:ascii="Times New Roman" w:eastAsia="Times New Roman" w:hAnsi="Times New Roman" w:cs="Times New Roman"/>
      <w:szCs w:val="20"/>
      <w:lang w:val="en-GB"/>
    </w:rPr>
  </w:style>
  <w:style w:type="character" w:customStyle="1" w:styleId="URL">
    <w:name w:val="URL"/>
    <w:rsid w:val="00F863AB"/>
    <w:rPr>
      <w:color w:val="666699"/>
    </w:rPr>
  </w:style>
  <w:style w:type="paragraph" w:customStyle="1" w:styleId="TableHeader">
    <w:name w:val="TableHeader"/>
    <w:basedOn w:val="Normal"/>
    <w:rsid w:val="00F863AB"/>
    <w:pPr>
      <w:spacing w:before="120"/>
    </w:pPr>
    <w:rPr>
      <w:rFonts w:ascii="Times New Roman" w:eastAsia="Times New Roman" w:hAnsi="Times New Roman" w:cs="Times New Roman"/>
      <w:b/>
      <w:szCs w:val="20"/>
      <w:lang w:val="en-GB"/>
    </w:rPr>
  </w:style>
  <w:style w:type="paragraph" w:customStyle="1" w:styleId="TableSubHead">
    <w:name w:val="TableSubHead"/>
    <w:basedOn w:val="TableHeader"/>
    <w:rsid w:val="00F863AB"/>
  </w:style>
  <w:style w:type="paragraph" w:styleId="BalloonText">
    <w:name w:val="Balloon Text"/>
    <w:basedOn w:val="Normal"/>
    <w:link w:val="BalloonTextChar"/>
    <w:uiPriority w:val="99"/>
    <w:semiHidden/>
    <w:unhideWhenUsed/>
    <w:rsid w:val="00B64D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D05"/>
    <w:rPr>
      <w:rFonts w:ascii="Lucida Grande" w:hAnsi="Lucida Grande" w:cs="Lucida Grande"/>
      <w:sz w:val="18"/>
      <w:szCs w:val="18"/>
    </w:rPr>
  </w:style>
  <w:style w:type="character" w:customStyle="1" w:styleId="Quotation">
    <w:name w:val="Quotation"/>
    <w:rsid w:val="00800823"/>
    <w:rPr>
      <w:i/>
      <w:iCs/>
    </w:rPr>
  </w:style>
  <w:style w:type="character" w:styleId="Emphasis">
    <w:name w:val="Emphasis"/>
    <w:uiPriority w:val="20"/>
    <w:qFormat/>
    <w:rsid w:val="00800823"/>
    <w:rPr>
      <w:i/>
      <w:iCs/>
    </w:rPr>
  </w:style>
  <w:style w:type="character" w:styleId="Hyperlink">
    <w:name w:val="Hyperlink"/>
    <w:uiPriority w:val="99"/>
    <w:rsid w:val="00800823"/>
  </w:style>
  <w:style w:type="character" w:styleId="CommentReference">
    <w:name w:val="annotation reference"/>
    <w:basedOn w:val="DefaultParagraphFont"/>
    <w:uiPriority w:val="99"/>
    <w:semiHidden/>
    <w:unhideWhenUsed/>
    <w:rsid w:val="007304EF"/>
    <w:rPr>
      <w:sz w:val="16"/>
      <w:szCs w:val="16"/>
    </w:rPr>
  </w:style>
  <w:style w:type="paragraph" w:styleId="CommentText">
    <w:name w:val="annotation text"/>
    <w:basedOn w:val="Normal"/>
    <w:link w:val="CommentTextChar"/>
    <w:uiPriority w:val="99"/>
    <w:semiHidden/>
    <w:unhideWhenUsed/>
    <w:rsid w:val="007304EF"/>
    <w:rPr>
      <w:sz w:val="20"/>
      <w:szCs w:val="20"/>
    </w:rPr>
  </w:style>
  <w:style w:type="character" w:customStyle="1" w:styleId="CommentTextChar">
    <w:name w:val="Comment Text Char"/>
    <w:basedOn w:val="DefaultParagraphFont"/>
    <w:link w:val="CommentText"/>
    <w:uiPriority w:val="99"/>
    <w:semiHidden/>
    <w:rsid w:val="007304EF"/>
    <w:rPr>
      <w:sz w:val="20"/>
      <w:szCs w:val="20"/>
    </w:rPr>
  </w:style>
  <w:style w:type="paragraph" w:styleId="CommentSubject">
    <w:name w:val="annotation subject"/>
    <w:basedOn w:val="CommentText"/>
    <w:next w:val="CommentText"/>
    <w:link w:val="CommentSubjectChar"/>
    <w:uiPriority w:val="99"/>
    <w:semiHidden/>
    <w:unhideWhenUsed/>
    <w:rsid w:val="007304EF"/>
    <w:rPr>
      <w:b/>
      <w:bCs/>
    </w:rPr>
  </w:style>
  <w:style w:type="character" w:customStyle="1" w:styleId="CommentSubjectChar">
    <w:name w:val="Comment Subject Char"/>
    <w:basedOn w:val="CommentTextChar"/>
    <w:link w:val="CommentSubject"/>
    <w:uiPriority w:val="99"/>
    <w:semiHidden/>
    <w:rsid w:val="007304EF"/>
    <w:rPr>
      <w:b/>
      <w:bCs/>
      <w:sz w:val="20"/>
      <w:szCs w:val="20"/>
    </w:rPr>
  </w:style>
  <w:style w:type="paragraph" w:styleId="Revision">
    <w:name w:val="Revision"/>
    <w:hidden/>
    <w:uiPriority w:val="99"/>
    <w:semiHidden/>
    <w:rsid w:val="00CA666F"/>
  </w:style>
  <w:style w:type="paragraph" w:styleId="ListParagraph">
    <w:name w:val="List Paragraph"/>
    <w:basedOn w:val="Normal"/>
    <w:uiPriority w:val="34"/>
    <w:qFormat/>
    <w:rsid w:val="00E7601B"/>
    <w:pPr>
      <w:ind w:left="720"/>
      <w:contextualSpacing/>
    </w:pPr>
  </w:style>
  <w:style w:type="paragraph" w:styleId="Footer">
    <w:name w:val="footer"/>
    <w:basedOn w:val="Normal"/>
    <w:link w:val="FooterChar"/>
    <w:uiPriority w:val="99"/>
    <w:unhideWhenUsed/>
    <w:rsid w:val="00614A99"/>
    <w:pPr>
      <w:tabs>
        <w:tab w:val="center" w:pos="4320"/>
        <w:tab w:val="right" w:pos="8640"/>
      </w:tabs>
    </w:pPr>
  </w:style>
  <w:style w:type="character" w:customStyle="1" w:styleId="FooterChar">
    <w:name w:val="Footer Char"/>
    <w:basedOn w:val="DefaultParagraphFont"/>
    <w:link w:val="Footer"/>
    <w:uiPriority w:val="99"/>
    <w:rsid w:val="00614A99"/>
  </w:style>
  <w:style w:type="character" w:styleId="PageNumber">
    <w:name w:val="page number"/>
    <w:basedOn w:val="DefaultParagraphFont"/>
    <w:uiPriority w:val="99"/>
    <w:semiHidden/>
    <w:unhideWhenUsed/>
    <w:rsid w:val="00614A99"/>
  </w:style>
  <w:style w:type="paragraph" w:styleId="Header">
    <w:name w:val="header"/>
    <w:basedOn w:val="Normal"/>
    <w:link w:val="HeaderChar"/>
    <w:uiPriority w:val="99"/>
    <w:unhideWhenUsed/>
    <w:rsid w:val="00D265A1"/>
    <w:pPr>
      <w:tabs>
        <w:tab w:val="center" w:pos="4320"/>
        <w:tab w:val="right" w:pos="8640"/>
      </w:tabs>
    </w:pPr>
  </w:style>
  <w:style w:type="character" w:customStyle="1" w:styleId="HeaderChar">
    <w:name w:val="Header Char"/>
    <w:basedOn w:val="DefaultParagraphFont"/>
    <w:link w:val="Header"/>
    <w:uiPriority w:val="99"/>
    <w:rsid w:val="00D265A1"/>
  </w:style>
  <w:style w:type="character" w:customStyle="1" w:styleId="apple-converted-space">
    <w:name w:val="apple-converted-space"/>
    <w:basedOn w:val="DefaultParagraphFont"/>
    <w:rsid w:val="008F7F21"/>
  </w:style>
  <w:style w:type="paragraph" w:styleId="HTMLPreformatted">
    <w:name w:val="HTML Preformatted"/>
    <w:basedOn w:val="Normal"/>
    <w:link w:val="HTMLPreformattedChar"/>
    <w:uiPriority w:val="99"/>
    <w:semiHidden/>
    <w:unhideWhenUsed/>
    <w:rsid w:val="007E4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4776"/>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1">
    <w:name w:val="Light Grid Accent 1"/>
    <w:basedOn w:val="TableNormal"/>
    <w:uiPriority w:val="62"/>
    <w:rsid w:val="00FA137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FA1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
    <w:name w:val="TableNote"/>
    <w:basedOn w:val="Normal"/>
    <w:rsid w:val="00F863AB"/>
    <w:pPr>
      <w:spacing w:line="300" w:lineRule="exact"/>
    </w:pPr>
    <w:rPr>
      <w:rFonts w:ascii="Times New Roman" w:eastAsia="Times New Roman" w:hAnsi="Times New Roman" w:cs="Times New Roman"/>
      <w:szCs w:val="20"/>
      <w:lang w:val="en-GB"/>
    </w:rPr>
  </w:style>
  <w:style w:type="paragraph" w:customStyle="1" w:styleId="TableTitle">
    <w:name w:val="TableTitle"/>
    <w:basedOn w:val="Normal"/>
    <w:rsid w:val="00F863AB"/>
    <w:pPr>
      <w:spacing w:line="300" w:lineRule="exact"/>
    </w:pPr>
    <w:rPr>
      <w:rFonts w:ascii="Times New Roman" w:eastAsia="Times New Roman" w:hAnsi="Times New Roman" w:cs="Times New Roman"/>
      <w:szCs w:val="20"/>
      <w:lang w:val="en-GB"/>
    </w:rPr>
  </w:style>
  <w:style w:type="character" w:customStyle="1" w:styleId="URL">
    <w:name w:val="URL"/>
    <w:rsid w:val="00F863AB"/>
    <w:rPr>
      <w:color w:val="666699"/>
    </w:rPr>
  </w:style>
  <w:style w:type="paragraph" w:customStyle="1" w:styleId="TableHeader">
    <w:name w:val="TableHeader"/>
    <w:basedOn w:val="Normal"/>
    <w:rsid w:val="00F863AB"/>
    <w:pPr>
      <w:spacing w:before="120"/>
    </w:pPr>
    <w:rPr>
      <w:rFonts w:ascii="Times New Roman" w:eastAsia="Times New Roman" w:hAnsi="Times New Roman" w:cs="Times New Roman"/>
      <w:b/>
      <w:szCs w:val="20"/>
      <w:lang w:val="en-GB"/>
    </w:rPr>
  </w:style>
  <w:style w:type="paragraph" w:customStyle="1" w:styleId="TableSubHead">
    <w:name w:val="TableSubHead"/>
    <w:basedOn w:val="TableHeader"/>
    <w:rsid w:val="00F863AB"/>
  </w:style>
  <w:style w:type="paragraph" w:styleId="BalloonText">
    <w:name w:val="Balloon Text"/>
    <w:basedOn w:val="Normal"/>
    <w:link w:val="BalloonTextChar"/>
    <w:uiPriority w:val="99"/>
    <w:semiHidden/>
    <w:unhideWhenUsed/>
    <w:rsid w:val="00B64D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D05"/>
    <w:rPr>
      <w:rFonts w:ascii="Lucida Grande" w:hAnsi="Lucida Grande" w:cs="Lucida Grande"/>
      <w:sz w:val="18"/>
      <w:szCs w:val="18"/>
    </w:rPr>
  </w:style>
  <w:style w:type="character" w:customStyle="1" w:styleId="Quotation">
    <w:name w:val="Quotation"/>
    <w:rsid w:val="00800823"/>
    <w:rPr>
      <w:i/>
      <w:iCs/>
    </w:rPr>
  </w:style>
  <w:style w:type="character" w:styleId="Emphasis">
    <w:name w:val="Emphasis"/>
    <w:uiPriority w:val="20"/>
    <w:qFormat/>
    <w:rsid w:val="00800823"/>
    <w:rPr>
      <w:i/>
      <w:iCs/>
    </w:rPr>
  </w:style>
  <w:style w:type="character" w:styleId="Hyperlink">
    <w:name w:val="Hyperlink"/>
    <w:uiPriority w:val="99"/>
    <w:rsid w:val="00800823"/>
  </w:style>
  <w:style w:type="character" w:styleId="CommentReference">
    <w:name w:val="annotation reference"/>
    <w:basedOn w:val="DefaultParagraphFont"/>
    <w:uiPriority w:val="99"/>
    <w:semiHidden/>
    <w:unhideWhenUsed/>
    <w:rsid w:val="007304EF"/>
    <w:rPr>
      <w:sz w:val="16"/>
      <w:szCs w:val="16"/>
    </w:rPr>
  </w:style>
  <w:style w:type="paragraph" w:styleId="CommentText">
    <w:name w:val="annotation text"/>
    <w:basedOn w:val="Normal"/>
    <w:link w:val="CommentTextChar"/>
    <w:uiPriority w:val="99"/>
    <w:semiHidden/>
    <w:unhideWhenUsed/>
    <w:rsid w:val="007304EF"/>
    <w:rPr>
      <w:sz w:val="20"/>
      <w:szCs w:val="20"/>
    </w:rPr>
  </w:style>
  <w:style w:type="character" w:customStyle="1" w:styleId="CommentTextChar">
    <w:name w:val="Comment Text Char"/>
    <w:basedOn w:val="DefaultParagraphFont"/>
    <w:link w:val="CommentText"/>
    <w:uiPriority w:val="99"/>
    <w:semiHidden/>
    <w:rsid w:val="007304EF"/>
    <w:rPr>
      <w:sz w:val="20"/>
      <w:szCs w:val="20"/>
    </w:rPr>
  </w:style>
  <w:style w:type="paragraph" w:styleId="CommentSubject">
    <w:name w:val="annotation subject"/>
    <w:basedOn w:val="CommentText"/>
    <w:next w:val="CommentText"/>
    <w:link w:val="CommentSubjectChar"/>
    <w:uiPriority w:val="99"/>
    <w:semiHidden/>
    <w:unhideWhenUsed/>
    <w:rsid w:val="007304EF"/>
    <w:rPr>
      <w:b/>
      <w:bCs/>
    </w:rPr>
  </w:style>
  <w:style w:type="character" w:customStyle="1" w:styleId="CommentSubjectChar">
    <w:name w:val="Comment Subject Char"/>
    <w:basedOn w:val="CommentTextChar"/>
    <w:link w:val="CommentSubject"/>
    <w:uiPriority w:val="99"/>
    <w:semiHidden/>
    <w:rsid w:val="007304EF"/>
    <w:rPr>
      <w:b/>
      <w:bCs/>
      <w:sz w:val="20"/>
      <w:szCs w:val="20"/>
    </w:rPr>
  </w:style>
  <w:style w:type="paragraph" w:styleId="Revision">
    <w:name w:val="Revision"/>
    <w:hidden/>
    <w:uiPriority w:val="99"/>
    <w:semiHidden/>
    <w:rsid w:val="00CA666F"/>
  </w:style>
  <w:style w:type="paragraph" w:styleId="ListParagraph">
    <w:name w:val="List Paragraph"/>
    <w:basedOn w:val="Normal"/>
    <w:uiPriority w:val="34"/>
    <w:qFormat/>
    <w:rsid w:val="00E7601B"/>
    <w:pPr>
      <w:ind w:left="720"/>
      <w:contextualSpacing/>
    </w:pPr>
  </w:style>
  <w:style w:type="paragraph" w:styleId="Footer">
    <w:name w:val="footer"/>
    <w:basedOn w:val="Normal"/>
    <w:link w:val="FooterChar"/>
    <w:uiPriority w:val="99"/>
    <w:unhideWhenUsed/>
    <w:rsid w:val="00614A99"/>
    <w:pPr>
      <w:tabs>
        <w:tab w:val="center" w:pos="4320"/>
        <w:tab w:val="right" w:pos="8640"/>
      </w:tabs>
    </w:pPr>
  </w:style>
  <w:style w:type="character" w:customStyle="1" w:styleId="FooterChar">
    <w:name w:val="Footer Char"/>
    <w:basedOn w:val="DefaultParagraphFont"/>
    <w:link w:val="Footer"/>
    <w:uiPriority w:val="99"/>
    <w:rsid w:val="00614A99"/>
  </w:style>
  <w:style w:type="character" w:styleId="PageNumber">
    <w:name w:val="page number"/>
    <w:basedOn w:val="DefaultParagraphFont"/>
    <w:uiPriority w:val="99"/>
    <w:semiHidden/>
    <w:unhideWhenUsed/>
    <w:rsid w:val="00614A99"/>
  </w:style>
  <w:style w:type="paragraph" w:styleId="Header">
    <w:name w:val="header"/>
    <w:basedOn w:val="Normal"/>
    <w:link w:val="HeaderChar"/>
    <w:uiPriority w:val="99"/>
    <w:unhideWhenUsed/>
    <w:rsid w:val="00D265A1"/>
    <w:pPr>
      <w:tabs>
        <w:tab w:val="center" w:pos="4320"/>
        <w:tab w:val="right" w:pos="8640"/>
      </w:tabs>
    </w:pPr>
  </w:style>
  <w:style w:type="character" w:customStyle="1" w:styleId="HeaderChar">
    <w:name w:val="Header Char"/>
    <w:basedOn w:val="DefaultParagraphFont"/>
    <w:link w:val="Header"/>
    <w:uiPriority w:val="99"/>
    <w:rsid w:val="00D265A1"/>
  </w:style>
  <w:style w:type="character" w:customStyle="1" w:styleId="apple-converted-space">
    <w:name w:val="apple-converted-space"/>
    <w:basedOn w:val="DefaultParagraphFont"/>
    <w:rsid w:val="008F7F21"/>
  </w:style>
  <w:style w:type="paragraph" w:styleId="HTMLPreformatted">
    <w:name w:val="HTML Preformatted"/>
    <w:basedOn w:val="Normal"/>
    <w:link w:val="HTMLPreformattedChar"/>
    <w:uiPriority w:val="99"/>
    <w:semiHidden/>
    <w:unhideWhenUsed/>
    <w:rsid w:val="007E4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4776"/>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6682">
      <w:bodyDiv w:val="1"/>
      <w:marLeft w:val="0"/>
      <w:marRight w:val="0"/>
      <w:marTop w:val="0"/>
      <w:marBottom w:val="0"/>
      <w:divBdr>
        <w:top w:val="none" w:sz="0" w:space="0" w:color="auto"/>
        <w:left w:val="none" w:sz="0" w:space="0" w:color="auto"/>
        <w:bottom w:val="none" w:sz="0" w:space="0" w:color="auto"/>
        <w:right w:val="none" w:sz="0" w:space="0" w:color="auto"/>
      </w:divBdr>
    </w:div>
    <w:div w:id="860243013">
      <w:bodyDiv w:val="1"/>
      <w:marLeft w:val="0"/>
      <w:marRight w:val="0"/>
      <w:marTop w:val="0"/>
      <w:marBottom w:val="0"/>
      <w:divBdr>
        <w:top w:val="none" w:sz="0" w:space="0" w:color="auto"/>
        <w:left w:val="none" w:sz="0" w:space="0" w:color="auto"/>
        <w:bottom w:val="none" w:sz="0" w:space="0" w:color="auto"/>
        <w:right w:val="none" w:sz="0" w:space="0" w:color="auto"/>
      </w:divBdr>
    </w:div>
    <w:div w:id="1061709761">
      <w:bodyDiv w:val="1"/>
      <w:marLeft w:val="0"/>
      <w:marRight w:val="0"/>
      <w:marTop w:val="0"/>
      <w:marBottom w:val="0"/>
      <w:divBdr>
        <w:top w:val="none" w:sz="0" w:space="0" w:color="auto"/>
        <w:left w:val="none" w:sz="0" w:space="0" w:color="auto"/>
        <w:bottom w:val="none" w:sz="0" w:space="0" w:color="auto"/>
        <w:right w:val="none" w:sz="0" w:space="0" w:color="auto"/>
      </w:divBdr>
      <w:divsChild>
        <w:div w:id="1219167638">
          <w:marLeft w:val="0"/>
          <w:marRight w:val="0"/>
          <w:marTop w:val="0"/>
          <w:marBottom w:val="0"/>
          <w:divBdr>
            <w:top w:val="none" w:sz="0" w:space="0" w:color="auto"/>
            <w:left w:val="none" w:sz="0" w:space="0" w:color="auto"/>
            <w:bottom w:val="none" w:sz="0" w:space="0" w:color="auto"/>
            <w:right w:val="none" w:sz="0" w:space="0" w:color="auto"/>
          </w:divBdr>
        </w:div>
        <w:div w:id="1214846271">
          <w:marLeft w:val="0"/>
          <w:marRight w:val="0"/>
          <w:marTop w:val="0"/>
          <w:marBottom w:val="0"/>
          <w:divBdr>
            <w:top w:val="none" w:sz="0" w:space="0" w:color="auto"/>
            <w:left w:val="none" w:sz="0" w:space="0" w:color="auto"/>
            <w:bottom w:val="none" w:sz="0" w:space="0" w:color="auto"/>
            <w:right w:val="none" w:sz="0" w:space="0" w:color="auto"/>
          </w:divBdr>
        </w:div>
        <w:div w:id="560016238">
          <w:marLeft w:val="0"/>
          <w:marRight w:val="0"/>
          <w:marTop w:val="0"/>
          <w:marBottom w:val="0"/>
          <w:divBdr>
            <w:top w:val="none" w:sz="0" w:space="0" w:color="auto"/>
            <w:left w:val="none" w:sz="0" w:space="0" w:color="auto"/>
            <w:bottom w:val="none" w:sz="0" w:space="0" w:color="auto"/>
            <w:right w:val="none" w:sz="0" w:space="0" w:color="auto"/>
          </w:divBdr>
        </w:div>
        <w:div w:id="826827469">
          <w:marLeft w:val="0"/>
          <w:marRight w:val="0"/>
          <w:marTop w:val="0"/>
          <w:marBottom w:val="0"/>
          <w:divBdr>
            <w:top w:val="none" w:sz="0" w:space="0" w:color="auto"/>
            <w:left w:val="none" w:sz="0" w:space="0" w:color="auto"/>
            <w:bottom w:val="none" w:sz="0" w:space="0" w:color="auto"/>
            <w:right w:val="none" w:sz="0" w:space="0" w:color="auto"/>
          </w:divBdr>
        </w:div>
        <w:div w:id="1745373661">
          <w:marLeft w:val="0"/>
          <w:marRight w:val="0"/>
          <w:marTop w:val="0"/>
          <w:marBottom w:val="0"/>
          <w:divBdr>
            <w:top w:val="none" w:sz="0" w:space="0" w:color="auto"/>
            <w:left w:val="none" w:sz="0" w:space="0" w:color="auto"/>
            <w:bottom w:val="none" w:sz="0" w:space="0" w:color="auto"/>
            <w:right w:val="none" w:sz="0" w:space="0" w:color="auto"/>
          </w:divBdr>
        </w:div>
        <w:div w:id="1063141610">
          <w:marLeft w:val="0"/>
          <w:marRight w:val="0"/>
          <w:marTop w:val="0"/>
          <w:marBottom w:val="0"/>
          <w:divBdr>
            <w:top w:val="none" w:sz="0" w:space="0" w:color="auto"/>
            <w:left w:val="none" w:sz="0" w:space="0" w:color="auto"/>
            <w:bottom w:val="none" w:sz="0" w:space="0" w:color="auto"/>
            <w:right w:val="none" w:sz="0" w:space="0" w:color="auto"/>
          </w:divBdr>
        </w:div>
        <w:div w:id="1612318991">
          <w:marLeft w:val="0"/>
          <w:marRight w:val="0"/>
          <w:marTop w:val="0"/>
          <w:marBottom w:val="0"/>
          <w:divBdr>
            <w:top w:val="none" w:sz="0" w:space="0" w:color="auto"/>
            <w:left w:val="none" w:sz="0" w:space="0" w:color="auto"/>
            <w:bottom w:val="none" w:sz="0" w:space="0" w:color="auto"/>
            <w:right w:val="none" w:sz="0" w:space="0" w:color="auto"/>
          </w:divBdr>
        </w:div>
        <w:div w:id="245041309">
          <w:marLeft w:val="0"/>
          <w:marRight w:val="0"/>
          <w:marTop w:val="0"/>
          <w:marBottom w:val="0"/>
          <w:divBdr>
            <w:top w:val="none" w:sz="0" w:space="0" w:color="auto"/>
            <w:left w:val="none" w:sz="0" w:space="0" w:color="auto"/>
            <w:bottom w:val="none" w:sz="0" w:space="0" w:color="auto"/>
            <w:right w:val="none" w:sz="0" w:space="0" w:color="auto"/>
          </w:divBdr>
        </w:div>
        <w:div w:id="1979723580">
          <w:marLeft w:val="0"/>
          <w:marRight w:val="0"/>
          <w:marTop w:val="0"/>
          <w:marBottom w:val="0"/>
          <w:divBdr>
            <w:top w:val="none" w:sz="0" w:space="0" w:color="auto"/>
            <w:left w:val="none" w:sz="0" w:space="0" w:color="auto"/>
            <w:bottom w:val="none" w:sz="0" w:space="0" w:color="auto"/>
            <w:right w:val="none" w:sz="0" w:space="0" w:color="auto"/>
          </w:divBdr>
        </w:div>
        <w:div w:id="892035664">
          <w:marLeft w:val="0"/>
          <w:marRight w:val="0"/>
          <w:marTop w:val="0"/>
          <w:marBottom w:val="0"/>
          <w:divBdr>
            <w:top w:val="none" w:sz="0" w:space="0" w:color="auto"/>
            <w:left w:val="none" w:sz="0" w:space="0" w:color="auto"/>
            <w:bottom w:val="none" w:sz="0" w:space="0" w:color="auto"/>
            <w:right w:val="none" w:sz="0" w:space="0" w:color="auto"/>
          </w:divBdr>
        </w:div>
        <w:div w:id="814640005">
          <w:marLeft w:val="0"/>
          <w:marRight w:val="0"/>
          <w:marTop w:val="0"/>
          <w:marBottom w:val="0"/>
          <w:divBdr>
            <w:top w:val="none" w:sz="0" w:space="0" w:color="auto"/>
            <w:left w:val="none" w:sz="0" w:space="0" w:color="auto"/>
            <w:bottom w:val="none" w:sz="0" w:space="0" w:color="auto"/>
            <w:right w:val="none" w:sz="0" w:space="0" w:color="auto"/>
          </w:divBdr>
        </w:div>
        <w:div w:id="2018339409">
          <w:marLeft w:val="0"/>
          <w:marRight w:val="0"/>
          <w:marTop w:val="0"/>
          <w:marBottom w:val="0"/>
          <w:divBdr>
            <w:top w:val="none" w:sz="0" w:space="0" w:color="auto"/>
            <w:left w:val="none" w:sz="0" w:space="0" w:color="auto"/>
            <w:bottom w:val="none" w:sz="0" w:space="0" w:color="auto"/>
            <w:right w:val="none" w:sz="0" w:space="0" w:color="auto"/>
          </w:divBdr>
        </w:div>
        <w:div w:id="1236472089">
          <w:marLeft w:val="0"/>
          <w:marRight w:val="0"/>
          <w:marTop w:val="0"/>
          <w:marBottom w:val="0"/>
          <w:divBdr>
            <w:top w:val="none" w:sz="0" w:space="0" w:color="auto"/>
            <w:left w:val="none" w:sz="0" w:space="0" w:color="auto"/>
            <w:bottom w:val="none" w:sz="0" w:space="0" w:color="auto"/>
            <w:right w:val="none" w:sz="0" w:space="0" w:color="auto"/>
          </w:divBdr>
        </w:div>
        <w:div w:id="1744138616">
          <w:marLeft w:val="0"/>
          <w:marRight w:val="0"/>
          <w:marTop w:val="0"/>
          <w:marBottom w:val="0"/>
          <w:divBdr>
            <w:top w:val="none" w:sz="0" w:space="0" w:color="auto"/>
            <w:left w:val="none" w:sz="0" w:space="0" w:color="auto"/>
            <w:bottom w:val="none" w:sz="0" w:space="0" w:color="auto"/>
            <w:right w:val="none" w:sz="0" w:space="0" w:color="auto"/>
          </w:divBdr>
        </w:div>
        <w:div w:id="709502253">
          <w:marLeft w:val="0"/>
          <w:marRight w:val="0"/>
          <w:marTop w:val="0"/>
          <w:marBottom w:val="0"/>
          <w:divBdr>
            <w:top w:val="none" w:sz="0" w:space="0" w:color="auto"/>
            <w:left w:val="none" w:sz="0" w:space="0" w:color="auto"/>
            <w:bottom w:val="none" w:sz="0" w:space="0" w:color="auto"/>
            <w:right w:val="none" w:sz="0" w:space="0" w:color="auto"/>
          </w:divBdr>
        </w:div>
        <w:div w:id="1235118658">
          <w:marLeft w:val="0"/>
          <w:marRight w:val="0"/>
          <w:marTop w:val="0"/>
          <w:marBottom w:val="0"/>
          <w:divBdr>
            <w:top w:val="none" w:sz="0" w:space="0" w:color="auto"/>
            <w:left w:val="none" w:sz="0" w:space="0" w:color="auto"/>
            <w:bottom w:val="none" w:sz="0" w:space="0" w:color="auto"/>
            <w:right w:val="none" w:sz="0" w:space="0" w:color="auto"/>
          </w:divBdr>
        </w:div>
        <w:div w:id="107823448">
          <w:marLeft w:val="0"/>
          <w:marRight w:val="0"/>
          <w:marTop w:val="0"/>
          <w:marBottom w:val="0"/>
          <w:divBdr>
            <w:top w:val="none" w:sz="0" w:space="0" w:color="auto"/>
            <w:left w:val="none" w:sz="0" w:space="0" w:color="auto"/>
            <w:bottom w:val="none" w:sz="0" w:space="0" w:color="auto"/>
            <w:right w:val="none" w:sz="0" w:space="0" w:color="auto"/>
          </w:divBdr>
        </w:div>
        <w:div w:id="1810323244">
          <w:marLeft w:val="0"/>
          <w:marRight w:val="0"/>
          <w:marTop w:val="0"/>
          <w:marBottom w:val="0"/>
          <w:divBdr>
            <w:top w:val="none" w:sz="0" w:space="0" w:color="auto"/>
            <w:left w:val="none" w:sz="0" w:space="0" w:color="auto"/>
            <w:bottom w:val="none" w:sz="0" w:space="0" w:color="auto"/>
            <w:right w:val="none" w:sz="0" w:space="0" w:color="auto"/>
          </w:divBdr>
        </w:div>
        <w:div w:id="1473249544">
          <w:marLeft w:val="0"/>
          <w:marRight w:val="0"/>
          <w:marTop w:val="0"/>
          <w:marBottom w:val="0"/>
          <w:divBdr>
            <w:top w:val="none" w:sz="0" w:space="0" w:color="auto"/>
            <w:left w:val="none" w:sz="0" w:space="0" w:color="auto"/>
            <w:bottom w:val="none" w:sz="0" w:space="0" w:color="auto"/>
            <w:right w:val="none" w:sz="0" w:space="0" w:color="auto"/>
          </w:divBdr>
        </w:div>
        <w:div w:id="581069118">
          <w:marLeft w:val="0"/>
          <w:marRight w:val="0"/>
          <w:marTop w:val="0"/>
          <w:marBottom w:val="0"/>
          <w:divBdr>
            <w:top w:val="none" w:sz="0" w:space="0" w:color="auto"/>
            <w:left w:val="none" w:sz="0" w:space="0" w:color="auto"/>
            <w:bottom w:val="none" w:sz="0" w:space="0" w:color="auto"/>
            <w:right w:val="none" w:sz="0" w:space="0" w:color="auto"/>
          </w:divBdr>
        </w:div>
        <w:div w:id="286130756">
          <w:marLeft w:val="0"/>
          <w:marRight w:val="0"/>
          <w:marTop w:val="0"/>
          <w:marBottom w:val="0"/>
          <w:divBdr>
            <w:top w:val="none" w:sz="0" w:space="0" w:color="auto"/>
            <w:left w:val="none" w:sz="0" w:space="0" w:color="auto"/>
            <w:bottom w:val="none" w:sz="0" w:space="0" w:color="auto"/>
            <w:right w:val="none" w:sz="0" w:space="0" w:color="auto"/>
          </w:divBdr>
        </w:div>
        <w:div w:id="1766994961">
          <w:marLeft w:val="0"/>
          <w:marRight w:val="0"/>
          <w:marTop w:val="0"/>
          <w:marBottom w:val="0"/>
          <w:divBdr>
            <w:top w:val="none" w:sz="0" w:space="0" w:color="auto"/>
            <w:left w:val="none" w:sz="0" w:space="0" w:color="auto"/>
            <w:bottom w:val="none" w:sz="0" w:space="0" w:color="auto"/>
            <w:right w:val="none" w:sz="0" w:space="0" w:color="auto"/>
          </w:divBdr>
        </w:div>
        <w:div w:id="16542030">
          <w:marLeft w:val="0"/>
          <w:marRight w:val="0"/>
          <w:marTop w:val="0"/>
          <w:marBottom w:val="0"/>
          <w:divBdr>
            <w:top w:val="none" w:sz="0" w:space="0" w:color="auto"/>
            <w:left w:val="none" w:sz="0" w:space="0" w:color="auto"/>
            <w:bottom w:val="none" w:sz="0" w:space="0" w:color="auto"/>
            <w:right w:val="none" w:sz="0" w:space="0" w:color="auto"/>
          </w:divBdr>
        </w:div>
        <w:div w:id="102192541">
          <w:marLeft w:val="0"/>
          <w:marRight w:val="0"/>
          <w:marTop w:val="0"/>
          <w:marBottom w:val="0"/>
          <w:divBdr>
            <w:top w:val="none" w:sz="0" w:space="0" w:color="auto"/>
            <w:left w:val="none" w:sz="0" w:space="0" w:color="auto"/>
            <w:bottom w:val="none" w:sz="0" w:space="0" w:color="auto"/>
            <w:right w:val="none" w:sz="0" w:space="0" w:color="auto"/>
          </w:divBdr>
        </w:div>
        <w:div w:id="356544216">
          <w:marLeft w:val="0"/>
          <w:marRight w:val="0"/>
          <w:marTop w:val="0"/>
          <w:marBottom w:val="0"/>
          <w:divBdr>
            <w:top w:val="none" w:sz="0" w:space="0" w:color="auto"/>
            <w:left w:val="none" w:sz="0" w:space="0" w:color="auto"/>
            <w:bottom w:val="none" w:sz="0" w:space="0" w:color="auto"/>
            <w:right w:val="none" w:sz="0" w:space="0" w:color="auto"/>
          </w:divBdr>
        </w:div>
        <w:div w:id="2028870091">
          <w:marLeft w:val="0"/>
          <w:marRight w:val="0"/>
          <w:marTop w:val="0"/>
          <w:marBottom w:val="0"/>
          <w:divBdr>
            <w:top w:val="none" w:sz="0" w:space="0" w:color="auto"/>
            <w:left w:val="none" w:sz="0" w:space="0" w:color="auto"/>
            <w:bottom w:val="none" w:sz="0" w:space="0" w:color="auto"/>
            <w:right w:val="none" w:sz="0" w:space="0" w:color="auto"/>
          </w:divBdr>
        </w:div>
        <w:div w:id="130640295">
          <w:marLeft w:val="0"/>
          <w:marRight w:val="0"/>
          <w:marTop w:val="0"/>
          <w:marBottom w:val="0"/>
          <w:divBdr>
            <w:top w:val="none" w:sz="0" w:space="0" w:color="auto"/>
            <w:left w:val="none" w:sz="0" w:space="0" w:color="auto"/>
            <w:bottom w:val="none" w:sz="0" w:space="0" w:color="auto"/>
            <w:right w:val="none" w:sz="0" w:space="0" w:color="auto"/>
          </w:divBdr>
        </w:div>
        <w:div w:id="1663240911">
          <w:marLeft w:val="0"/>
          <w:marRight w:val="0"/>
          <w:marTop w:val="0"/>
          <w:marBottom w:val="0"/>
          <w:divBdr>
            <w:top w:val="none" w:sz="0" w:space="0" w:color="auto"/>
            <w:left w:val="none" w:sz="0" w:space="0" w:color="auto"/>
            <w:bottom w:val="none" w:sz="0" w:space="0" w:color="auto"/>
            <w:right w:val="none" w:sz="0" w:space="0" w:color="auto"/>
          </w:divBdr>
        </w:div>
        <w:div w:id="876964687">
          <w:marLeft w:val="0"/>
          <w:marRight w:val="0"/>
          <w:marTop w:val="0"/>
          <w:marBottom w:val="0"/>
          <w:divBdr>
            <w:top w:val="none" w:sz="0" w:space="0" w:color="auto"/>
            <w:left w:val="none" w:sz="0" w:space="0" w:color="auto"/>
            <w:bottom w:val="none" w:sz="0" w:space="0" w:color="auto"/>
            <w:right w:val="none" w:sz="0" w:space="0" w:color="auto"/>
          </w:divBdr>
        </w:div>
        <w:div w:id="1352604261">
          <w:marLeft w:val="0"/>
          <w:marRight w:val="0"/>
          <w:marTop w:val="0"/>
          <w:marBottom w:val="0"/>
          <w:divBdr>
            <w:top w:val="none" w:sz="0" w:space="0" w:color="auto"/>
            <w:left w:val="none" w:sz="0" w:space="0" w:color="auto"/>
            <w:bottom w:val="none" w:sz="0" w:space="0" w:color="auto"/>
            <w:right w:val="none" w:sz="0" w:space="0" w:color="auto"/>
          </w:divBdr>
        </w:div>
        <w:div w:id="852492983">
          <w:marLeft w:val="0"/>
          <w:marRight w:val="0"/>
          <w:marTop w:val="0"/>
          <w:marBottom w:val="0"/>
          <w:divBdr>
            <w:top w:val="none" w:sz="0" w:space="0" w:color="auto"/>
            <w:left w:val="none" w:sz="0" w:space="0" w:color="auto"/>
            <w:bottom w:val="none" w:sz="0" w:space="0" w:color="auto"/>
            <w:right w:val="none" w:sz="0" w:space="0" w:color="auto"/>
          </w:divBdr>
        </w:div>
        <w:div w:id="482358110">
          <w:marLeft w:val="0"/>
          <w:marRight w:val="0"/>
          <w:marTop w:val="0"/>
          <w:marBottom w:val="0"/>
          <w:divBdr>
            <w:top w:val="none" w:sz="0" w:space="0" w:color="auto"/>
            <w:left w:val="none" w:sz="0" w:space="0" w:color="auto"/>
            <w:bottom w:val="none" w:sz="0" w:space="0" w:color="auto"/>
            <w:right w:val="none" w:sz="0" w:space="0" w:color="auto"/>
          </w:divBdr>
        </w:div>
        <w:div w:id="604771000">
          <w:marLeft w:val="0"/>
          <w:marRight w:val="0"/>
          <w:marTop w:val="0"/>
          <w:marBottom w:val="0"/>
          <w:divBdr>
            <w:top w:val="none" w:sz="0" w:space="0" w:color="auto"/>
            <w:left w:val="none" w:sz="0" w:space="0" w:color="auto"/>
            <w:bottom w:val="none" w:sz="0" w:space="0" w:color="auto"/>
            <w:right w:val="none" w:sz="0" w:space="0" w:color="auto"/>
          </w:divBdr>
        </w:div>
        <w:div w:id="920992489">
          <w:marLeft w:val="0"/>
          <w:marRight w:val="0"/>
          <w:marTop w:val="0"/>
          <w:marBottom w:val="0"/>
          <w:divBdr>
            <w:top w:val="none" w:sz="0" w:space="0" w:color="auto"/>
            <w:left w:val="none" w:sz="0" w:space="0" w:color="auto"/>
            <w:bottom w:val="none" w:sz="0" w:space="0" w:color="auto"/>
            <w:right w:val="none" w:sz="0" w:space="0" w:color="auto"/>
          </w:divBdr>
        </w:div>
        <w:div w:id="415593963">
          <w:marLeft w:val="0"/>
          <w:marRight w:val="0"/>
          <w:marTop w:val="0"/>
          <w:marBottom w:val="0"/>
          <w:divBdr>
            <w:top w:val="none" w:sz="0" w:space="0" w:color="auto"/>
            <w:left w:val="none" w:sz="0" w:space="0" w:color="auto"/>
            <w:bottom w:val="none" w:sz="0" w:space="0" w:color="auto"/>
            <w:right w:val="none" w:sz="0" w:space="0" w:color="auto"/>
          </w:divBdr>
        </w:div>
        <w:div w:id="1493444611">
          <w:marLeft w:val="0"/>
          <w:marRight w:val="0"/>
          <w:marTop w:val="0"/>
          <w:marBottom w:val="0"/>
          <w:divBdr>
            <w:top w:val="none" w:sz="0" w:space="0" w:color="auto"/>
            <w:left w:val="none" w:sz="0" w:space="0" w:color="auto"/>
            <w:bottom w:val="none" w:sz="0" w:space="0" w:color="auto"/>
            <w:right w:val="none" w:sz="0" w:space="0" w:color="auto"/>
          </w:divBdr>
        </w:div>
        <w:div w:id="284774770">
          <w:marLeft w:val="0"/>
          <w:marRight w:val="0"/>
          <w:marTop w:val="0"/>
          <w:marBottom w:val="0"/>
          <w:divBdr>
            <w:top w:val="none" w:sz="0" w:space="0" w:color="auto"/>
            <w:left w:val="none" w:sz="0" w:space="0" w:color="auto"/>
            <w:bottom w:val="none" w:sz="0" w:space="0" w:color="auto"/>
            <w:right w:val="none" w:sz="0" w:space="0" w:color="auto"/>
          </w:divBdr>
        </w:div>
        <w:div w:id="811367842">
          <w:marLeft w:val="0"/>
          <w:marRight w:val="0"/>
          <w:marTop w:val="0"/>
          <w:marBottom w:val="0"/>
          <w:divBdr>
            <w:top w:val="none" w:sz="0" w:space="0" w:color="auto"/>
            <w:left w:val="none" w:sz="0" w:space="0" w:color="auto"/>
            <w:bottom w:val="none" w:sz="0" w:space="0" w:color="auto"/>
            <w:right w:val="none" w:sz="0" w:space="0" w:color="auto"/>
          </w:divBdr>
        </w:div>
        <w:div w:id="1415325387">
          <w:marLeft w:val="0"/>
          <w:marRight w:val="0"/>
          <w:marTop w:val="0"/>
          <w:marBottom w:val="0"/>
          <w:divBdr>
            <w:top w:val="none" w:sz="0" w:space="0" w:color="auto"/>
            <w:left w:val="none" w:sz="0" w:space="0" w:color="auto"/>
            <w:bottom w:val="none" w:sz="0" w:space="0" w:color="auto"/>
            <w:right w:val="none" w:sz="0" w:space="0" w:color="auto"/>
          </w:divBdr>
        </w:div>
        <w:div w:id="1454399306">
          <w:marLeft w:val="0"/>
          <w:marRight w:val="0"/>
          <w:marTop w:val="0"/>
          <w:marBottom w:val="0"/>
          <w:divBdr>
            <w:top w:val="none" w:sz="0" w:space="0" w:color="auto"/>
            <w:left w:val="none" w:sz="0" w:space="0" w:color="auto"/>
            <w:bottom w:val="none" w:sz="0" w:space="0" w:color="auto"/>
            <w:right w:val="none" w:sz="0" w:space="0" w:color="auto"/>
          </w:divBdr>
        </w:div>
        <w:div w:id="973634740">
          <w:marLeft w:val="0"/>
          <w:marRight w:val="0"/>
          <w:marTop w:val="0"/>
          <w:marBottom w:val="0"/>
          <w:divBdr>
            <w:top w:val="none" w:sz="0" w:space="0" w:color="auto"/>
            <w:left w:val="none" w:sz="0" w:space="0" w:color="auto"/>
            <w:bottom w:val="none" w:sz="0" w:space="0" w:color="auto"/>
            <w:right w:val="none" w:sz="0" w:space="0" w:color="auto"/>
          </w:divBdr>
        </w:div>
        <w:div w:id="718437753">
          <w:marLeft w:val="0"/>
          <w:marRight w:val="0"/>
          <w:marTop w:val="0"/>
          <w:marBottom w:val="0"/>
          <w:divBdr>
            <w:top w:val="none" w:sz="0" w:space="0" w:color="auto"/>
            <w:left w:val="none" w:sz="0" w:space="0" w:color="auto"/>
            <w:bottom w:val="none" w:sz="0" w:space="0" w:color="auto"/>
            <w:right w:val="none" w:sz="0" w:space="0" w:color="auto"/>
          </w:divBdr>
        </w:div>
        <w:div w:id="1257518827">
          <w:marLeft w:val="0"/>
          <w:marRight w:val="0"/>
          <w:marTop w:val="0"/>
          <w:marBottom w:val="0"/>
          <w:divBdr>
            <w:top w:val="none" w:sz="0" w:space="0" w:color="auto"/>
            <w:left w:val="none" w:sz="0" w:space="0" w:color="auto"/>
            <w:bottom w:val="none" w:sz="0" w:space="0" w:color="auto"/>
            <w:right w:val="none" w:sz="0" w:space="0" w:color="auto"/>
          </w:divBdr>
        </w:div>
        <w:div w:id="1834562674">
          <w:marLeft w:val="0"/>
          <w:marRight w:val="0"/>
          <w:marTop w:val="0"/>
          <w:marBottom w:val="0"/>
          <w:divBdr>
            <w:top w:val="none" w:sz="0" w:space="0" w:color="auto"/>
            <w:left w:val="none" w:sz="0" w:space="0" w:color="auto"/>
            <w:bottom w:val="none" w:sz="0" w:space="0" w:color="auto"/>
            <w:right w:val="none" w:sz="0" w:space="0" w:color="auto"/>
          </w:divBdr>
        </w:div>
        <w:div w:id="474419450">
          <w:marLeft w:val="0"/>
          <w:marRight w:val="0"/>
          <w:marTop w:val="0"/>
          <w:marBottom w:val="0"/>
          <w:divBdr>
            <w:top w:val="none" w:sz="0" w:space="0" w:color="auto"/>
            <w:left w:val="none" w:sz="0" w:space="0" w:color="auto"/>
            <w:bottom w:val="none" w:sz="0" w:space="0" w:color="auto"/>
            <w:right w:val="none" w:sz="0" w:space="0" w:color="auto"/>
          </w:divBdr>
        </w:div>
        <w:div w:id="1420952056">
          <w:marLeft w:val="0"/>
          <w:marRight w:val="0"/>
          <w:marTop w:val="0"/>
          <w:marBottom w:val="0"/>
          <w:divBdr>
            <w:top w:val="none" w:sz="0" w:space="0" w:color="auto"/>
            <w:left w:val="none" w:sz="0" w:space="0" w:color="auto"/>
            <w:bottom w:val="none" w:sz="0" w:space="0" w:color="auto"/>
            <w:right w:val="none" w:sz="0" w:space="0" w:color="auto"/>
          </w:divBdr>
        </w:div>
        <w:div w:id="221598207">
          <w:marLeft w:val="0"/>
          <w:marRight w:val="0"/>
          <w:marTop w:val="0"/>
          <w:marBottom w:val="0"/>
          <w:divBdr>
            <w:top w:val="none" w:sz="0" w:space="0" w:color="auto"/>
            <w:left w:val="none" w:sz="0" w:space="0" w:color="auto"/>
            <w:bottom w:val="none" w:sz="0" w:space="0" w:color="auto"/>
            <w:right w:val="none" w:sz="0" w:space="0" w:color="auto"/>
          </w:divBdr>
        </w:div>
        <w:div w:id="1455052008">
          <w:marLeft w:val="0"/>
          <w:marRight w:val="0"/>
          <w:marTop w:val="0"/>
          <w:marBottom w:val="0"/>
          <w:divBdr>
            <w:top w:val="none" w:sz="0" w:space="0" w:color="auto"/>
            <w:left w:val="none" w:sz="0" w:space="0" w:color="auto"/>
            <w:bottom w:val="none" w:sz="0" w:space="0" w:color="auto"/>
            <w:right w:val="none" w:sz="0" w:space="0" w:color="auto"/>
          </w:divBdr>
        </w:div>
        <w:div w:id="1557471578">
          <w:marLeft w:val="0"/>
          <w:marRight w:val="0"/>
          <w:marTop w:val="0"/>
          <w:marBottom w:val="0"/>
          <w:divBdr>
            <w:top w:val="none" w:sz="0" w:space="0" w:color="auto"/>
            <w:left w:val="none" w:sz="0" w:space="0" w:color="auto"/>
            <w:bottom w:val="none" w:sz="0" w:space="0" w:color="auto"/>
            <w:right w:val="none" w:sz="0" w:space="0" w:color="auto"/>
          </w:divBdr>
        </w:div>
        <w:div w:id="2130590612">
          <w:marLeft w:val="0"/>
          <w:marRight w:val="0"/>
          <w:marTop w:val="0"/>
          <w:marBottom w:val="0"/>
          <w:divBdr>
            <w:top w:val="none" w:sz="0" w:space="0" w:color="auto"/>
            <w:left w:val="none" w:sz="0" w:space="0" w:color="auto"/>
            <w:bottom w:val="none" w:sz="0" w:space="0" w:color="auto"/>
            <w:right w:val="none" w:sz="0" w:space="0" w:color="auto"/>
          </w:divBdr>
        </w:div>
        <w:div w:id="913899660">
          <w:marLeft w:val="0"/>
          <w:marRight w:val="0"/>
          <w:marTop w:val="0"/>
          <w:marBottom w:val="0"/>
          <w:divBdr>
            <w:top w:val="none" w:sz="0" w:space="0" w:color="auto"/>
            <w:left w:val="none" w:sz="0" w:space="0" w:color="auto"/>
            <w:bottom w:val="none" w:sz="0" w:space="0" w:color="auto"/>
            <w:right w:val="none" w:sz="0" w:space="0" w:color="auto"/>
          </w:divBdr>
        </w:div>
        <w:div w:id="313726830">
          <w:marLeft w:val="0"/>
          <w:marRight w:val="0"/>
          <w:marTop w:val="0"/>
          <w:marBottom w:val="0"/>
          <w:divBdr>
            <w:top w:val="none" w:sz="0" w:space="0" w:color="auto"/>
            <w:left w:val="none" w:sz="0" w:space="0" w:color="auto"/>
            <w:bottom w:val="none" w:sz="0" w:space="0" w:color="auto"/>
            <w:right w:val="none" w:sz="0" w:space="0" w:color="auto"/>
          </w:divBdr>
        </w:div>
        <w:div w:id="1893733835">
          <w:marLeft w:val="0"/>
          <w:marRight w:val="0"/>
          <w:marTop w:val="0"/>
          <w:marBottom w:val="0"/>
          <w:divBdr>
            <w:top w:val="none" w:sz="0" w:space="0" w:color="auto"/>
            <w:left w:val="none" w:sz="0" w:space="0" w:color="auto"/>
            <w:bottom w:val="none" w:sz="0" w:space="0" w:color="auto"/>
            <w:right w:val="none" w:sz="0" w:space="0" w:color="auto"/>
          </w:divBdr>
        </w:div>
        <w:div w:id="255208688">
          <w:marLeft w:val="0"/>
          <w:marRight w:val="0"/>
          <w:marTop w:val="0"/>
          <w:marBottom w:val="0"/>
          <w:divBdr>
            <w:top w:val="none" w:sz="0" w:space="0" w:color="auto"/>
            <w:left w:val="none" w:sz="0" w:space="0" w:color="auto"/>
            <w:bottom w:val="none" w:sz="0" w:space="0" w:color="auto"/>
            <w:right w:val="none" w:sz="0" w:space="0" w:color="auto"/>
          </w:divBdr>
        </w:div>
        <w:div w:id="2032535854">
          <w:marLeft w:val="0"/>
          <w:marRight w:val="0"/>
          <w:marTop w:val="0"/>
          <w:marBottom w:val="0"/>
          <w:divBdr>
            <w:top w:val="none" w:sz="0" w:space="0" w:color="auto"/>
            <w:left w:val="none" w:sz="0" w:space="0" w:color="auto"/>
            <w:bottom w:val="none" w:sz="0" w:space="0" w:color="auto"/>
            <w:right w:val="none" w:sz="0" w:space="0" w:color="auto"/>
          </w:divBdr>
        </w:div>
        <w:div w:id="865749902">
          <w:marLeft w:val="0"/>
          <w:marRight w:val="0"/>
          <w:marTop w:val="0"/>
          <w:marBottom w:val="0"/>
          <w:divBdr>
            <w:top w:val="none" w:sz="0" w:space="0" w:color="auto"/>
            <w:left w:val="none" w:sz="0" w:space="0" w:color="auto"/>
            <w:bottom w:val="none" w:sz="0" w:space="0" w:color="auto"/>
            <w:right w:val="none" w:sz="0" w:space="0" w:color="auto"/>
          </w:divBdr>
        </w:div>
        <w:div w:id="525945434">
          <w:marLeft w:val="0"/>
          <w:marRight w:val="0"/>
          <w:marTop w:val="0"/>
          <w:marBottom w:val="0"/>
          <w:divBdr>
            <w:top w:val="none" w:sz="0" w:space="0" w:color="auto"/>
            <w:left w:val="none" w:sz="0" w:space="0" w:color="auto"/>
            <w:bottom w:val="none" w:sz="0" w:space="0" w:color="auto"/>
            <w:right w:val="none" w:sz="0" w:space="0" w:color="auto"/>
          </w:divBdr>
        </w:div>
        <w:div w:id="1918782954">
          <w:marLeft w:val="0"/>
          <w:marRight w:val="0"/>
          <w:marTop w:val="0"/>
          <w:marBottom w:val="0"/>
          <w:divBdr>
            <w:top w:val="none" w:sz="0" w:space="0" w:color="auto"/>
            <w:left w:val="none" w:sz="0" w:space="0" w:color="auto"/>
            <w:bottom w:val="none" w:sz="0" w:space="0" w:color="auto"/>
            <w:right w:val="none" w:sz="0" w:space="0" w:color="auto"/>
          </w:divBdr>
        </w:div>
        <w:div w:id="773788275">
          <w:marLeft w:val="0"/>
          <w:marRight w:val="0"/>
          <w:marTop w:val="0"/>
          <w:marBottom w:val="0"/>
          <w:divBdr>
            <w:top w:val="none" w:sz="0" w:space="0" w:color="auto"/>
            <w:left w:val="none" w:sz="0" w:space="0" w:color="auto"/>
            <w:bottom w:val="none" w:sz="0" w:space="0" w:color="auto"/>
            <w:right w:val="none" w:sz="0" w:space="0" w:color="auto"/>
          </w:divBdr>
        </w:div>
        <w:div w:id="1648851102">
          <w:marLeft w:val="0"/>
          <w:marRight w:val="0"/>
          <w:marTop w:val="0"/>
          <w:marBottom w:val="0"/>
          <w:divBdr>
            <w:top w:val="none" w:sz="0" w:space="0" w:color="auto"/>
            <w:left w:val="none" w:sz="0" w:space="0" w:color="auto"/>
            <w:bottom w:val="none" w:sz="0" w:space="0" w:color="auto"/>
            <w:right w:val="none" w:sz="0" w:space="0" w:color="auto"/>
          </w:divBdr>
        </w:div>
        <w:div w:id="1997150176">
          <w:marLeft w:val="0"/>
          <w:marRight w:val="0"/>
          <w:marTop w:val="0"/>
          <w:marBottom w:val="0"/>
          <w:divBdr>
            <w:top w:val="none" w:sz="0" w:space="0" w:color="auto"/>
            <w:left w:val="none" w:sz="0" w:space="0" w:color="auto"/>
            <w:bottom w:val="none" w:sz="0" w:space="0" w:color="auto"/>
            <w:right w:val="none" w:sz="0" w:space="0" w:color="auto"/>
          </w:divBdr>
        </w:div>
        <w:div w:id="2081706439">
          <w:marLeft w:val="0"/>
          <w:marRight w:val="0"/>
          <w:marTop w:val="0"/>
          <w:marBottom w:val="0"/>
          <w:divBdr>
            <w:top w:val="none" w:sz="0" w:space="0" w:color="auto"/>
            <w:left w:val="none" w:sz="0" w:space="0" w:color="auto"/>
            <w:bottom w:val="none" w:sz="0" w:space="0" w:color="auto"/>
            <w:right w:val="none" w:sz="0" w:space="0" w:color="auto"/>
          </w:divBdr>
        </w:div>
        <w:div w:id="1627615758">
          <w:marLeft w:val="0"/>
          <w:marRight w:val="0"/>
          <w:marTop w:val="0"/>
          <w:marBottom w:val="0"/>
          <w:divBdr>
            <w:top w:val="none" w:sz="0" w:space="0" w:color="auto"/>
            <w:left w:val="none" w:sz="0" w:space="0" w:color="auto"/>
            <w:bottom w:val="none" w:sz="0" w:space="0" w:color="auto"/>
            <w:right w:val="none" w:sz="0" w:space="0" w:color="auto"/>
          </w:divBdr>
        </w:div>
        <w:div w:id="884024897">
          <w:marLeft w:val="0"/>
          <w:marRight w:val="0"/>
          <w:marTop w:val="0"/>
          <w:marBottom w:val="0"/>
          <w:divBdr>
            <w:top w:val="none" w:sz="0" w:space="0" w:color="auto"/>
            <w:left w:val="none" w:sz="0" w:space="0" w:color="auto"/>
            <w:bottom w:val="none" w:sz="0" w:space="0" w:color="auto"/>
            <w:right w:val="none" w:sz="0" w:space="0" w:color="auto"/>
          </w:divBdr>
        </w:div>
        <w:div w:id="639577626">
          <w:marLeft w:val="0"/>
          <w:marRight w:val="0"/>
          <w:marTop w:val="0"/>
          <w:marBottom w:val="0"/>
          <w:divBdr>
            <w:top w:val="none" w:sz="0" w:space="0" w:color="auto"/>
            <w:left w:val="none" w:sz="0" w:space="0" w:color="auto"/>
            <w:bottom w:val="none" w:sz="0" w:space="0" w:color="auto"/>
            <w:right w:val="none" w:sz="0" w:space="0" w:color="auto"/>
          </w:divBdr>
        </w:div>
        <w:div w:id="895622998">
          <w:marLeft w:val="0"/>
          <w:marRight w:val="0"/>
          <w:marTop w:val="0"/>
          <w:marBottom w:val="0"/>
          <w:divBdr>
            <w:top w:val="none" w:sz="0" w:space="0" w:color="auto"/>
            <w:left w:val="none" w:sz="0" w:space="0" w:color="auto"/>
            <w:bottom w:val="none" w:sz="0" w:space="0" w:color="auto"/>
            <w:right w:val="none" w:sz="0" w:space="0" w:color="auto"/>
          </w:divBdr>
        </w:div>
        <w:div w:id="619839567">
          <w:marLeft w:val="0"/>
          <w:marRight w:val="0"/>
          <w:marTop w:val="0"/>
          <w:marBottom w:val="0"/>
          <w:divBdr>
            <w:top w:val="none" w:sz="0" w:space="0" w:color="auto"/>
            <w:left w:val="none" w:sz="0" w:space="0" w:color="auto"/>
            <w:bottom w:val="none" w:sz="0" w:space="0" w:color="auto"/>
            <w:right w:val="none" w:sz="0" w:space="0" w:color="auto"/>
          </w:divBdr>
        </w:div>
        <w:div w:id="1866865265">
          <w:marLeft w:val="0"/>
          <w:marRight w:val="0"/>
          <w:marTop w:val="0"/>
          <w:marBottom w:val="0"/>
          <w:divBdr>
            <w:top w:val="none" w:sz="0" w:space="0" w:color="auto"/>
            <w:left w:val="none" w:sz="0" w:space="0" w:color="auto"/>
            <w:bottom w:val="none" w:sz="0" w:space="0" w:color="auto"/>
            <w:right w:val="none" w:sz="0" w:space="0" w:color="auto"/>
          </w:divBdr>
        </w:div>
        <w:div w:id="2021615592">
          <w:marLeft w:val="0"/>
          <w:marRight w:val="0"/>
          <w:marTop w:val="0"/>
          <w:marBottom w:val="0"/>
          <w:divBdr>
            <w:top w:val="none" w:sz="0" w:space="0" w:color="auto"/>
            <w:left w:val="none" w:sz="0" w:space="0" w:color="auto"/>
            <w:bottom w:val="none" w:sz="0" w:space="0" w:color="auto"/>
            <w:right w:val="none" w:sz="0" w:space="0" w:color="auto"/>
          </w:divBdr>
        </w:div>
        <w:div w:id="1533149446">
          <w:marLeft w:val="0"/>
          <w:marRight w:val="0"/>
          <w:marTop w:val="0"/>
          <w:marBottom w:val="0"/>
          <w:divBdr>
            <w:top w:val="none" w:sz="0" w:space="0" w:color="auto"/>
            <w:left w:val="none" w:sz="0" w:space="0" w:color="auto"/>
            <w:bottom w:val="none" w:sz="0" w:space="0" w:color="auto"/>
            <w:right w:val="none" w:sz="0" w:space="0" w:color="auto"/>
          </w:divBdr>
        </w:div>
        <w:div w:id="1176699362">
          <w:marLeft w:val="0"/>
          <w:marRight w:val="0"/>
          <w:marTop w:val="0"/>
          <w:marBottom w:val="0"/>
          <w:divBdr>
            <w:top w:val="none" w:sz="0" w:space="0" w:color="auto"/>
            <w:left w:val="none" w:sz="0" w:space="0" w:color="auto"/>
            <w:bottom w:val="none" w:sz="0" w:space="0" w:color="auto"/>
            <w:right w:val="none" w:sz="0" w:space="0" w:color="auto"/>
          </w:divBdr>
        </w:div>
        <w:div w:id="922371585">
          <w:marLeft w:val="0"/>
          <w:marRight w:val="0"/>
          <w:marTop w:val="0"/>
          <w:marBottom w:val="0"/>
          <w:divBdr>
            <w:top w:val="none" w:sz="0" w:space="0" w:color="auto"/>
            <w:left w:val="none" w:sz="0" w:space="0" w:color="auto"/>
            <w:bottom w:val="none" w:sz="0" w:space="0" w:color="auto"/>
            <w:right w:val="none" w:sz="0" w:space="0" w:color="auto"/>
          </w:divBdr>
        </w:div>
        <w:div w:id="577133759">
          <w:marLeft w:val="0"/>
          <w:marRight w:val="0"/>
          <w:marTop w:val="0"/>
          <w:marBottom w:val="0"/>
          <w:divBdr>
            <w:top w:val="none" w:sz="0" w:space="0" w:color="auto"/>
            <w:left w:val="none" w:sz="0" w:space="0" w:color="auto"/>
            <w:bottom w:val="none" w:sz="0" w:space="0" w:color="auto"/>
            <w:right w:val="none" w:sz="0" w:space="0" w:color="auto"/>
          </w:divBdr>
        </w:div>
        <w:div w:id="967050954">
          <w:marLeft w:val="0"/>
          <w:marRight w:val="0"/>
          <w:marTop w:val="0"/>
          <w:marBottom w:val="0"/>
          <w:divBdr>
            <w:top w:val="none" w:sz="0" w:space="0" w:color="auto"/>
            <w:left w:val="none" w:sz="0" w:space="0" w:color="auto"/>
            <w:bottom w:val="none" w:sz="0" w:space="0" w:color="auto"/>
            <w:right w:val="none" w:sz="0" w:space="0" w:color="auto"/>
          </w:divBdr>
        </w:div>
      </w:divsChild>
    </w:div>
    <w:div w:id="1232887821">
      <w:bodyDiv w:val="1"/>
      <w:marLeft w:val="0"/>
      <w:marRight w:val="0"/>
      <w:marTop w:val="0"/>
      <w:marBottom w:val="0"/>
      <w:divBdr>
        <w:top w:val="none" w:sz="0" w:space="0" w:color="auto"/>
        <w:left w:val="none" w:sz="0" w:space="0" w:color="auto"/>
        <w:bottom w:val="none" w:sz="0" w:space="0" w:color="auto"/>
        <w:right w:val="none" w:sz="0" w:space="0" w:color="auto"/>
      </w:divBdr>
    </w:div>
    <w:div w:id="1549948283">
      <w:bodyDiv w:val="1"/>
      <w:marLeft w:val="0"/>
      <w:marRight w:val="0"/>
      <w:marTop w:val="0"/>
      <w:marBottom w:val="0"/>
      <w:divBdr>
        <w:top w:val="none" w:sz="0" w:space="0" w:color="auto"/>
        <w:left w:val="none" w:sz="0" w:space="0" w:color="auto"/>
        <w:bottom w:val="none" w:sz="0" w:space="0" w:color="auto"/>
        <w:right w:val="none" w:sz="0" w:space="0" w:color="auto"/>
      </w:divBdr>
    </w:div>
    <w:div w:id="1886674391">
      <w:bodyDiv w:val="1"/>
      <w:marLeft w:val="0"/>
      <w:marRight w:val="0"/>
      <w:marTop w:val="0"/>
      <w:marBottom w:val="0"/>
      <w:divBdr>
        <w:top w:val="none" w:sz="0" w:space="0" w:color="auto"/>
        <w:left w:val="none" w:sz="0" w:space="0" w:color="auto"/>
        <w:bottom w:val="none" w:sz="0" w:space="0" w:color="auto"/>
        <w:right w:val="none" w:sz="0" w:space="0" w:color="auto"/>
      </w:divBdr>
    </w:div>
    <w:div w:id="2038118758">
      <w:bodyDiv w:val="1"/>
      <w:marLeft w:val="0"/>
      <w:marRight w:val="0"/>
      <w:marTop w:val="0"/>
      <w:marBottom w:val="0"/>
      <w:divBdr>
        <w:top w:val="none" w:sz="0" w:space="0" w:color="auto"/>
        <w:left w:val="none" w:sz="0" w:space="0" w:color="auto"/>
        <w:bottom w:val="none" w:sz="0" w:space="0" w:color="auto"/>
        <w:right w:val="none" w:sz="0" w:space="0" w:color="auto"/>
      </w:divBdr>
      <w:divsChild>
        <w:div w:id="2092772519">
          <w:marLeft w:val="0"/>
          <w:marRight w:val="0"/>
          <w:marTop w:val="0"/>
          <w:marBottom w:val="0"/>
          <w:divBdr>
            <w:top w:val="none" w:sz="0" w:space="0" w:color="auto"/>
            <w:left w:val="none" w:sz="0" w:space="0" w:color="auto"/>
            <w:bottom w:val="none" w:sz="0" w:space="0" w:color="auto"/>
            <w:right w:val="none" w:sz="0" w:space="0" w:color="auto"/>
          </w:divBdr>
        </w:div>
        <w:div w:id="4950759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3" Type="http://schemas.microsoft.com/office/2011/relationships/commentsExtended" Target="commentsExtended.xml"/><Relationship Id="rId32" Type="http://schemas.microsoft.com/office/2011/relationships/people" Target="people.xml"/><Relationship Id="rId10" Type="http://schemas.openxmlformats.org/officeDocument/2006/relationships/hyperlink" Target="https://github.com/benoslab/causalMGM)" TargetMode="External"/><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31</Pages>
  <Words>23624</Words>
  <Characters>134658</Characters>
  <Application>Microsoft Macintosh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157967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Kitsios</dc:creator>
  <cp:keywords/>
  <dc:description/>
  <cp:lastModifiedBy>Georgios Kitsios</cp:lastModifiedBy>
  <cp:revision>48</cp:revision>
  <dcterms:created xsi:type="dcterms:W3CDTF">2018-02-20T15:50:00Z</dcterms:created>
  <dcterms:modified xsi:type="dcterms:W3CDTF">2018-06-22T18:50:00Z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http://www.zotero.org/styles/frontiers-in-microbiology</vt:lpwstr>
  </property>
</Properties>
</file>