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56" w:rsidRPr="00D37E93" w:rsidRDefault="00FA7256" w:rsidP="00786990">
      <w:pPr>
        <w:adjustRightInd/>
        <w:spacing w:line="240" w:lineRule="auto"/>
        <w:jc w:val="center"/>
        <w:textAlignment w:val="auto"/>
        <w:rPr>
          <w:rFonts w:eastAsiaTheme="minorEastAsia" w:hAnsi="Times New Roman"/>
          <w:b/>
          <w:i/>
          <w:kern w:val="2"/>
          <w:sz w:val="28"/>
          <w:szCs w:val="32"/>
        </w:rPr>
      </w:pPr>
      <w:r w:rsidRPr="00D37E93">
        <w:rPr>
          <w:rFonts w:eastAsiaTheme="minorEastAsia" w:hAnsi="Times New Roman"/>
          <w:b/>
          <w:i/>
          <w:kern w:val="2"/>
          <w:sz w:val="28"/>
          <w:szCs w:val="32"/>
        </w:rPr>
        <w:t>Supplementary</w:t>
      </w:r>
      <w:r w:rsidRPr="00D37E93">
        <w:rPr>
          <w:rFonts w:eastAsiaTheme="minorEastAsia" w:hAnsi="Times New Roman" w:hint="eastAsia"/>
          <w:b/>
          <w:i/>
          <w:kern w:val="2"/>
          <w:sz w:val="28"/>
          <w:szCs w:val="32"/>
        </w:rPr>
        <w:t xml:space="preserve"> </w:t>
      </w:r>
      <w:r w:rsidR="00786990" w:rsidRPr="00D37E93">
        <w:rPr>
          <w:rFonts w:eastAsiaTheme="minorEastAsia" w:hAnsi="Times New Roman"/>
          <w:b/>
          <w:i/>
          <w:kern w:val="2"/>
          <w:sz w:val="28"/>
          <w:szCs w:val="32"/>
        </w:rPr>
        <w:t>Material</w:t>
      </w:r>
    </w:p>
    <w:p w:rsidR="00892103" w:rsidRPr="00D37E93" w:rsidRDefault="00892103" w:rsidP="00786990">
      <w:pPr>
        <w:pStyle w:val="SupplementaryMaterial"/>
        <w:rPr>
          <w:i w:val="0"/>
          <w:sz w:val="28"/>
        </w:rPr>
      </w:pPr>
      <w:r w:rsidRPr="00D37E93">
        <w:rPr>
          <w:i w:val="0"/>
          <w:sz w:val="28"/>
        </w:rPr>
        <w:t>Counting the countless: Targeting rRNA molecules for bacterial quantification: a novel and potential approach for exploring human gut microbiota in health and disease</w:t>
      </w:r>
      <w:r w:rsidR="00786990" w:rsidRPr="00D37E93">
        <w:rPr>
          <w:i w:val="0"/>
          <w:sz w:val="28"/>
        </w:rPr>
        <w:t>.</w:t>
      </w:r>
    </w:p>
    <w:p w:rsidR="00892103" w:rsidRPr="00786990" w:rsidRDefault="00892103" w:rsidP="00786990">
      <w:pPr>
        <w:spacing w:line="240" w:lineRule="auto"/>
        <w:rPr>
          <w:sz w:val="24"/>
          <w:szCs w:val="24"/>
        </w:rPr>
      </w:pPr>
    </w:p>
    <w:p w:rsidR="00892103" w:rsidRPr="00786990" w:rsidRDefault="00786990" w:rsidP="00786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Hirokazu Tsuji</w:t>
      </w:r>
      <w:r w:rsidR="00892103" w:rsidRPr="00786990">
        <w:rPr>
          <w:sz w:val="24"/>
          <w:szCs w:val="24"/>
        </w:rPr>
        <w:t>*, Kazu</w:t>
      </w:r>
      <w:r>
        <w:rPr>
          <w:sz w:val="24"/>
          <w:szCs w:val="24"/>
        </w:rPr>
        <w:t xml:space="preserve">nori Matsuda, Koji </w:t>
      </w:r>
      <w:proofErr w:type="spellStart"/>
      <w:r>
        <w:rPr>
          <w:sz w:val="24"/>
          <w:szCs w:val="24"/>
        </w:rPr>
        <w:t>Nomoto</w:t>
      </w:r>
      <w:proofErr w:type="spellEnd"/>
    </w:p>
    <w:p w:rsidR="00D37E93" w:rsidRDefault="00892103" w:rsidP="00786990">
      <w:pPr>
        <w:spacing w:line="240" w:lineRule="auto"/>
        <w:rPr>
          <w:rStyle w:val="aa"/>
          <w:sz w:val="24"/>
          <w:szCs w:val="24"/>
        </w:rPr>
      </w:pPr>
      <w:r w:rsidRPr="00786990">
        <w:rPr>
          <w:b/>
          <w:sz w:val="24"/>
          <w:szCs w:val="24"/>
        </w:rPr>
        <w:t>*Cor</w:t>
      </w:r>
      <w:r w:rsidR="00786990" w:rsidRPr="00786990">
        <w:rPr>
          <w:b/>
          <w:sz w:val="24"/>
          <w:szCs w:val="24"/>
        </w:rPr>
        <w:t xml:space="preserve">respondence: </w:t>
      </w:r>
      <w:r w:rsidR="00786990" w:rsidRPr="00786990">
        <w:rPr>
          <w:sz w:val="24"/>
          <w:szCs w:val="24"/>
        </w:rPr>
        <w:t xml:space="preserve">Hirokazu Tsuji, PhD: </w:t>
      </w:r>
      <w:hyperlink r:id="rId11" w:history="1">
        <w:r w:rsidRPr="00786990">
          <w:rPr>
            <w:rStyle w:val="aa"/>
            <w:sz w:val="24"/>
            <w:szCs w:val="24"/>
          </w:rPr>
          <w:t>hirokazu-tsuji@yakult.co.jp</w:t>
        </w:r>
      </w:hyperlink>
    </w:p>
    <w:p w:rsidR="00D37E93" w:rsidRDefault="00D37E93" w:rsidP="00786990">
      <w:pPr>
        <w:spacing w:line="240" w:lineRule="auto"/>
        <w:rPr>
          <w:rStyle w:val="aa"/>
          <w:sz w:val="24"/>
          <w:szCs w:val="24"/>
        </w:rPr>
      </w:pPr>
    </w:p>
    <w:p w:rsidR="009723AC" w:rsidRPr="00D37E93" w:rsidRDefault="00D37E93" w:rsidP="00786990">
      <w:pPr>
        <w:spacing w:line="240" w:lineRule="auto"/>
        <w:rPr>
          <w:sz w:val="24"/>
        </w:rPr>
      </w:pPr>
      <w:r w:rsidRPr="00D37E93">
        <w:rPr>
          <w:b/>
          <w:sz w:val="24"/>
        </w:rPr>
        <w:t xml:space="preserve">Supplementary </w:t>
      </w:r>
      <w:r w:rsidR="009723AC" w:rsidRPr="00D37E93">
        <w:rPr>
          <w:b/>
          <w:sz w:val="24"/>
        </w:rPr>
        <w:t xml:space="preserve">Table </w:t>
      </w:r>
      <w:r w:rsidRPr="00D37E93">
        <w:rPr>
          <w:b/>
          <w:sz w:val="24"/>
        </w:rPr>
        <w:t>1.</w:t>
      </w:r>
      <w:r w:rsidR="009723AC" w:rsidRPr="00D37E93">
        <w:rPr>
          <w:sz w:val="24"/>
        </w:rPr>
        <w:t xml:space="preserve"> General information of the subjects included in the healthy Japanese intestinal microbiota database.</w:t>
      </w:r>
    </w:p>
    <w:tbl>
      <w:tblPr>
        <w:tblpPr w:leftFromText="142" w:rightFromText="142" w:vertAnchor="text" w:horzAnchor="margin" w:tblpY="1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1275"/>
        <w:gridCol w:w="2268"/>
      </w:tblGrid>
      <w:tr w:rsidR="009723AC" w:rsidRPr="00B30E9B" w:rsidTr="00885164">
        <w:trPr>
          <w:trHeight w:val="69"/>
        </w:trPr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Age group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Average age</w:t>
            </w:r>
          </w:p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(mean ± SD)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No. of volunteers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Reference</w:t>
            </w:r>
          </w:p>
        </w:tc>
      </w:tr>
      <w:tr w:rsidR="009723AC" w:rsidRPr="00B30E9B" w:rsidTr="00885164">
        <w:trPr>
          <w:trHeight w:val="85"/>
        </w:trPr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rPr>
                <w:rFonts w:hAnsi="Times New Roman"/>
                <w:sz w:val="20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rPr>
                <w:rFonts w:hAnsi="Times New Roman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Men/Women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rPr>
                <w:rFonts w:hAnsi="Times New Roman"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</w:t>
            </w:r>
            <w:r>
              <w:rPr>
                <w:rFonts w:hAnsi="Times New Roman"/>
                <w:sz w:val="20"/>
                <w:szCs w:val="18"/>
              </w:rPr>
              <w:t xml:space="preserve"> day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  <w:lang w:val="hr-HR"/>
              </w:rPr>
              <w:t>1.0 ± 0.3 days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82/69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542028" w:rsidRDefault="00885164" w:rsidP="00885164">
            <w:pPr>
              <w:spacing w:line="220" w:lineRule="exact"/>
              <w:rPr>
                <w:rFonts w:hAnsi="Times New Roman"/>
                <w:i/>
                <w:sz w:val="20"/>
                <w:szCs w:val="18"/>
              </w:rPr>
            </w:pPr>
            <w:r w:rsidRPr="00885164">
              <w:rPr>
                <w:rFonts w:hAnsi="Times New Roman"/>
                <w:i/>
                <w:sz w:val="20"/>
                <w:szCs w:val="18"/>
              </w:rPr>
              <w:t>Tsuji et al., 2012</w:t>
            </w: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3</w:t>
            </w:r>
            <w:r>
              <w:rPr>
                <w:rFonts w:hAnsi="Times New Roman"/>
                <w:sz w:val="20"/>
                <w:szCs w:val="18"/>
              </w:rPr>
              <w:t xml:space="preserve"> days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>
              <w:rPr>
                <w:rFonts w:hAnsi="Times New Roman" w:hint="eastAsia"/>
                <w:sz w:val="20"/>
                <w:szCs w:val="18"/>
                <w:lang w:val="hr-HR"/>
              </w:rPr>
              <w:t>3.0</w:t>
            </w:r>
            <w:r w:rsidRPr="00B30E9B">
              <w:rPr>
                <w:rFonts w:hAnsi="Times New Roman"/>
                <w:sz w:val="20"/>
                <w:szCs w:val="18"/>
                <w:lang w:val="hr-HR"/>
              </w:rPr>
              <w:t xml:space="preserve"> ± 0.2 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79/70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23AC" w:rsidRPr="00542028" w:rsidRDefault="009723AC" w:rsidP="00885164">
            <w:pPr>
              <w:spacing w:line="220" w:lineRule="exact"/>
              <w:rPr>
                <w:rFonts w:hAnsi="Times New Roman"/>
                <w:i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7</w:t>
            </w:r>
            <w:r>
              <w:rPr>
                <w:rFonts w:hAnsi="Times New Roman"/>
                <w:sz w:val="20"/>
                <w:szCs w:val="18"/>
              </w:rPr>
              <w:t xml:space="preserve"> days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3D5818">
              <w:rPr>
                <w:rFonts w:hAnsi="Times New Roman"/>
                <w:sz w:val="20"/>
                <w:szCs w:val="18"/>
                <w:lang w:val="nb-NO"/>
              </w:rPr>
              <w:t xml:space="preserve">7.2 ± 1.3 </w:t>
            </w:r>
            <w:r w:rsidRPr="00B30E9B">
              <w:rPr>
                <w:rFonts w:hAnsi="Times New Roman"/>
                <w:sz w:val="20"/>
                <w:szCs w:val="18"/>
                <w:lang w:val="nb-NO"/>
              </w:rPr>
              <w:t>days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82/64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23AC" w:rsidRPr="00542028" w:rsidRDefault="009723AC" w:rsidP="00885164">
            <w:pPr>
              <w:spacing w:line="220" w:lineRule="exact"/>
              <w:rPr>
                <w:rFonts w:hAnsi="Times New Roman"/>
                <w:i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 month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  <w:lang w:val="nb-NO"/>
              </w:rPr>
              <w:t>0.9 ± 0.1</w:t>
            </w:r>
            <w:r w:rsidRPr="00B30E9B">
              <w:rPr>
                <w:rFonts w:hAnsi="Times New Roman"/>
                <w:sz w:val="20"/>
                <w:szCs w:val="18"/>
                <w:lang w:val="hr-HR"/>
              </w:rPr>
              <w:t xml:space="preserve">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80/66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23AC" w:rsidRPr="00542028" w:rsidRDefault="009723AC" w:rsidP="00885164">
            <w:pPr>
              <w:spacing w:line="220" w:lineRule="exact"/>
              <w:rPr>
                <w:rFonts w:hAnsi="Times New Roman"/>
                <w:i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3 months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  <w:lang w:val="hr-HR"/>
              </w:rPr>
              <w:t>2.7 ± 0.1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63/58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23AC" w:rsidRPr="00542028" w:rsidRDefault="009723AC" w:rsidP="00885164">
            <w:pPr>
              <w:spacing w:line="220" w:lineRule="exact"/>
              <w:rPr>
                <w:rFonts w:hAnsi="Times New Roman"/>
                <w:i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6 months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  <w:lang w:val="hr-HR"/>
              </w:rPr>
              <w:t>5.5 ± 0.1 months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70/53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23AC" w:rsidRPr="00542028" w:rsidRDefault="009723AC" w:rsidP="00885164">
            <w:pPr>
              <w:spacing w:line="220" w:lineRule="exact"/>
              <w:rPr>
                <w:rFonts w:hAnsi="Times New Roman"/>
                <w:i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3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3D5818">
              <w:rPr>
                <w:rFonts w:hAnsi="Times New Roman"/>
                <w:sz w:val="20"/>
                <w:szCs w:val="18"/>
                <w:lang w:val="hr-HR"/>
              </w:rPr>
              <w:t xml:space="preserve">3.0 ± 0.1 </w:t>
            </w:r>
            <w:r w:rsidRPr="00B30E9B">
              <w:rPr>
                <w:rFonts w:hAnsi="Times New Roman"/>
                <w:sz w:val="20"/>
                <w:szCs w:val="18"/>
                <w:lang w:val="hr-HR"/>
              </w:rPr>
              <w:t>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82/72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23AC" w:rsidRPr="00542028" w:rsidRDefault="009723AC" w:rsidP="00885164">
            <w:pPr>
              <w:spacing w:line="220" w:lineRule="exact"/>
              <w:rPr>
                <w:rFonts w:hAnsi="Times New Roman"/>
                <w:i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4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4-13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  <w:lang w:val="hr-HR"/>
              </w:rPr>
              <w:t>8.7 ± 1.5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63/55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542028" w:rsidRDefault="00885164" w:rsidP="00885164">
            <w:pPr>
              <w:spacing w:line="220" w:lineRule="exact"/>
              <w:jc w:val="left"/>
              <w:rPr>
                <w:rFonts w:hAnsi="Times New Roman"/>
                <w:i/>
                <w:sz w:val="20"/>
                <w:szCs w:val="18"/>
              </w:rPr>
            </w:pPr>
            <w:r w:rsidRPr="00885164">
              <w:rPr>
                <w:rFonts w:hAnsi="Times New Roman"/>
                <w:i/>
                <w:sz w:val="20"/>
                <w:szCs w:val="18"/>
              </w:rPr>
              <w:t>Nakayama et al., 2015;</w:t>
            </w:r>
            <w:r>
              <w:t xml:space="preserve"> </w:t>
            </w:r>
            <w:r w:rsidRPr="00885164">
              <w:rPr>
                <w:rFonts w:hAnsi="Times New Roman"/>
                <w:i/>
                <w:sz w:val="20"/>
                <w:szCs w:val="18"/>
              </w:rPr>
              <w:t>Wang et al., 2015</w:t>
            </w:r>
          </w:p>
        </w:tc>
      </w:tr>
      <w:tr w:rsidR="009723AC" w:rsidRPr="00B30E9B" w:rsidTr="00885164">
        <w:trPr>
          <w:trHeight w:val="1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>
              <w:rPr>
                <w:rFonts w:hAnsi="Times New Roman" w:hint="eastAsia"/>
                <w:sz w:val="20"/>
                <w:szCs w:val="18"/>
              </w:rPr>
              <w:t>18-19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  <w:lang w:val="hr-HR"/>
              </w:rPr>
            </w:pPr>
            <w:r w:rsidRPr="005C3C38">
              <w:rPr>
                <w:rFonts w:hAnsi="Times New Roman"/>
                <w:sz w:val="20"/>
                <w:szCs w:val="18"/>
                <w:lang w:val="hr-HR"/>
              </w:rPr>
              <w:t>19.1 ± 0.3</w:t>
            </w:r>
            <w:r>
              <w:rPr>
                <w:rFonts w:hAnsi="Times New Roman"/>
                <w:sz w:val="20"/>
                <w:szCs w:val="18"/>
                <w:lang w:val="hr-HR"/>
              </w:rPr>
              <w:t xml:space="preserve">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>
              <w:rPr>
                <w:rFonts w:hAnsi="Times New Roman" w:hint="eastAsia"/>
                <w:sz w:val="20"/>
                <w:szCs w:val="18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5C3C38">
              <w:rPr>
                <w:rFonts w:hAnsi="Times New Roman"/>
                <w:sz w:val="20"/>
                <w:szCs w:val="18"/>
              </w:rPr>
              <w:t>183 / 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23AC" w:rsidRPr="00542028" w:rsidRDefault="00885164" w:rsidP="00885164">
            <w:pPr>
              <w:spacing w:line="220" w:lineRule="exact"/>
              <w:jc w:val="left"/>
              <w:rPr>
                <w:rFonts w:hAnsi="Times New Roman"/>
                <w:i/>
                <w:sz w:val="20"/>
                <w:szCs w:val="18"/>
              </w:rPr>
            </w:pPr>
            <w:r w:rsidRPr="00885164">
              <w:rPr>
                <w:rFonts w:hAnsi="Times New Roman"/>
                <w:i/>
                <w:sz w:val="20"/>
                <w:szCs w:val="18"/>
              </w:rPr>
              <w:t>Suzuki et al., 2017</w:t>
            </w:r>
          </w:p>
        </w:tc>
      </w:tr>
      <w:tr w:rsidR="009723AC" w:rsidRPr="00B30E9B" w:rsidTr="00885164">
        <w:trPr>
          <w:trHeight w:val="5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20‒39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5C3C38">
              <w:rPr>
                <w:rFonts w:hAnsi="Times New Roman"/>
                <w:sz w:val="20"/>
                <w:szCs w:val="18"/>
                <w:lang w:val="nb-NO"/>
              </w:rPr>
              <w:t>28.0 ± 6.6</w:t>
            </w:r>
            <w:r w:rsidRPr="00B30E9B">
              <w:rPr>
                <w:rFonts w:hAnsi="Times New Roman"/>
                <w:sz w:val="20"/>
                <w:szCs w:val="18"/>
                <w:lang w:val="nb-NO"/>
              </w:rPr>
              <w:t xml:space="preserve"> ± 5.5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</w:t>
            </w:r>
            <w:r>
              <w:rPr>
                <w:rFonts w:hAnsi="Times New Roman"/>
                <w:sz w:val="20"/>
                <w:szCs w:val="18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5C3C38">
              <w:rPr>
                <w:rFonts w:hAnsi="Times New Roman"/>
                <w:sz w:val="20"/>
                <w:szCs w:val="18"/>
              </w:rPr>
              <w:t>63 / 102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542028" w:rsidRDefault="00885164" w:rsidP="00885164">
            <w:pPr>
              <w:spacing w:line="220" w:lineRule="exact"/>
              <w:jc w:val="left"/>
              <w:rPr>
                <w:rFonts w:hAnsi="Times New Roman"/>
                <w:i/>
                <w:sz w:val="20"/>
                <w:szCs w:val="18"/>
              </w:rPr>
            </w:pPr>
            <w:proofErr w:type="spellStart"/>
            <w:r w:rsidRPr="00885164">
              <w:rPr>
                <w:rFonts w:hAnsi="Times New Roman"/>
                <w:i/>
                <w:sz w:val="20"/>
                <w:szCs w:val="18"/>
              </w:rPr>
              <w:t>Aizawa</w:t>
            </w:r>
            <w:proofErr w:type="spellEnd"/>
            <w:r w:rsidRPr="00885164">
              <w:rPr>
                <w:rFonts w:hAnsi="Times New Roman"/>
                <w:i/>
                <w:sz w:val="20"/>
                <w:szCs w:val="18"/>
              </w:rPr>
              <w:t xml:space="preserve"> et al., 2016; Aoki et al., 2014; </w:t>
            </w:r>
            <w:proofErr w:type="spellStart"/>
            <w:r w:rsidRPr="00885164">
              <w:rPr>
                <w:rFonts w:hAnsi="Times New Roman"/>
                <w:i/>
                <w:sz w:val="20"/>
                <w:szCs w:val="18"/>
              </w:rPr>
              <w:t>Bian</w:t>
            </w:r>
            <w:proofErr w:type="spellEnd"/>
            <w:r w:rsidRPr="00885164">
              <w:rPr>
                <w:rFonts w:hAnsi="Times New Roman"/>
                <w:i/>
                <w:sz w:val="20"/>
                <w:szCs w:val="18"/>
              </w:rPr>
              <w:t xml:space="preserve"> et al., 2011; Hasegawa et al., 2015; Kanda, 2013; Matsuda et al., 2009; Morita et al., 2015; Nagata et al., 2011, 2016; </w:t>
            </w:r>
            <w:proofErr w:type="spellStart"/>
            <w:r w:rsidRPr="00885164">
              <w:rPr>
                <w:rFonts w:hAnsi="Times New Roman"/>
                <w:i/>
                <w:sz w:val="20"/>
                <w:szCs w:val="18"/>
              </w:rPr>
              <w:t>Ohigashi</w:t>
            </w:r>
            <w:proofErr w:type="spellEnd"/>
            <w:r w:rsidRPr="00885164">
              <w:rPr>
                <w:rFonts w:hAnsi="Times New Roman"/>
                <w:i/>
                <w:sz w:val="20"/>
                <w:szCs w:val="18"/>
              </w:rPr>
              <w:t xml:space="preserve"> </w:t>
            </w:r>
            <w:r>
              <w:rPr>
                <w:rFonts w:hAnsi="Times New Roman"/>
                <w:i/>
                <w:sz w:val="20"/>
                <w:szCs w:val="18"/>
              </w:rPr>
              <w:t>et al., 2013; Sato et al., 2014</w:t>
            </w:r>
            <w:r w:rsidRPr="00885164">
              <w:rPr>
                <w:rFonts w:hAnsi="Times New Roman"/>
                <w:i/>
                <w:sz w:val="20"/>
                <w:szCs w:val="18"/>
              </w:rPr>
              <w:t>; Tsuj</w:t>
            </w:r>
            <w:r>
              <w:rPr>
                <w:rFonts w:hAnsi="Times New Roman"/>
                <w:i/>
                <w:sz w:val="20"/>
                <w:szCs w:val="18"/>
              </w:rPr>
              <w:t xml:space="preserve">i et al., </w:t>
            </w:r>
            <w:r w:rsidRPr="00885164">
              <w:rPr>
                <w:rFonts w:hAnsi="Times New Roman"/>
                <w:i/>
                <w:sz w:val="20"/>
                <w:szCs w:val="18"/>
              </w:rPr>
              <w:t>2014)</w:t>
            </w:r>
          </w:p>
        </w:tc>
      </w:tr>
      <w:tr w:rsidR="009723AC" w:rsidRPr="00B30E9B" w:rsidTr="00885164">
        <w:trPr>
          <w:trHeight w:val="5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40‒59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3D5818">
              <w:rPr>
                <w:rFonts w:hAnsi="Times New Roman"/>
                <w:sz w:val="20"/>
                <w:szCs w:val="18"/>
                <w:lang w:val="hr-HR"/>
              </w:rPr>
              <w:t xml:space="preserve">49.7 ± 5.8 </w:t>
            </w:r>
            <w:r w:rsidRPr="00B30E9B">
              <w:rPr>
                <w:rFonts w:hAnsi="Times New Roman"/>
                <w:sz w:val="20"/>
                <w:szCs w:val="18"/>
                <w:lang w:val="hr-HR"/>
              </w:rPr>
              <w:t>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41/125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rPr>
                <w:rFonts w:hAnsi="Times New Roman"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5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60‒79 years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  <w:lang w:val="hr-HR"/>
              </w:rPr>
              <w:t>68.6 ± 5.5 years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75/87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rPr>
                <w:rFonts w:hAnsi="Times New Roman"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535"/>
        </w:trPr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80 years or 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left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  <w:lang w:val="nb-NO"/>
              </w:rPr>
              <w:t>87.4 ± 5.2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25/76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rPr>
                <w:rFonts w:hAnsi="Times New Roman"/>
                <w:sz w:val="20"/>
                <w:szCs w:val="18"/>
              </w:rPr>
            </w:pPr>
          </w:p>
        </w:tc>
      </w:tr>
      <w:tr w:rsidR="009723AC" w:rsidRPr="00B30E9B" w:rsidTr="00885164">
        <w:trPr>
          <w:trHeight w:val="135"/>
        </w:trPr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 w:rsidRPr="00B30E9B">
              <w:rPr>
                <w:rFonts w:hAnsi="Times New Roman"/>
                <w:sz w:val="20"/>
                <w:szCs w:val="18"/>
              </w:rPr>
              <w:t>Sum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>
              <w:rPr>
                <w:rFonts w:hAnsi="Times New Roman"/>
                <w:sz w:val="20"/>
                <w:szCs w:val="18"/>
              </w:rPr>
              <w:t>1951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  <w:r>
              <w:rPr>
                <w:rFonts w:hAnsi="Times New Roman"/>
                <w:sz w:val="20"/>
                <w:szCs w:val="18"/>
              </w:rPr>
              <w:t>988</w:t>
            </w:r>
            <w:r w:rsidRPr="00B30E9B">
              <w:rPr>
                <w:rFonts w:hAnsi="Times New Roman"/>
                <w:sz w:val="20"/>
                <w:szCs w:val="18"/>
              </w:rPr>
              <w:t>/</w:t>
            </w:r>
            <w:r>
              <w:rPr>
                <w:rFonts w:hAnsi="Times New Roman"/>
                <w:sz w:val="20"/>
                <w:szCs w:val="18"/>
              </w:rPr>
              <w:t>963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3AC" w:rsidRPr="00B30E9B" w:rsidRDefault="009723AC" w:rsidP="00786990">
            <w:pPr>
              <w:spacing w:line="240" w:lineRule="auto"/>
              <w:jc w:val="center"/>
              <w:rPr>
                <w:rFonts w:hAnsi="Times New Roman"/>
                <w:sz w:val="20"/>
                <w:szCs w:val="18"/>
              </w:rPr>
            </w:pPr>
          </w:p>
        </w:tc>
      </w:tr>
    </w:tbl>
    <w:p w:rsidR="009723AC" w:rsidRDefault="009723AC" w:rsidP="00786990">
      <w:pPr>
        <w:spacing w:line="240" w:lineRule="auto"/>
      </w:pPr>
    </w:p>
    <w:p w:rsidR="009723AC" w:rsidRDefault="009723AC" w:rsidP="00885164">
      <w:pPr>
        <w:widowControl/>
        <w:tabs>
          <w:tab w:val="center" w:pos="4252"/>
        </w:tabs>
        <w:adjustRightInd/>
        <w:spacing w:line="240" w:lineRule="auto"/>
        <w:jc w:val="left"/>
        <w:textAlignment w:val="auto"/>
        <w:rPr>
          <w:rFonts w:eastAsiaTheme="minorEastAsia" w:hAnsi="Times New Roman"/>
          <w:b/>
          <w:kern w:val="2"/>
          <w:sz w:val="24"/>
          <w:szCs w:val="24"/>
        </w:rPr>
      </w:pPr>
      <w:r>
        <w:rPr>
          <w:rFonts w:eastAsiaTheme="minorEastAsia" w:hAnsi="Times New Roman"/>
          <w:b/>
          <w:kern w:val="2"/>
          <w:sz w:val="24"/>
          <w:szCs w:val="24"/>
        </w:rPr>
        <w:br w:type="page"/>
      </w:r>
      <w:r w:rsidR="00885164">
        <w:rPr>
          <w:rFonts w:eastAsiaTheme="minorEastAsia" w:hAnsi="Times New Roman"/>
          <w:b/>
          <w:kern w:val="2"/>
          <w:sz w:val="24"/>
          <w:szCs w:val="24"/>
        </w:rPr>
        <w:lastRenderedPageBreak/>
        <w:tab/>
      </w:r>
    </w:p>
    <w:p w:rsidR="009723AC" w:rsidRPr="009723AC" w:rsidRDefault="00D37E93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b/>
          <w:kern w:val="2"/>
          <w:sz w:val="24"/>
          <w:szCs w:val="24"/>
        </w:rPr>
      </w:pPr>
      <w:r w:rsidRPr="00D37E93">
        <w:rPr>
          <w:rFonts w:eastAsiaTheme="minorEastAsia" w:hAnsi="Times New Roman"/>
          <w:b/>
          <w:kern w:val="2"/>
          <w:sz w:val="24"/>
          <w:szCs w:val="24"/>
        </w:rPr>
        <w:t>Supplementary</w:t>
      </w:r>
      <w:r w:rsidRPr="00D37E93">
        <w:rPr>
          <w:rFonts w:eastAsiaTheme="minorEastAsia" w:hAnsi="Times New Roman" w:hint="eastAsia"/>
          <w:b/>
          <w:kern w:val="2"/>
          <w:sz w:val="24"/>
          <w:szCs w:val="24"/>
        </w:rPr>
        <w:t xml:space="preserve"> </w:t>
      </w:r>
      <w:r w:rsidR="009723AC" w:rsidRPr="009723AC">
        <w:rPr>
          <w:rFonts w:eastAsiaTheme="minorEastAsia" w:hAnsi="Times New Roman" w:hint="eastAsia"/>
          <w:b/>
          <w:kern w:val="2"/>
          <w:sz w:val="24"/>
          <w:szCs w:val="24"/>
        </w:rPr>
        <w:t xml:space="preserve">Materials and </w:t>
      </w:r>
      <w:r w:rsidR="009723AC" w:rsidRPr="009723AC">
        <w:rPr>
          <w:rFonts w:eastAsiaTheme="minorEastAsia" w:hAnsi="Times New Roman"/>
          <w:b/>
          <w:kern w:val="2"/>
          <w:sz w:val="24"/>
          <w:szCs w:val="24"/>
        </w:rPr>
        <w:t>methods</w:t>
      </w:r>
    </w:p>
    <w:p w:rsidR="00FA7256" w:rsidRPr="0028496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  <w:u w:val="single"/>
        </w:rPr>
      </w:pPr>
      <w:r w:rsidRPr="00284962">
        <w:rPr>
          <w:rFonts w:eastAsiaTheme="minorEastAsia" w:hAnsi="Times New Roman"/>
          <w:kern w:val="2"/>
          <w:sz w:val="24"/>
          <w:szCs w:val="24"/>
          <w:u w:val="single"/>
        </w:rPr>
        <w:t>Subjects</w:t>
      </w:r>
    </w:p>
    <w:p w:rsidR="00FA7256" w:rsidRPr="0028496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</w:rPr>
      </w:pPr>
      <w:r w:rsidRPr="00284962">
        <w:rPr>
          <w:rFonts w:eastAsiaTheme="minorEastAsia" w:hAnsi="Times New Roman"/>
          <w:kern w:val="2"/>
          <w:sz w:val="24"/>
          <w:szCs w:val="24"/>
        </w:rPr>
        <w:t>We used the data of intestinal bacterial microbiota from healthy subjects enrolled in different studies (n=1,</w:t>
      </w:r>
      <w:r w:rsidR="00892103">
        <w:rPr>
          <w:rFonts w:eastAsiaTheme="minorEastAsia" w:hAnsi="Times New Roman"/>
          <w:kern w:val="2"/>
          <w:sz w:val="24"/>
          <w:szCs w:val="24"/>
        </w:rPr>
        <w:t>951</w:t>
      </w:r>
      <w:r w:rsidRPr="00284962">
        <w:rPr>
          <w:rFonts w:eastAsiaTheme="minorEastAsia" w:hAnsi="Times New Roman"/>
          <w:kern w:val="2"/>
          <w:sz w:val="24"/>
          <w:szCs w:val="24"/>
        </w:rPr>
        <w:t>) wherein bacterial counts and prevalence was analyzed by using YIF-SCAN (</w:t>
      </w:r>
      <w:r>
        <w:rPr>
          <w:rFonts w:eastAsiaTheme="minorEastAsia" w:hAnsi="Times New Roman"/>
          <w:kern w:val="2"/>
          <w:sz w:val="24"/>
          <w:szCs w:val="24"/>
        </w:rPr>
        <w:t xml:space="preserve">Supplementary 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Table </w:t>
      </w:r>
      <w:r>
        <w:rPr>
          <w:rFonts w:eastAsiaTheme="minorEastAsia" w:hAnsi="Times New Roman"/>
          <w:kern w:val="2"/>
          <w:sz w:val="24"/>
          <w:szCs w:val="24"/>
        </w:rPr>
        <w:t>1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). In case of studies where any probiotics intervention was involved, the data </w:t>
      </w:r>
      <w:r w:rsidRPr="00284962">
        <w:rPr>
          <w:rFonts w:eastAsiaTheme="minorEastAsia" w:hAnsi="Times New Roman" w:hint="eastAsia"/>
          <w:kern w:val="2"/>
          <w:sz w:val="24"/>
          <w:szCs w:val="24"/>
        </w:rPr>
        <w:t xml:space="preserve">from 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only </w:t>
      </w:r>
      <w:r w:rsidRPr="00284962">
        <w:rPr>
          <w:rFonts w:eastAsiaTheme="minorEastAsia" w:hAnsi="Times New Roman" w:hint="eastAsia"/>
          <w:kern w:val="2"/>
          <w:sz w:val="24"/>
          <w:szCs w:val="24"/>
        </w:rPr>
        <w:t xml:space="preserve">the </w:t>
      </w:r>
      <w:r w:rsidRPr="00284962">
        <w:rPr>
          <w:rFonts w:eastAsiaTheme="minorEastAsia" w:hAnsi="Times New Roman"/>
          <w:kern w:val="2"/>
          <w:sz w:val="24"/>
          <w:szCs w:val="24"/>
        </w:rPr>
        <w:t>before-intake period was used for the present analysis.</w:t>
      </w:r>
    </w:p>
    <w:p w:rsidR="00FA7256" w:rsidRPr="0028496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</w:rPr>
      </w:pPr>
    </w:p>
    <w:p w:rsidR="00FA7256" w:rsidRPr="0028496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  <w:u w:val="single"/>
        </w:rPr>
      </w:pPr>
      <w:r w:rsidRPr="00284962">
        <w:rPr>
          <w:rFonts w:eastAsiaTheme="minorEastAsia" w:hAnsi="Times New Roman"/>
          <w:kern w:val="2"/>
          <w:sz w:val="24"/>
          <w:szCs w:val="24"/>
          <w:u w:val="single"/>
        </w:rPr>
        <w:t>Target bacteria</w:t>
      </w:r>
    </w:p>
    <w:p w:rsidR="00FA7256" w:rsidRPr="0028496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</w:rPr>
      </w:pPr>
      <w:r w:rsidRPr="00284962">
        <w:rPr>
          <w:rFonts w:eastAsiaTheme="minorEastAsia" w:hAnsi="Times New Roman"/>
          <w:kern w:val="2"/>
          <w:sz w:val="24"/>
          <w:szCs w:val="24"/>
        </w:rPr>
        <w:t xml:space="preserve">To analyze the intestinal bacterial microbiota, the following bacterial groups, genera, and species were quantified: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Clostridium coccoides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 group,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Clostridium leptum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 subgroup,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 xml:space="preserve">Bacteroides fragilis 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group,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Bifidobacterium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Atopobium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 cluster,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Prevotella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, Enterobacteriaceae,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Enterococcus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Staphylococcus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, and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C</w:t>
      </w:r>
      <w:r w:rsidRPr="00284962">
        <w:rPr>
          <w:rFonts w:eastAsiaTheme="minorEastAsia" w:hAnsi="Times New Roman" w:hint="eastAsia"/>
          <w:i/>
          <w:kern w:val="2"/>
          <w:sz w:val="24"/>
          <w:szCs w:val="24"/>
        </w:rPr>
        <w:t>lostridium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 xml:space="preserve"> perfringens.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 The total bacterial count was expressed as the sum of bacterial counts of all the bacterial groups, genera and species analyzed. The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 count was calculated as the sum of bacterial counts of </w:t>
      </w:r>
      <w:r w:rsidRPr="00284962">
        <w:rPr>
          <w:rFonts w:eastAsiaTheme="minorEastAsia" w:hAnsi="Times New Roman" w:hint="eastAsia"/>
          <w:kern w:val="2"/>
          <w:sz w:val="24"/>
          <w:szCs w:val="24"/>
        </w:rPr>
        <w:t>six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 subgroups </w:t>
      </w:r>
      <w:r w:rsidRPr="00284962">
        <w:rPr>
          <w:rFonts w:hAnsi="Times New Roman"/>
          <w:iCs/>
          <w:kern w:val="2"/>
          <w:sz w:val="24"/>
          <w:szCs w:val="24"/>
        </w:rPr>
        <w:t>(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casei</w:t>
      </w:r>
      <w:r w:rsidRPr="00284962">
        <w:rPr>
          <w:rFonts w:hAnsi="Times New Roman"/>
          <w:iCs/>
          <w:kern w:val="2"/>
          <w:sz w:val="24"/>
          <w:szCs w:val="24"/>
        </w:rPr>
        <w:t xml:space="preserve"> subgroup,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gasseri </w:t>
      </w:r>
      <w:r w:rsidRPr="00284962">
        <w:rPr>
          <w:rFonts w:hAnsi="Times New Roman"/>
          <w:iCs/>
          <w:kern w:val="2"/>
          <w:sz w:val="24"/>
          <w:szCs w:val="24"/>
        </w:rPr>
        <w:t xml:space="preserve">subgroup,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plantarum </w:t>
      </w:r>
      <w:r w:rsidRPr="00284962">
        <w:rPr>
          <w:rFonts w:hAnsi="Times New Roman"/>
          <w:iCs/>
          <w:kern w:val="2"/>
          <w:sz w:val="24"/>
          <w:szCs w:val="24"/>
        </w:rPr>
        <w:t xml:space="preserve">subgroup,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reuteri</w:t>
      </w:r>
      <w:r w:rsidRPr="00284962">
        <w:rPr>
          <w:rFonts w:hAnsi="Times New Roman"/>
          <w:iCs/>
          <w:kern w:val="2"/>
          <w:sz w:val="24"/>
          <w:szCs w:val="24"/>
        </w:rPr>
        <w:t xml:space="preserve"> subgroup,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 xml:space="preserve"> 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ruminis </w:t>
      </w:r>
      <w:r w:rsidRPr="00284962">
        <w:rPr>
          <w:rFonts w:hAnsi="Times New Roman"/>
          <w:iCs/>
          <w:kern w:val="2"/>
          <w:sz w:val="24"/>
          <w:szCs w:val="24"/>
        </w:rPr>
        <w:t>subgroup</w:t>
      </w:r>
      <w:r w:rsidRPr="00284962">
        <w:rPr>
          <w:rFonts w:hAnsi="Times New Roman" w:hint="eastAsia"/>
          <w:iCs/>
          <w:kern w:val="2"/>
          <w:sz w:val="24"/>
          <w:szCs w:val="24"/>
        </w:rPr>
        <w:t>,</w:t>
      </w:r>
      <w:r w:rsidRPr="00284962">
        <w:rPr>
          <w:rFonts w:hAnsi="Times New Roman"/>
          <w:iCs/>
          <w:kern w:val="2"/>
          <w:sz w:val="24"/>
          <w:szCs w:val="24"/>
        </w:rPr>
        <w:t xml:space="preserve"> and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sakei</w:t>
      </w:r>
      <w:r w:rsidRPr="00284962">
        <w:rPr>
          <w:rFonts w:hAnsi="Times New Roman"/>
          <w:iCs/>
          <w:kern w:val="2"/>
          <w:sz w:val="24"/>
          <w:szCs w:val="24"/>
        </w:rPr>
        <w:t xml:space="preserve"> subgroup) and </w:t>
      </w:r>
      <w:r w:rsidRPr="00284962">
        <w:rPr>
          <w:rFonts w:hAnsi="Times New Roman" w:hint="eastAsia"/>
          <w:iCs/>
          <w:kern w:val="2"/>
          <w:sz w:val="24"/>
          <w:szCs w:val="24"/>
        </w:rPr>
        <w:t>two</w:t>
      </w:r>
      <w:r w:rsidRPr="00284962">
        <w:rPr>
          <w:rFonts w:hAnsi="Times New Roman"/>
          <w:iCs/>
          <w:kern w:val="2"/>
          <w:sz w:val="24"/>
          <w:szCs w:val="24"/>
        </w:rPr>
        <w:t xml:space="preserve"> species (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</w:t>
      </w:r>
      <w:proofErr w:type="spellStart"/>
      <w:r w:rsidRPr="00284962">
        <w:rPr>
          <w:rFonts w:hAnsi="Times New Roman"/>
          <w:i/>
          <w:iCs/>
          <w:kern w:val="2"/>
          <w:sz w:val="24"/>
          <w:szCs w:val="24"/>
        </w:rPr>
        <w:t>brevis</w:t>
      </w:r>
      <w:proofErr w:type="spellEnd"/>
      <w:r w:rsidRPr="00284962">
        <w:rPr>
          <w:rFonts w:hAnsi="Times New Roman"/>
          <w:iCs/>
          <w:kern w:val="2"/>
          <w:sz w:val="24"/>
          <w:szCs w:val="24"/>
        </w:rPr>
        <w:t xml:space="preserve">, </w:t>
      </w:r>
      <w:r w:rsidRPr="00284962">
        <w:rPr>
          <w:rFonts w:eastAsiaTheme="minorEastAsia" w:hAnsi="Times New Roman"/>
          <w:i/>
          <w:kern w:val="2"/>
          <w:sz w:val="24"/>
          <w:szCs w:val="24"/>
        </w:rPr>
        <w:t>Lactobacillus</w:t>
      </w:r>
      <w:r w:rsidRPr="00284962">
        <w:rPr>
          <w:rFonts w:hAnsi="Times New Roman"/>
          <w:i/>
          <w:iCs/>
          <w:kern w:val="2"/>
          <w:sz w:val="24"/>
          <w:szCs w:val="24"/>
        </w:rPr>
        <w:t xml:space="preserve"> fermentum</w:t>
      </w:r>
      <w:r w:rsidRPr="00284962">
        <w:rPr>
          <w:rFonts w:hAnsi="Times New Roman"/>
          <w:iCs/>
          <w:kern w:val="2"/>
          <w:sz w:val="24"/>
          <w:szCs w:val="24"/>
        </w:rPr>
        <w:t>).</w:t>
      </w:r>
      <w:r w:rsidRPr="00284962">
        <w:rPr>
          <w:rFonts w:eastAsiaTheme="minorEastAsia" w:hAnsi="Times New Roman"/>
          <w:kern w:val="2"/>
          <w:sz w:val="24"/>
          <w:szCs w:val="24"/>
        </w:rPr>
        <w:t xml:space="preserve"> </w:t>
      </w:r>
    </w:p>
    <w:p w:rsidR="00FA7256" w:rsidRPr="0028496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</w:rPr>
      </w:pPr>
    </w:p>
    <w:p w:rsidR="00FA7256" w:rsidRPr="0028496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  <w:u w:val="single"/>
        </w:rPr>
      </w:pPr>
      <w:r w:rsidRPr="00284962">
        <w:rPr>
          <w:rFonts w:eastAsiaTheme="minorEastAsia" w:hAnsi="Times New Roman"/>
          <w:kern w:val="2"/>
          <w:sz w:val="24"/>
          <w:szCs w:val="24"/>
          <w:u w:val="single"/>
        </w:rPr>
        <w:t>Statistical analysis</w:t>
      </w:r>
    </w:p>
    <w:p w:rsidR="00FA7256" w:rsidRPr="00040782" w:rsidRDefault="00FA7256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</w:rPr>
      </w:pPr>
      <w:r>
        <w:rPr>
          <w:rFonts w:eastAsiaTheme="minorEastAsia" w:hAnsi="Times New Roman"/>
          <w:kern w:val="2"/>
          <w:sz w:val="24"/>
          <w:szCs w:val="24"/>
        </w:rPr>
        <w:t xml:space="preserve">R version 3.3.1. </w:t>
      </w:r>
      <w:proofErr w:type="gramStart"/>
      <w:r>
        <w:rPr>
          <w:rFonts w:eastAsiaTheme="minorEastAsia" w:hAnsi="Times New Roman"/>
          <w:kern w:val="2"/>
          <w:sz w:val="24"/>
          <w:szCs w:val="24"/>
        </w:rPr>
        <w:t>and</w:t>
      </w:r>
      <w:proofErr w:type="gramEnd"/>
      <w:r>
        <w:rPr>
          <w:rFonts w:eastAsiaTheme="minorEastAsia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eastAsiaTheme="minorEastAsia" w:hAnsi="Times New Roman"/>
          <w:kern w:val="2"/>
          <w:sz w:val="24"/>
          <w:szCs w:val="24"/>
        </w:rPr>
        <w:t>EZR</w:t>
      </w:r>
      <w:proofErr w:type="spellEnd"/>
      <w:r>
        <w:rPr>
          <w:rFonts w:eastAsiaTheme="minorEastAsia" w:hAnsi="Times New Roman"/>
          <w:kern w:val="2"/>
          <w:sz w:val="24"/>
          <w:szCs w:val="24"/>
        </w:rPr>
        <w:t xml:space="preserve"> 1.33</w:t>
      </w:r>
      <w:r w:rsidR="00E24703">
        <w:rPr>
          <w:rFonts w:eastAsiaTheme="minorEastAsia" w:hAnsi="Times New Roman"/>
          <w:kern w:val="2"/>
          <w:sz w:val="24"/>
          <w:szCs w:val="24"/>
        </w:rPr>
        <w:t xml:space="preserve"> </w:t>
      </w:r>
      <w:r w:rsidR="00E24703" w:rsidRPr="00E24703">
        <w:rPr>
          <w:rFonts w:eastAsiaTheme="minorEastAsia" w:hAnsi="Times New Roman"/>
          <w:kern w:val="2"/>
          <w:sz w:val="24"/>
          <w:szCs w:val="24"/>
        </w:rPr>
        <w:t xml:space="preserve">(Kanda, 2013) </w:t>
      </w:r>
      <w:r w:rsidRPr="00284962">
        <w:rPr>
          <w:rFonts w:eastAsiaTheme="minorEastAsia" w:hAnsi="Times New Roman"/>
          <w:kern w:val="2"/>
          <w:sz w:val="24"/>
          <w:szCs w:val="24"/>
        </w:rPr>
        <w:t>were used for an exploratory analysis of the integrated microbiota data. For principal component analysis (</w:t>
      </w:r>
      <w:proofErr w:type="spellStart"/>
      <w:r w:rsidRPr="00284962">
        <w:rPr>
          <w:rFonts w:eastAsiaTheme="minorEastAsia" w:hAnsi="Times New Roman"/>
          <w:kern w:val="2"/>
          <w:sz w:val="24"/>
          <w:szCs w:val="24"/>
        </w:rPr>
        <w:t>PCA</w:t>
      </w:r>
      <w:proofErr w:type="spellEnd"/>
      <w:r w:rsidRPr="00284962">
        <w:rPr>
          <w:rFonts w:eastAsiaTheme="minorEastAsia" w:hAnsi="Times New Roman"/>
          <w:kern w:val="2"/>
          <w:sz w:val="24"/>
          <w:szCs w:val="24"/>
        </w:rPr>
        <w:t xml:space="preserve">), if the data showed values below the detection limit, one-half of the detection limit value for each bacterial group, genus, or species was used as the input value. We used </w:t>
      </w:r>
      <w:proofErr w:type="spellStart"/>
      <w:r w:rsidRPr="00284962">
        <w:rPr>
          <w:rFonts w:eastAsiaTheme="minorEastAsia" w:hAnsi="Times New Roman" w:hint="eastAsia"/>
          <w:kern w:val="2"/>
          <w:sz w:val="24"/>
          <w:szCs w:val="24"/>
        </w:rPr>
        <w:t>GMD</w:t>
      </w:r>
      <w:proofErr w:type="spellEnd"/>
      <w:r w:rsidRPr="00284962">
        <w:rPr>
          <w:rFonts w:eastAsiaTheme="minorEastAsia" w:hAnsi="Times New Roman"/>
          <w:kern w:val="2"/>
          <w:sz w:val="24"/>
          <w:szCs w:val="24"/>
        </w:rPr>
        <w:t xml:space="preserve"> program operating with R language for hierarchical clustering and </w:t>
      </w:r>
      <w:proofErr w:type="spellStart"/>
      <w:r w:rsidRPr="00284962">
        <w:rPr>
          <w:rFonts w:eastAsiaTheme="minorEastAsia" w:hAnsi="Times New Roman"/>
          <w:kern w:val="2"/>
          <w:sz w:val="24"/>
          <w:szCs w:val="24"/>
        </w:rPr>
        <w:t>heatmap</w:t>
      </w:r>
      <w:proofErr w:type="spellEnd"/>
      <w:r w:rsidRPr="00284962">
        <w:rPr>
          <w:rFonts w:eastAsiaTheme="minorEastAsia" w:hAnsi="Times New Roman"/>
          <w:kern w:val="2"/>
          <w:sz w:val="24"/>
          <w:szCs w:val="24"/>
        </w:rPr>
        <w:t xml:space="preserve"> analysis; ade4 or ggplot2 program for </w:t>
      </w:r>
      <w:proofErr w:type="spellStart"/>
      <w:r w:rsidRPr="00284962">
        <w:rPr>
          <w:rFonts w:eastAsiaTheme="minorEastAsia" w:hAnsi="Times New Roman"/>
          <w:kern w:val="2"/>
          <w:sz w:val="24"/>
          <w:szCs w:val="24"/>
        </w:rPr>
        <w:t>PCA</w:t>
      </w:r>
      <w:proofErr w:type="spellEnd"/>
      <w:r w:rsidRPr="00284962">
        <w:rPr>
          <w:rFonts w:eastAsiaTheme="minorEastAsia" w:hAnsi="Times New Roman"/>
          <w:kern w:val="2"/>
          <w:sz w:val="24"/>
          <w:szCs w:val="24"/>
        </w:rPr>
        <w:t xml:space="preserve"> analysis; and ggplot2 program for histograms, dot plots and box plots. </w:t>
      </w:r>
      <w:r w:rsidRPr="00672039">
        <w:rPr>
          <w:rFonts w:eastAsiaTheme="minorEastAsia" w:hAnsi="Times New Roman"/>
          <w:kern w:val="2"/>
          <w:sz w:val="24"/>
          <w:szCs w:val="24"/>
        </w:rPr>
        <w:t xml:space="preserve">The </w:t>
      </w:r>
      <w:proofErr w:type="spellStart"/>
      <w:r w:rsidRPr="00672039">
        <w:rPr>
          <w:rFonts w:eastAsiaTheme="minorEastAsia" w:hAnsi="Times New Roman"/>
          <w:kern w:val="2"/>
          <w:sz w:val="24"/>
          <w:szCs w:val="24"/>
        </w:rPr>
        <w:t>Hartigans</w:t>
      </w:r>
      <w:proofErr w:type="spellEnd"/>
      <w:r w:rsidRPr="00672039">
        <w:rPr>
          <w:rFonts w:eastAsiaTheme="minorEastAsia" w:hAnsi="Times New Roman"/>
          <w:kern w:val="2"/>
          <w:sz w:val="24"/>
          <w:szCs w:val="24"/>
        </w:rPr>
        <w:t>' dip test statistic (</w:t>
      </w:r>
      <w:proofErr w:type="spellStart"/>
      <w:r w:rsidRPr="00672039">
        <w:rPr>
          <w:rFonts w:eastAsiaTheme="minorEastAsia" w:hAnsi="Times New Roman"/>
          <w:kern w:val="2"/>
          <w:sz w:val="24"/>
          <w:szCs w:val="24"/>
        </w:rPr>
        <w:t>diptest</w:t>
      </w:r>
      <w:proofErr w:type="spellEnd"/>
      <w:r w:rsidRPr="00672039">
        <w:rPr>
          <w:rFonts w:eastAsiaTheme="minorEastAsia" w:hAnsi="Times New Roman"/>
          <w:kern w:val="2"/>
          <w:sz w:val="24"/>
          <w:szCs w:val="24"/>
        </w:rPr>
        <w:t xml:space="preserve"> R package) was used to compute </w:t>
      </w:r>
      <w:proofErr w:type="spellStart"/>
      <w:r w:rsidRPr="00672039">
        <w:rPr>
          <w:rFonts w:eastAsiaTheme="minorEastAsia" w:hAnsi="Times New Roman"/>
          <w:kern w:val="2"/>
          <w:sz w:val="24"/>
          <w:szCs w:val="24"/>
        </w:rPr>
        <w:t>unimodality</w:t>
      </w:r>
      <w:proofErr w:type="spellEnd"/>
      <w:r w:rsidRPr="00672039">
        <w:rPr>
          <w:rFonts w:eastAsiaTheme="minorEastAsia" w:hAnsi="Times New Roman"/>
          <w:kern w:val="2"/>
          <w:sz w:val="24"/>
          <w:szCs w:val="24"/>
        </w:rPr>
        <w:t xml:space="preserve">/ multimodality of the fecal bacterial counts, wherein </w:t>
      </w:r>
      <w:r w:rsidRPr="00672039">
        <w:rPr>
          <w:rFonts w:eastAsiaTheme="minorEastAsia" w:hAnsi="Times New Roman"/>
          <w:i/>
          <w:kern w:val="2"/>
          <w:sz w:val="24"/>
          <w:szCs w:val="24"/>
        </w:rPr>
        <w:t xml:space="preserve">P </w:t>
      </w:r>
      <w:r w:rsidRPr="00672039">
        <w:rPr>
          <w:rFonts w:eastAsiaTheme="minorEastAsia" w:hAnsi="Times New Roman"/>
          <w:kern w:val="2"/>
          <w:sz w:val="24"/>
          <w:szCs w:val="24"/>
        </w:rPr>
        <w:t>value less than 0.</w:t>
      </w:r>
      <w:r>
        <w:rPr>
          <w:rFonts w:eastAsiaTheme="minorEastAsia" w:hAnsi="Times New Roman" w:hint="eastAsia"/>
          <w:kern w:val="2"/>
          <w:sz w:val="24"/>
          <w:szCs w:val="24"/>
        </w:rPr>
        <w:t>05</w:t>
      </w:r>
      <w:r>
        <w:rPr>
          <w:rFonts w:eastAsiaTheme="minorEastAsia" w:hAnsi="Times New Roman"/>
          <w:kern w:val="2"/>
          <w:sz w:val="24"/>
          <w:szCs w:val="24"/>
        </w:rPr>
        <w:t xml:space="preserve"> </w:t>
      </w:r>
      <w:r w:rsidRPr="00672039">
        <w:rPr>
          <w:rFonts w:eastAsiaTheme="minorEastAsia" w:hAnsi="Times New Roman"/>
          <w:kern w:val="2"/>
          <w:sz w:val="24"/>
          <w:szCs w:val="24"/>
        </w:rPr>
        <w:t>indicated significant multimodality.</w:t>
      </w:r>
    </w:p>
    <w:p w:rsidR="009723AC" w:rsidRDefault="009723AC" w:rsidP="00786990">
      <w:pPr>
        <w:adjustRightInd/>
        <w:spacing w:line="240" w:lineRule="auto"/>
        <w:jc w:val="left"/>
        <w:textAlignment w:val="auto"/>
        <w:rPr>
          <w:rFonts w:eastAsiaTheme="minorEastAsia" w:hAnsi="Times New Roman"/>
          <w:kern w:val="2"/>
          <w:sz w:val="24"/>
          <w:szCs w:val="24"/>
        </w:rPr>
      </w:pPr>
    </w:p>
    <w:p w:rsidR="009723AC" w:rsidRDefault="009723AC" w:rsidP="00786990">
      <w:pPr>
        <w:spacing w:line="240" w:lineRule="auto"/>
        <w:rPr>
          <w:b/>
          <w:sz w:val="24"/>
        </w:rPr>
      </w:pPr>
      <w:r w:rsidRPr="00AB338B">
        <w:rPr>
          <w:rFonts w:hint="eastAsia"/>
          <w:b/>
          <w:sz w:val="24"/>
        </w:rPr>
        <w:t>References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Aizawa</w:t>
      </w:r>
      <w:proofErr w:type="spellEnd"/>
      <w:r>
        <w:rPr>
          <w:rFonts w:hAnsi="Times New Roman"/>
          <w:sz w:val="24"/>
          <w:szCs w:val="24"/>
        </w:rPr>
        <w:t xml:space="preserve">, E., Tsuji, H.,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Takahashi, T., </w:t>
      </w:r>
      <w:proofErr w:type="spellStart"/>
      <w:r>
        <w:rPr>
          <w:rFonts w:hAnsi="Times New Roman"/>
          <w:sz w:val="24"/>
          <w:szCs w:val="24"/>
        </w:rPr>
        <w:t>Teraishi</w:t>
      </w:r>
      <w:proofErr w:type="spellEnd"/>
      <w:r>
        <w:rPr>
          <w:rFonts w:hAnsi="Times New Roman"/>
          <w:sz w:val="24"/>
          <w:szCs w:val="24"/>
        </w:rPr>
        <w:t xml:space="preserve">, T., Yoshida, S., et al. (2016). Possible association of </w:t>
      </w:r>
      <w:r w:rsidRPr="007546C5">
        <w:rPr>
          <w:rFonts w:hAnsi="Times New Roman"/>
          <w:i/>
          <w:sz w:val="24"/>
          <w:szCs w:val="24"/>
        </w:rPr>
        <w:t>Bifidobacterium</w:t>
      </w:r>
      <w:r>
        <w:rPr>
          <w:rFonts w:hAnsi="Times New Roman"/>
          <w:sz w:val="24"/>
          <w:szCs w:val="24"/>
        </w:rPr>
        <w:t xml:space="preserve"> and </w:t>
      </w:r>
      <w:r w:rsidRPr="007546C5">
        <w:rPr>
          <w:rFonts w:hAnsi="Times New Roman"/>
          <w:i/>
          <w:sz w:val="24"/>
          <w:szCs w:val="24"/>
        </w:rPr>
        <w:t>Lactobacillus</w:t>
      </w:r>
      <w:r>
        <w:rPr>
          <w:rFonts w:hAnsi="Times New Roman"/>
          <w:sz w:val="24"/>
          <w:szCs w:val="24"/>
        </w:rPr>
        <w:t xml:space="preserve"> in the gut microbiota of patients with major depressive disorder. </w:t>
      </w:r>
      <w:r>
        <w:rPr>
          <w:rFonts w:hAnsi="Times New Roman"/>
          <w:i/>
          <w:iCs/>
          <w:sz w:val="24"/>
          <w:szCs w:val="24"/>
        </w:rPr>
        <w:t xml:space="preserve">J. Affect. </w:t>
      </w:r>
      <w:proofErr w:type="spellStart"/>
      <w:r>
        <w:rPr>
          <w:rFonts w:hAnsi="Times New Roman"/>
          <w:i/>
          <w:iCs/>
          <w:sz w:val="24"/>
          <w:szCs w:val="24"/>
        </w:rPr>
        <w:t>Disord</w:t>
      </w:r>
      <w:proofErr w:type="spellEnd"/>
      <w:r>
        <w:rPr>
          <w:rFonts w:hAnsi="Times New Roman"/>
          <w:i/>
          <w:iCs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202, 254–</w:t>
      </w:r>
      <w:r>
        <w:rPr>
          <w:rFonts w:hAnsi="Times New Roman"/>
          <w:sz w:val="24"/>
          <w:szCs w:val="24"/>
        </w:rPr>
        <w:lastRenderedPageBreak/>
        <w:t>257. doi:10.1016/j.jad.2016.05.038.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Aoki, T.,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Matsumoto, K., Takada, T., </w:t>
      </w:r>
      <w:proofErr w:type="spellStart"/>
      <w:r>
        <w:rPr>
          <w:rFonts w:hAnsi="Times New Roman"/>
          <w:sz w:val="24"/>
          <w:szCs w:val="24"/>
        </w:rPr>
        <w:t>Chonan</w:t>
      </w:r>
      <w:proofErr w:type="spellEnd"/>
      <w:r>
        <w:rPr>
          <w:rFonts w:hAnsi="Times New Roman"/>
          <w:sz w:val="24"/>
          <w:szCs w:val="24"/>
        </w:rPr>
        <w:t xml:space="preserve">, O., </w:t>
      </w:r>
      <w:proofErr w:type="spellStart"/>
      <w:r>
        <w:rPr>
          <w:rFonts w:hAnsi="Times New Roman"/>
          <w:sz w:val="24"/>
          <w:szCs w:val="24"/>
        </w:rPr>
        <w:t>Nakamori</w:t>
      </w:r>
      <w:proofErr w:type="spellEnd"/>
      <w:r>
        <w:rPr>
          <w:rFonts w:hAnsi="Times New Roman"/>
          <w:sz w:val="24"/>
          <w:szCs w:val="24"/>
        </w:rPr>
        <w:t xml:space="preserve">, K., et al. (2014). Effects of the continuous intake of a milk drink containing </w:t>
      </w:r>
      <w:r w:rsidRPr="007546C5">
        <w:rPr>
          <w:rFonts w:hAnsi="Times New Roman"/>
          <w:i/>
          <w:sz w:val="24"/>
          <w:szCs w:val="24"/>
        </w:rPr>
        <w:t>Lactobacillus casei</w:t>
      </w:r>
      <w:r>
        <w:rPr>
          <w:rFonts w:hAnsi="Times New Roman"/>
          <w:sz w:val="24"/>
          <w:szCs w:val="24"/>
        </w:rPr>
        <w:t xml:space="preserve"> strain Shirota on abdominal symptoms, fecal microbiota, and metabolites in </w:t>
      </w:r>
      <w:proofErr w:type="spellStart"/>
      <w:r>
        <w:rPr>
          <w:rFonts w:hAnsi="Times New Roman"/>
          <w:sz w:val="24"/>
          <w:szCs w:val="24"/>
        </w:rPr>
        <w:t>gastrectomized</w:t>
      </w:r>
      <w:proofErr w:type="spellEnd"/>
      <w:r>
        <w:rPr>
          <w:rFonts w:hAnsi="Times New Roman"/>
          <w:sz w:val="24"/>
          <w:szCs w:val="24"/>
        </w:rPr>
        <w:t xml:space="preserve"> subjects. </w:t>
      </w:r>
      <w:r>
        <w:rPr>
          <w:rFonts w:hAnsi="Times New Roman"/>
          <w:i/>
          <w:iCs/>
          <w:sz w:val="24"/>
          <w:szCs w:val="24"/>
        </w:rPr>
        <w:t xml:space="preserve">Scand. J. </w:t>
      </w:r>
      <w:proofErr w:type="spellStart"/>
      <w:r>
        <w:rPr>
          <w:rFonts w:hAnsi="Times New Roman"/>
          <w:i/>
          <w:iCs/>
          <w:sz w:val="24"/>
          <w:szCs w:val="24"/>
        </w:rPr>
        <w:t>Gastroenterol</w:t>
      </w:r>
      <w:proofErr w:type="spellEnd"/>
      <w:r>
        <w:rPr>
          <w:rFonts w:hAnsi="Times New Roman"/>
          <w:i/>
          <w:iCs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49, 552–63. doi:10.3109/00365521.2013.848469.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Bian</w:t>
      </w:r>
      <w:proofErr w:type="spellEnd"/>
      <w:r>
        <w:rPr>
          <w:rFonts w:hAnsi="Times New Roman"/>
          <w:sz w:val="24"/>
          <w:szCs w:val="24"/>
        </w:rPr>
        <w:t xml:space="preserve">, L., Nagata, S.,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Rahman, M. S., </w:t>
      </w:r>
      <w:proofErr w:type="spellStart"/>
      <w:r>
        <w:rPr>
          <w:rFonts w:hAnsi="Times New Roman"/>
          <w:sz w:val="24"/>
          <w:szCs w:val="24"/>
        </w:rPr>
        <w:t>Ohta</w:t>
      </w:r>
      <w:proofErr w:type="spellEnd"/>
      <w:r>
        <w:rPr>
          <w:rFonts w:hAnsi="Times New Roman"/>
          <w:sz w:val="24"/>
          <w:szCs w:val="24"/>
        </w:rPr>
        <w:t xml:space="preserve">, T., Yuki, N., et al. (2011). Effects of the continuous intake of </w:t>
      </w:r>
      <w:r w:rsidRPr="007546C5">
        <w:rPr>
          <w:rFonts w:hAnsi="Times New Roman"/>
          <w:i/>
          <w:sz w:val="24"/>
          <w:szCs w:val="24"/>
        </w:rPr>
        <w:t>Lactobacillus casei</w:t>
      </w:r>
      <w:r>
        <w:rPr>
          <w:rFonts w:hAnsi="Times New Roman"/>
          <w:sz w:val="24"/>
          <w:szCs w:val="24"/>
        </w:rPr>
        <w:t xml:space="preserve"> strain </w:t>
      </w:r>
      <w:proofErr w:type="spellStart"/>
      <w:r>
        <w:rPr>
          <w:rFonts w:hAnsi="Times New Roman"/>
          <w:sz w:val="24"/>
          <w:szCs w:val="24"/>
        </w:rPr>
        <w:t>shirota</w:t>
      </w:r>
      <w:proofErr w:type="spellEnd"/>
      <w:r>
        <w:rPr>
          <w:rFonts w:hAnsi="Times New Roman"/>
          <w:sz w:val="24"/>
          <w:szCs w:val="24"/>
        </w:rPr>
        <w:t xml:space="preserve">- fermented milk on risk management of long-term inpatients at health. </w:t>
      </w:r>
      <w:r>
        <w:rPr>
          <w:rFonts w:hAnsi="Times New Roman"/>
          <w:i/>
          <w:iCs/>
          <w:sz w:val="24"/>
          <w:szCs w:val="24"/>
        </w:rPr>
        <w:t>Int. J. Probiotics Prebiotics</w:t>
      </w:r>
      <w:r>
        <w:rPr>
          <w:rFonts w:hAnsi="Times New Roman"/>
          <w:sz w:val="24"/>
          <w:szCs w:val="24"/>
        </w:rPr>
        <w:t xml:space="preserve"> 6, 123–132.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Hasegawa, S., </w:t>
      </w:r>
      <w:proofErr w:type="spellStart"/>
      <w:r>
        <w:rPr>
          <w:rFonts w:hAnsi="Times New Roman"/>
          <w:sz w:val="24"/>
          <w:szCs w:val="24"/>
        </w:rPr>
        <w:t>Goto</w:t>
      </w:r>
      <w:proofErr w:type="spellEnd"/>
      <w:r>
        <w:rPr>
          <w:rFonts w:hAnsi="Times New Roman"/>
          <w:sz w:val="24"/>
          <w:szCs w:val="24"/>
        </w:rPr>
        <w:t xml:space="preserve">, S., Tsuji, H., </w:t>
      </w:r>
      <w:proofErr w:type="spellStart"/>
      <w:r>
        <w:rPr>
          <w:rFonts w:hAnsi="Times New Roman"/>
          <w:sz w:val="24"/>
          <w:szCs w:val="24"/>
        </w:rPr>
        <w:t>Okuno</w:t>
      </w:r>
      <w:proofErr w:type="spellEnd"/>
      <w:r>
        <w:rPr>
          <w:rFonts w:hAnsi="Times New Roman"/>
          <w:sz w:val="24"/>
          <w:szCs w:val="24"/>
        </w:rPr>
        <w:t xml:space="preserve">, T.,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</w:t>
      </w:r>
      <w:proofErr w:type="spellStart"/>
      <w:r>
        <w:rPr>
          <w:rFonts w:hAnsi="Times New Roman"/>
          <w:sz w:val="24"/>
          <w:szCs w:val="24"/>
        </w:rPr>
        <w:t>Nomoto</w:t>
      </w:r>
      <w:proofErr w:type="spellEnd"/>
      <w:r>
        <w:rPr>
          <w:rFonts w:hAnsi="Times New Roman"/>
          <w:sz w:val="24"/>
          <w:szCs w:val="24"/>
        </w:rPr>
        <w:t xml:space="preserve">, K., et al. (2015). Intestinal dysbiosis and lowered serum lipopolysaccharide-binding protein in </w:t>
      </w:r>
      <w:proofErr w:type="spellStart"/>
      <w:proofErr w:type="gramStart"/>
      <w:r>
        <w:rPr>
          <w:rFonts w:hAnsi="Times New Roman"/>
          <w:sz w:val="24"/>
          <w:szCs w:val="24"/>
        </w:rPr>
        <w:t>parkinson’s</w:t>
      </w:r>
      <w:proofErr w:type="spellEnd"/>
      <w:proofErr w:type="gramEnd"/>
      <w:r>
        <w:rPr>
          <w:rFonts w:hAnsi="Times New Roman"/>
          <w:sz w:val="24"/>
          <w:szCs w:val="24"/>
        </w:rPr>
        <w:t xml:space="preserve"> disease. </w:t>
      </w:r>
      <w:proofErr w:type="spellStart"/>
      <w:r>
        <w:rPr>
          <w:rFonts w:hAnsi="Times New Roman"/>
          <w:i/>
          <w:iCs/>
          <w:sz w:val="24"/>
          <w:szCs w:val="24"/>
        </w:rPr>
        <w:t>PLoS</w:t>
      </w:r>
      <w:proofErr w:type="spellEnd"/>
      <w:r>
        <w:rPr>
          <w:rFonts w:hAnsi="Times New Roman"/>
          <w:i/>
          <w:iCs/>
          <w:sz w:val="24"/>
          <w:szCs w:val="24"/>
        </w:rPr>
        <w:t xml:space="preserve"> One</w:t>
      </w:r>
      <w:r>
        <w:rPr>
          <w:rFonts w:hAnsi="Times New Roman"/>
          <w:sz w:val="24"/>
          <w:szCs w:val="24"/>
        </w:rPr>
        <w:t xml:space="preserve"> 10, e0142164. doi:10.1371/journal.pone.0142164.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Kanda, Y. (2013). Investigation of the freely available easy-to-use software “</w:t>
      </w:r>
      <w:proofErr w:type="spellStart"/>
      <w:r>
        <w:rPr>
          <w:rFonts w:hAnsi="Times New Roman"/>
          <w:sz w:val="24"/>
          <w:szCs w:val="24"/>
        </w:rPr>
        <w:t>EZR</w:t>
      </w:r>
      <w:proofErr w:type="spellEnd"/>
      <w:r>
        <w:rPr>
          <w:rFonts w:hAnsi="Times New Roman"/>
          <w:sz w:val="24"/>
          <w:szCs w:val="24"/>
        </w:rPr>
        <w:t xml:space="preserve">” for medical statistics. </w:t>
      </w:r>
      <w:r>
        <w:rPr>
          <w:rFonts w:hAnsi="Times New Roman"/>
          <w:i/>
          <w:iCs/>
          <w:sz w:val="24"/>
          <w:szCs w:val="24"/>
        </w:rPr>
        <w:t>Bone Marrow Transplant.</w:t>
      </w:r>
      <w:r>
        <w:rPr>
          <w:rFonts w:hAnsi="Times New Roman"/>
          <w:sz w:val="24"/>
          <w:szCs w:val="24"/>
        </w:rPr>
        <w:t xml:space="preserve"> 48, 452–8. doi:10.1038/bmt.2012.244.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Matsuda, K., Tsuji, H.,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Matsumoto, K., Takada, T., and </w:t>
      </w:r>
      <w:proofErr w:type="spellStart"/>
      <w:r>
        <w:rPr>
          <w:rFonts w:hAnsi="Times New Roman"/>
          <w:sz w:val="24"/>
          <w:szCs w:val="24"/>
        </w:rPr>
        <w:t>Nomoto</w:t>
      </w:r>
      <w:proofErr w:type="spellEnd"/>
      <w:r>
        <w:rPr>
          <w:rFonts w:hAnsi="Times New Roman"/>
          <w:sz w:val="24"/>
          <w:szCs w:val="24"/>
        </w:rPr>
        <w:t xml:space="preserve">, K. (2009). Establishment of an analytical system for the human fecal microbiota, based on reverse transcription-quantitative PCR targeting of </w:t>
      </w:r>
      <w:proofErr w:type="spellStart"/>
      <w:r>
        <w:rPr>
          <w:rFonts w:hAnsi="Times New Roman"/>
          <w:sz w:val="24"/>
          <w:szCs w:val="24"/>
        </w:rPr>
        <w:t>multicopy</w:t>
      </w:r>
      <w:proofErr w:type="spellEnd"/>
      <w:r>
        <w:rPr>
          <w:rFonts w:hAnsi="Times New Roman"/>
          <w:sz w:val="24"/>
          <w:szCs w:val="24"/>
        </w:rPr>
        <w:t xml:space="preserve"> rRNA molecules. </w:t>
      </w:r>
      <w:r>
        <w:rPr>
          <w:rFonts w:hAnsi="Times New Roman"/>
          <w:i/>
          <w:iCs/>
          <w:sz w:val="24"/>
          <w:szCs w:val="24"/>
        </w:rPr>
        <w:t xml:space="preserve">Appl. Environ. </w:t>
      </w:r>
      <w:proofErr w:type="spellStart"/>
      <w:r>
        <w:rPr>
          <w:rFonts w:hAnsi="Times New Roman"/>
          <w:i/>
          <w:iCs/>
          <w:sz w:val="24"/>
          <w:szCs w:val="24"/>
        </w:rPr>
        <w:t>Microbiol</w:t>
      </w:r>
      <w:proofErr w:type="spellEnd"/>
      <w:r>
        <w:rPr>
          <w:rFonts w:hAnsi="Times New Roman"/>
          <w:i/>
          <w:iCs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75, 1961–9. doi:10.1128/AEM.01843-08.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Morita, C., Tsuji, H., </w:t>
      </w:r>
      <w:proofErr w:type="spellStart"/>
      <w:r>
        <w:rPr>
          <w:rFonts w:hAnsi="Times New Roman"/>
          <w:sz w:val="24"/>
          <w:szCs w:val="24"/>
        </w:rPr>
        <w:t>Hata</w:t>
      </w:r>
      <w:proofErr w:type="spellEnd"/>
      <w:r>
        <w:rPr>
          <w:rFonts w:hAnsi="Times New Roman"/>
          <w:sz w:val="24"/>
          <w:szCs w:val="24"/>
        </w:rPr>
        <w:t xml:space="preserve">, T., </w:t>
      </w:r>
      <w:proofErr w:type="spellStart"/>
      <w:r>
        <w:rPr>
          <w:rFonts w:hAnsi="Times New Roman"/>
          <w:sz w:val="24"/>
          <w:szCs w:val="24"/>
        </w:rPr>
        <w:t>Gondo</w:t>
      </w:r>
      <w:proofErr w:type="spellEnd"/>
      <w:r>
        <w:rPr>
          <w:rFonts w:hAnsi="Times New Roman"/>
          <w:sz w:val="24"/>
          <w:szCs w:val="24"/>
        </w:rPr>
        <w:t xml:space="preserve">, M., </w:t>
      </w:r>
      <w:proofErr w:type="spellStart"/>
      <w:r>
        <w:rPr>
          <w:rFonts w:hAnsi="Times New Roman"/>
          <w:sz w:val="24"/>
          <w:szCs w:val="24"/>
        </w:rPr>
        <w:t>Takakura</w:t>
      </w:r>
      <w:proofErr w:type="spellEnd"/>
      <w:r>
        <w:rPr>
          <w:rFonts w:hAnsi="Times New Roman"/>
          <w:sz w:val="24"/>
          <w:szCs w:val="24"/>
        </w:rPr>
        <w:t xml:space="preserve">, S., Kawai, K., et al. (2015). Gut Dysbiosis in Patients with Anorexia Nervosa. </w:t>
      </w:r>
      <w:proofErr w:type="spellStart"/>
      <w:r>
        <w:rPr>
          <w:rFonts w:hAnsi="Times New Roman"/>
          <w:i/>
          <w:iCs/>
          <w:sz w:val="24"/>
          <w:szCs w:val="24"/>
        </w:rPr>
        <w:t>PLoS</w:t>
      </w:r>
      <w:proofErr w:type="spellEnd"/>
      <w:r>
        <w:rPr>
          <w:rFonts w:hAnsi="Times New Roman"/>
          <w:i/>
          <w:iCs/>
          <w:sz w:val="24"/>
          <w:szCs w:val="24"/>
        </w:rPr>
        <w:t xml:space="preserve"> One</w:t>
      </w:r>
      <w:r>
        <w:rPr>
          <w:rFonts w:hAnsi="Times New Roman"/>
          <w:sz w:val="24"/>
          <w:szCs w:val="24"/>
        </w:rPr>
        <w:t xml:space="preserve"> 10, e0145274. doi:10.1371/journal.pone.0145274.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Nagata, S.,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</w:t>
      </w:r>
      <w:proofErr w:type="spellStart"/>
      <w:r>
        <w:rPr>
          <w:rFonts w:hAnsi="Times New Roman"/>
          <w:sz w:val="24"/>
          <w:szCs w:val="24"/>
        </w:rPr>
        <w:t>Ohta</w:t>
      </w:r>
      <w:proofErr w:type="spellEnd"/>
      <w:r>
        <w:rPr>
          <w:rFonts w:hAnsi="Times New Roman"/>
          <w:sz w:val="24"/>
          <w:szCs w:val="24"/>
        </w:rPr>
        <w:t xml:space="preserve">, T., Yamada, T., Kondo, S., </w:t>
      </w:r>
      <w:proofErr w:type="spellStart"/>
      <w:r>
        <w:rPr>
          <w:rFonts w:hAnsi="Times New Roman"/>
          <w:sz w:val="24"/>
          <w:szCs w:val="24"/>
        </w:rPr>
        <w:t>Bian</w:t>
      </w:r>
      <w:proofErr w:type="spellEnd"/>
      <w:r>
        <w:rPr>
          <w:rFonts w:hAnsi="Times New Roman"/>
          <w:sz w:val="24"/>
          <w:szCs w:val="24"/>
        </w:rPr>
        <w:t xml:space="preserve">, L., et al. (2011). Effect of the continuous intake of probiotic-fermented milk containing </w:t>
      </w:r>
      <w:r w:rsidRPr="007546C5">
        <w:rPr>
          <w:rFonts w:hAnsi="Times New Roman"/>
          <w:i/>
          <w:sz w:val="24"/>
          <w:szCs w:val="24"/>
        </w:rPr>
        <w:t>Lactobacillus casei</w:t>
      </w:r>
      <w:r>
        <w:rPr>
          <w:rFonts w:hAnsi="Times New Roman"/>
          <w:sz w:val="24"/>
          <w:szCs w:val="24"/>
        </w:rPr>
        <w:t xml:space="preserve"> strain Shirota on fever in a mass outbreak of norovirus gastroenteritis and the </w:t>
      </w:r>
      <w:proofErr w:type="spellStart"/>
      <w:r>
        <w:rPr>
          <w:rFonts w:hAnsi="Times New Roman"/>
          <w:sz w:val="24"/>
          <w:szCs w:val="24"/>
        </w:rPr>
        <w:t>faecal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microflora</w:t>
      </w:r>
      <w:proofErr w:type="spellEnd"/>
      <w:r>
        <w:rPr>
          <w:rFonts w:hAnsi="Times New Roman"/>
          <w:sz w:val="24"/>
          <w:szCs w:val="24"/>
        </w:rPr>
        <w:t xml:space="preserve"> in a health service facility for the aged. </w:t>
      </w:r>
      <w:r>
        <w:rPr>
          <w:rFonts w:hAnsi="Times New Roman"/>
          <w:i/>
          <w:iCs/>
          <w:sz w:val="24"/>
          <w:szCs w:val="24"/>
        </w:rPr>
        <w:t xml:space="preserve">Br. J. </w:t>
      </w:r>
      <w:proofErr w:type="spellStart"/>
      <w:r>
        <w:rPr>
          <w:rFonts w:hAnsi="Times New Roman"/>
          <w:i/>
          <w:iCs/>
          <w:sz w:val="24"/>
          <w:szCs w:val="24"/>
        </w:rPr>
        <w:t>Nutr</w:t>
      </w:r>
      <w:proofErr w:type="spellEnd"/>
      <w:r>
        <w:rPr>
          <w:rFonts w:hAnsi="Times New Roman"/>
          <w:i/>
          <w:iCs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106, 549–56. </w:t>
      </w:r>
      <w:proofErr w:type="gramStart"/>
      <w:r>
        <w:rPr>
          <w:rFonts w:hAnsi="Times New Roman"/>
          <w:sz w:val="24"/>
          <w:szCs w:val="24"/>
        </w:rPr>
        <w:t>doi:</w:t>
      </w:r>
      <w:proofErr w:type="gramEnd"/>
      <w:r>
        <w:rPr>
          <w:rFonts w:hAnsi="Times New Roman"/>
          <w:sz w:val="24"/>
          <w:szCs w:val="24"/>
        </w:rPr>
        <w:t>10.1017/S000711451100064X.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 xml:space="preserve">Nagata, S.,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Wang, C., </w:t>
      </w:r>
      <w:proofErr w:type="spellStart"/>
      <w:r>
        <w:rPr>
          <w:rFonts w:hAnsi="Times New Roman"/>
          <w:sz w:val="24"/>
          <w:szCs w:val="24"/>
        </w:rPr>
        <w:t>Suyama</w:t>
      </w:r>
      <w:proofErr w:type="spellEnd"/>
      <w:r>
        <w:rPr>
          <w:rFonts w:hAnsi="Times New Roman"/>
          <w:sz w:val="24"/>
          <w:szCs w:val="24"/>
        </w:rPr>
        <w:t xml:space="preserve">, Y., </w:t>
      </w:r>
      <w:proofErr w:type="spellStart"/>
      <w:r>
        <w:rPr>
          <w:rFonts w:hAnsi="Times New Roman"/>
          <w:sz w:val="24"/>
          <w:szCs w:val="24"/>
        </w:rPr>
        <w:t>Chonan</w:t>
      </w:r>
      <w:proofErr w:type="spellEnd"/>
      <w:r>
        <w:rPr>
          <w:rFonts w:hAnsi="Times New Roman"/>
          <w:sz w:val="24"/>
          <w:szCs w:val="24"/>
        </w:rPr>
        <w:t xml:space="preserve">, O., Takano, K., et al. (2016). The Effectiveness of Lactobacillus Beverages in Controlling Infections among the Residents of an Aged Care Facility: A Randomized Placebo-Controlled Double-Blind Trial. </w:t>
      </w:r>
      <w:r>
        <w:rPr>
          <w:rFonts w:hAnsi="Times New Roman"/>
          <w:i/>
          <w:iCs/>
          <w:sz w:val="24"/>
          <w:szCs w:val="24"/>
        </w:rPr>
        <w:t xml:space="preserve">Ann. </w:t>
      </w:r>
      <w:proofErr w:type="spellStart"/>
      <w:r>
        <w:rPr>
          <w:rFonts w:hAnsi="Times New Roman"/>
          <w:i/>
          <w:iCs/>
          <w:sz w:val="24"/>
          <w:szCs w:val="24"/>
        </w:rPr>
        <w:t>Nutr</w:t>
      </w:r>
      <w:proofErr w:type="spellEnd"/>
      <w:r>
        <w:rPr>
          <w:rFonts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hAnsi="Times New Roman"/>
          <w:i/>
          <w:iCs/>
          <w:sz w:val="24"/>
          <w:szCs w:val="24"/>
        </w:rPr>
        <w:t>Metab</w:t>
      </w:r>
      <w:proofErr w:type="spellEnd"/>
      <w:r>
        <w:rPr>
          <w:rFonts w:hAnsi="Times New Roman"/>
          <w:i/>
          <w:iCs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68, 51–9. </w:t>
      </w:r>
      <w:proofErr w:type="gramStart"/>
      <w:r>
        <w:rPr>
          <w:rFonts w:hAnsi="Times New Roman"/>
          <w:sz w:val="24"/>
          <w:szCs w:val="24"/>
        </w:rPr>
        <w:t>doi:</w:t>
      </w:r>
      <w:proofErr w:type="gramEnd"/>
      <w:r>
        <w:rPr>
          <w:rFonts w:hAnsi="Times New Roman"/>
          <w:sz w:val="24"/>
          <w:szCs w:val="24"/>
        </w:rPr>
        <w:t>10.1159/000442305.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Nakayama, J., Watanabe, K., Jiang, J., Matsuda, K., Chao, S.-H., </w:t>
      </w:r>
      <w:proofErr w:type="spellStart"/>
      <w:r>
        <w:rPr>
          <w:rFonts w:hAnsi="Times New Roman"/>
          <w:sz w:val="24"/>
          <w:szCs w:val="24"/>
        </w:rPr>
        <w:t>Haryono</w:t>
      </w:r>
      <w:proofErr w:type="spellEnd"/>
      <w:r>
        <w:rPr>
          <w:rFonts w:hAnsi="Times New Roman"/>
          <w:sz w:val="24"/>
          <w:szCs w:val="24"/>
        </w:rPr>
        <w:t xml:space="preserve">, P., et al. (2015). Diversity in gut bacterial community of school-age children in Asia. </w:t>
      </w:r>
      <w:r>
        <w:rPr>
          <w:rFonts w:hAnsi="Times New Roman"/>
          <w:i/>
          <w:iCs/>
          <w:sz w:val="24"/>
          <w:szCs w:val="24"/>
        </w:rPr>
        <w:t>Sci. Rep.</w:t>
      </w:r>
      <w:r>
        <w:rPr>
          <w:rFonts w:hAnsi="Times New Roman"/>
          <w:sz w:val="24"/>
          <w:szCs w:val="24"/>
        </w:rPr>
        <w:t xml:space="preserve"> 5, 8397. </w:t>
      </w:r>
      <w:proofErr w:type="gramStart"/>
      <w:r>
        <w:rPr>
          <w:rFonts w:hAnsi="Times New Roman"/>
          <w:sz w:val="24"/>
          <w:szCs w:val="24"/>
        </w:rPr>
        <w:t>doi:</w:t>
      </w:r>
      <w:proofErr w:type="gramEnd"/>
      <w:r>
        <w:rPr>
          <w:rFonts w:hAnsi="Times New Roman"/>
          <w:sz w:val="24"/>
          <w:szCs w:val="24"/>
        </w:rPr>
        <w:t>10.1038/srep08397.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Ohigashi</w:t>
      </w:r>
      <w:proofErr w:type="spellEnd"/>
      <w:r>
        <w:rPr>
          <w:rFonts w:hAnsi="Times New Roman"/>
          <w:sz w:val="24"/>
          <w:szCs w:val="24"/>
        </w:rPr>
        <w:t xml:space="preserve">, S., </w:t>
      </w:r>
      <w:proofErr w:type="spellStart"/>
      <w:r>
        <w:rPr>
          <w:rFonts w:hAnsi="Times New Roman"/>
          <w:sz w:val="24"/>
          <w:szCs w:val="24"/>
        </w:rPr>
        <w:t>Sudo</w:t>
      </w:r>
      <w:proofErr w:type="spellEnd"/>
      <w:r>
        <w:rPr>
          <w:rFonts w:hAnsi="Times New Roman"/>
          <w:sz w:val="24"/>
          <w:szCs w:val="24"/>
        </w:rPr>
        <w:t xml:space="preserve">, K., Kobayashi, D., Takahashi, O., Takahashi, T.,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et al. (2013). Changes of the intestinal microbiota, short chain fatty acids, and fecal pH in patients with colorectal cancer. </w:t>
      </w:r>
      <w:r>
        <w:rPr>
          <w:rFonts w:hAnsi="Times New Roman"/>
          <w:i/>
          <w:iCs/>
          <w:sz w:val="24"/>
          <w:szCs w:val="24"/>
        </w:rPr>
        <w:t>Dig. Dis. Sci.</w:t>
      </w:r>
      <w:r>
        <w:rPr>
          <w:rFonts w:hAnsi="Times New Roman"/>
          <w:sz w:val="24"/>
          <w:szCs w:val="24"/>
        </w:rPr>
        <w:t xml:space="preserve"> 58, 1717–26. </w:t>
      </w:r>
      <w:proofErr w:type="gramStart"/>
      <w:r>
        <w:rPr>
          <w:rFonts w:hAnsi="Times New Roman"/>
          <w:sz w:val="24"/>
          <w:szCs w:val="24"/>
        </w:rPr>
        <w:t>doi:</w:t>
      </w:r>
      <w:proofErr w:type="gramEnd"/>
      <w:r>
        <w:rPr>
          <w:rFonts w:hAnsi="Times New Roman"/>
          <w:sz w:val="24"/>
          <w:szCs w:val="24"/>
        </w:rPr>
        <w:t>10.1007/s10620-012-2526-4.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Sato, J., Kanazawa, A., Ikeda, F., Yoshihara, T., </w:t>
      </w:r>
      <w:proofErr w:type="spellStart"/>
      <w:r>
        <w:rPr>
          <w:rFonts w:hAnsi="Times New Roman"/>
          <w:sz w:val="24"/>
          <w:szCs w:val="24"/>
        </w:rPr>
        <w:t>Goto</w:t>
      </w:r>
      <w:proofErr w:type="spellEnd"/>
      <w:r>
        <w:rPr>
          <w:rFonts w:hAnsi="Times New Roman"/>
          <w:sz w:val="24"/>
          <w:szCs w:val="24"/>
        </w:rPr>
        <w:t xml:space="preserve">, H., Abe, H., et al. (2014). Gut dysbiosis and detection of “live gut bacteria” in blood of Japanese patients with type 2 diabetes. </w:t>
      </w:r>
      <w:r>
        <w:rPr>
          <w:rFonts w:hAnsi="Times New Roman"/>
          <w:i/>
          <w:iCs/>
          <w:sz w:val="24"/>
          <w:szCs w:val="24"/>
        </w:rPr>
        <w:t>Diabetes Care</w:t>
      </w:r>
      <w:r>
        <w:rPr>
          <w:rFonts w:hAnsi="Times New Roman"/>
          <w:sz w:val="24"/>
          <w:szCs w:val="24"/>
        </w:rPr>
        <w:t xml:space="preserve"> 37, 2343–50. </w:t>
      </w:r>
      <w:proofErr w:type="gramStart"/>
      <w:r>
        <w:rPr>
          <w:rFonts w:hAnsi="Times New Roman"/>
          <w:sz w:val="24"/>
          <w:szCs w:val="24"/>
        </w:rPr>
        <w:t>doi:</w:t>
      </w:r>
      <w:proofErr w:type="gramEnd"/>
      <w:r>
        <w:rPr>
          <w:rFonts w:hAnsi="Times New Roman"/>
          <w:sz w:val="24"/>
          <w:szCs w:val="24"/>
        </w:rPr>
        <w:t>10.2337/dc13-2817.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Suzuki, Y., Ikeda, K., Sakuma, K., Kawai, S., </w:t>
      </w:r>
      <w:proofErr w:type="spellStart"/>
      <w:r>
        <w:rPr>
          <w:rFonts w:hAnsi="Times New Roman"/>
          <w:sz w:val="24"/>
          <w:szCs w:val="24"/>
        </w:rPr>
        <w:t>Sawaki</w:t>
      </w:r>
      <w:proofErr w:type="spellEnd"/>
      <w:r>
        <w:rPr>
          <w:rFonts w:hAnsi="Times New Roman"/>
          <w:sz w:val="24"/>
          <w:szCs w:val="24"/>
        </w:rPr>
        <w:t xml:space="preserve">, K.,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et al. (2017). Association between Yogurt Consumption and Intestinal Microbiota in Healthy Young Adults Differs by Host Gender. </w:t>
      </w:r>
      <w:r>
        <w:rPr>
          <w:rFonts w:hAnsi="Times New Roman"/>
          <w:i/>
          <w:iCs/>
          <w:sz w:val="24"/>
          <w:szCs w:val="24"/>
        </w:rPr>
        <w:t xml:space="preserve">Front. </w:t>
      </w:r>
      <w:proofErr w:type="spellStart"/>
      <w:r>
        <w:rPr>
          <w:rFonts w:hAnsi="Times New Roman"/>
          <w:i/>
          <w:iCs/>
          <w:sz w:val="24"/>
          <w:szCs w:val="24"/>
        </w:rPr>
        <w:t>Microbiol</w:t>
      </w:r>
      <w:proofErr w:type="spellEnd"/>
      <w:r>
        <w:rPr>
          <w:rFonts w:hAnsi="Times New Roman"/>
          <w:i/>
          <w:iCs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8, 847. doi:10.3389/fmicb.2017.00847.</w:t>
      </w:r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Tsuji, H., </w:t>
      </w:r>
      <w:proofErr w:type="spellStart"/>
      <w:r>
        <w:rPr>
          <w:rFonts w:hAnsi="Times New Roman"/>
          <w:sz w:val="24"/>
          <w:szCs w:val="24"/>
        </w:rPr>
        <w:t>Chonan</w:t>
      </w:r>
      <w:proofErr w:type="spellEnd"/>
      <w:r>
        <w:rPr>
          <w:rFonts w:hAnsi="Times New Roman"/>
          <w:sz w:val="24"/>
          <w:szCs w:val="24"/>
        </w:rPr>
        <w:t xml:space="preserve">, O., </w:t>
      </w:r>
      <w:proofErr w:type="spellStart"/>
      <w:r>
        <w:rPr>
          <w:rFonts w:hAnsi="Times New Roman"/>
          <w:sz w:val="24"/>
          <w:szCs w:val="24"/>
        </w:rPr>
        <w:t>Suyama</w:t>
      </w:r>
      <w:proofErr w:type="spellEnd"/>
      <w:r>
        <w:rPr>
          <w:rFonts w:hAnsi="Times New Roman"/>
          <w:sz w:val="24"/>
          <w:szCs w:val="24"/>
        </w:rPr>
        <w:t xml:space="preserve">, Y., </w:t>
      </w:r>
      <w:proofErr w:type="spellStart"/>
      <w:r>
        <w:rPr>
          <w:rFonts w:hAnsi="Times New Roman"/>
          <w:sz w:val="24"/>
          <w:szCs w:val="24"/>
        </w:rPr>
        <w:t>Kado</w:t>
      </w:r>
      <w:proofErr w:type="spellEnd"/>
      <w:r>
        <w:rPr>
          <w:rFonts w:hAnsi="Times New Roman"/>
          <w:sz w:val="24"/>
          <w:szCs w:val="24"/>
        </w:rPr>
        <w:t xml:space="preserve">, Y., </w:t>
      </w:r>
      <w:proofErr w:type="spellStart"/>
      <w:r>
        <w:rPr>
          <w:rFonts w:hAnsi="Times New Roman"/>
          <w:sz w:val="24"/>
          <w:szCs w:val="24"/>
        </w:rPr>
        <w:t>Nomoto</w:t>
      </w:r>
      <w:proofErr w:type="spellEnd"/>
      <w:r>
        <w:rPr>
          <w:rFonts w:hAnsi="Times New Roman"/>
          <w:sz w:val="24"/>
          <w:szCs w:val="24"/>
        </w:rPr>
        <w:t xml:space="preserve">, K., </w:t>
      </w:r>
      <w:proofErr w:type="spellStart"/>
      <w:r>
        <w:rPr>
          <w:rFonts w:hAnsi="Times New Roman"/>
          <w:sz w:val="24"/>
          <w:szCs w:val="24"/>
        </w:rPr>
        <w:t>Nanno</w:t>
      </w:r>
      <w:proofErr w:type="spellEnd"/>
      <w:r>
        <w:rPr>
          <w:rFonts w:hAnsi="Times New Roman"/>
          <w:sz w:val="24"/>
          <w:szCs w:val="24"/>
        </w:rPr>
        <w:t xml:space="preserve">, M., et al. (2014). Maintenance of healthy intestinal microbiota in women who regularly consume probiotics. </w:t>
      </w:r>
      <w:r>
        <w:rPr>
          <w:rFonts w:hAnsi="Times New Roman"/>
          <w:i/>
          <w:iCs/>
          <w:sz w:val="24"/>
          <w:szCs w:val="24"/>
        </w:rPr>
        <w:t>Int. J. Probiotics Prebiotics</w:t>
      </w:r>
      <w:r>
        <w:rPr>
          <w:rFonts w:hAnsi="Times New Roman"/>
          <w:sz w:val="24"/>
          <w:szCs w:val="24"/>
        </w:rPr>
        <w:t xml:space="preserve"> 9, 31–38. </w:t>
      </w:r>
      <w:bookmarkStart w:id="0" w:name="_GoBack"/>
      <w:bookmarkEnd w:id="0"/>
    </w:p>
    <w:p w:rsidR="00885164" w:rsidRDefault="00885164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Tsuji, H., </w:t>
      </w:r>
      <w:proofErr w:type="spellStart"/>
      <w:r>
        <w:rPr>
          <w:rFonts w:hAnsi="Times New Roman"/>
          <w:sz w:val="24"/>
          <w:szCs w:val="24"/>
        </w:rPr>
        <w:t>Oozeer</w:t>
      </w:r>
      <w:proofErr w:type="spellEnd"/>
      <w:r>
        <w:rPr>
          <w:rFonts w:hAnsi="Times New Roman"/>
          <w:sz w:val="24"/>
          <w:szCs w:val="24"/>
        </w:rPr>
        <w:t xml:space="preserve">, R., Matsuda, K., </w:t>
      </w:r>
      <w:proofErr w:type="spellStart"/>
      <w:r>
        <w:rPr>
          <w:rFonts w:hAnsi="Times New Roman"/>
          <w:sz w:val="24"/>
          <w:szCs w:val="24"/>
        </w:rPr>
        <w:t>Matsuki</w:t>
      </w:r>
      <w:proofErr w:type="spellEnd"/>
      <w:r>
        <w:rPr>
          <w:rFonts w:hAnsi="Times New Roman"/>
          <w:sz w:val="24"/>
          <w:szCs w:val="24"/>
        </w:rPr>
        <w:t xml:space="preserve">, T., </w:t>
      </w:r>
      <w:proofErr w:type="spellStart"/>
      <w:r>
        <w:rPr>
          <w:rFonts w:hAnsi="Times New Roman"/>
          <w:sz w:val="24"/>
          <w:szCs w:val="24"/>
        </w:rPr>
        <w:t>Ohta</w:t>
      </w:r>
      <w:proofErr w:type="spellEnd"/>
      <w:r>
        <w:rPr>
          <w:rFonts w:hAnsi="Times New Roman"/>
          <w:sz w:val="24"/>
          <w:szCs w:val="24"/>
        </w:rPr>
        <w:t xml:space="preserve">, T., </w:t>
      </w:r>
      <w:proofErr w:type="spellStart"/>
      <w:r>
        <w:rPr>
          <w:rFonts w:hAnsi="Times New Roman"/>
          <w:sz w:val="24"/>
          <w:szCs w:val="24"/>
        </w:rPr>
        <w:t>Nomoto</w:t>
      </w:r>
      <w:proofErr w:type="spellEnd"/>
      <w:r>
        <w:rPr>
          <w:rFonts w:hAnsi="Times New Roman"/>
          <w:sz w:val="24"/>
          <w:szCs w:val="24"/>
        </w:rPr>
        <w:t xml:space="preserve">, K., et al. (2012). Molecular monitoring of the development of intestinal microbiota in Japanese infants. </w:t>
      </w:r>
      <w:proofErr w:type="spellStart"/>
      <w:r>
        <w:rPr>
          <w:rFonts w:hAnsi="Times New Roman"/>
          <w:i/>
          <w:iCs/>
          <w:sz w:val="24"/>
          <w:szCs w:val="24"/>
        </w:rPr>
        <w:t>Benef</w:t>
      </w:r>
      <w:proofErr w:type="spellEnd"/>
      <w:r>
        <w:rPr>
          <w:rFonts w:hAnsi="Times New Roman"/>
          <w:i/>
          <w:iCs/>
          <w:sz w:val="24"/>
          <w:szCs w:val="24"/>
        </w:rPr>
        <w:t>. Microbes</w:t>
      </w:r>
      <w:r>
        <w:rPr>
          <w:rFonts w:hAnsi="Times New Roman"/>
          <w:sz w:val="24"/>
          <w:szCs w:val="24"/>
        </w:rPr>
        <w:t xml:space="preserve"> 3, 113–25. doi:10.3920/BM2011.0038.</w:t>
      </w:r>
    </w:p>
    <w:p w:rsidR="00885164" w:rsidRPr="009723AC" w:rsidRDefault="00885164" w:rsidP="007546C5">
      <w:pPr>
        <w:autoSpaceDE w:val="0"/>
        <w:autoSpaceDN w:val="0"/>
        <w:spacing w:after="140" w:line="288" w:lineRule="auto"/>
        <w:ind w:left="480" w:hanging="480"/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Wang, C., Nagata, S., </w:t>
      </w:r>
      <w:proofErr w:type="spellStart"/>
      <w:r>
        <w:rPr>
          <w:rFonts w:hAnsi="Times New Roman"/>
          <w:sz w:val="24"/>
          <w:szCs w:val="24"/>
        </w:rPr>
        <w:t>Asahara</w:t>
      </w:r>
      <w:proofErr w:type="spellEnd"/>
      <w:r>
        <w:rPr>
          <w:rFonts w:hAnsi="Times New Roman"/>
          <w:sz w:val="24"/>
          <w:szCs w:val="24"/>
        </w:rPr>
        <w:t xml:space="preserve">, T., Yuki, N., Matsuda, K., Tsuji, H., et al. (2015). Intestinal microbiota profiles of healthy pre-school and school-age children and effects of probiotic supplementation. </w:t>
      </w:r>
      <w:r>
        <w:rPr>
          <w:rFonts w:hAnsi="Times New Roman"/>
          <w:i/>
          <w:iCs/>
          <w:sz w:val="24"/>
          <w:szCs w:val="24"/>
        </w:rPr>
        <w:t xml:space="preserve">Ann. </w:t>
      </w:r>
      <w:proofErr w:type="spellStart"/>
      <w:r>
        <w:rPr>
          <w:rFonts w:hAnsi="Times New Roman"/>
          <w:i/>
          <w:iCs/>
          <w:sz w:val="24"/>
          <w:szCs w:val="24"/>
        </w:rPr>
        <w:t>Nutr</w:t>
      </w:r>
      <w:proofErr w:type="spellEnd"/>
      <w:r>
        <w:rPr>
          <w:rFonts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hAnsi="Times New Roman"/>
          <w:i/>
          <w:iCs/>
          <w:sz w:val="24"/>
          <w:szCs w:val="24"/>
        </w:rPr>
        <w:t>Metab</w:t>
      </w:r>
      <w:proofErr w:type="spellEnd"/>
      <w:r>
        <w:rPr>
          <w:rFonts w:hAnsi="Times New Roman"/>
          <w:i/>
          <w:iCs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67, 257–266. </w:t>
      </w:r>
      <w:proofErr w:type="gramStart"/>
      <w:r>
        <w:rPr>
          <w:rFonts w:hAnsi="Times New Roman"/>
          <w:sz w:val="24"/>
          <w:szCs w:val="24"/>
        </w:rPr>
        <w:t>doi:</w:t>
      </w:r>
      <w:proofErr w:type="gramEnd"/>
      <w:r>
        <w:rPr>
          <w:rFonts w:hAnsi="Times New Roman"/>
          <w:sz w:val="24"/>
          <w:szCs w:val="24"/>
        </w:rPr>
        <w:t>10.1159/000441066.</w:t>
      </w:r>
    </w:p>
    <w:sectPr w:rsidR="00885164" w:rsidRPr="009723AC" w:rsidSect="009723AC">
      <w:footerReference w:type="even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72" w:rsidRDefault="00803B72">
      <w:pPr>
        <w:spacing w:line="240" w:lineRule="auto"/>
      </w:pPr>
      <w:r>
        <w:separator/>
      </w:r>
    </w:p>
  </w:endnote>
  <w:endnote w:type="continuationSeparator" w:id="0">
    <w:p w:rsidR="00803B72" w:rsidRDefault="00803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97" w:rsidRDefault="00FA7256" w:rsidP="005F1FC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297" w:rsidRDefault="00803B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97" w:rsidRDefault="00FA7256" w:rsidP="005F1FC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46C5">
      <w:rPr>
        <w:rStyle w:val="a8"/>
        <w:noProof/>
      </w:rPr>
      <w:t>1</w:t>
    </w:r>
    <w:r>
      <w:rPr>
        <w:rStyle w:val="a8"/>
      </w:rPr>
      <w:fldChar w:fldCharType="end"/>
    </w:r>
  </w:p>
  <w:p w:rsidR="00C26297" w:rsidRDefault="00803B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72" w:rsidRDefault="00803B72">
      <w:pPr>
        <w:spacing w:line="240" w:lineRule="auto"/>
      </w:pPr>
      <w:r>
        <w:separator/>
      </w:r>
    </w:p>
  </w:footnote>
  <w:footnote w:type="continuationSeparator" w:id="0">
    <w:p w:rsidR="00803B72" w:rsidRDefault="00803B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5784"/>
    <w:multiLevelType w:val="hybridMultilevel"/>
    <w:tmpl w:val="57222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6"/>
    <w:rsid w:val="002D1538"/>
    <w:rsid w:val="0042263A"/>
    <w:rsid w:val="004D438D"/>
    <w:rsid w:val="0051567E"/>
    <w:rsid w:val="007546C5"/>
    <w:rsid w:val="00786990"/>
    <w:rsid w:val="00803B72"/>
    <w:rsid w:val="00885164"/>
    <w:rsid w:val="00892103"/>
    <w:rsid w:val="009723AC"/>
    <w:rsid w:val="00AE30E3"/>
    <w:rsid w:val="00BE0A9F"/>
    <w:rsid w:val="00D37E93"/>
    <w:rsid w:val="00D6499E"/>
    <w:rsid w:val="00E24703"/>
    <w:rsid w:val="00F30D2D"/>
    <w:rsid w:val="00F73713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2F9F3-ED74-4F0C-8339-C332171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5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7256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FA7256"/>
    <w:rPr>
      <w:rFonts w:ascii="Times New Roman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rsid w:val="00FA7256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FA7256"/>
    <w:rPr>
      <w:rFonts w:ascii="Times New Roman" w:eastAsia="ＭＳ 明朝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FA7256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styleId="a8">
    <w:name w:val="page number"/>
    <w:basedOn w:val="a0"/>
    <w:uiPriority w:val="99"/>
    <w:semiHidden/>
    <w:unhideWhenUsed/>
    <w:rsid w:val="00FA7256"/>
  </w:style>
  <w:style w:type="character" w:styleId="a9">
    <w:name w:val="line number"/>
    <w:basedOn w:val="a0"/>
    <w:uiPriority w:val="99"/>
    <w:semiHidden/>
    <w:unhideWhenUsed/>
    <w:rsid w:val="00FA7256"/>
  </w:style>
  <w:style w:type="character" w:styleId="aa">
    <w:name w:val="Hyperlink"/>
    <w:basedOn w:val="a0"/>
    <w:uiPriority w:val="99"/>
    <w:unhideWhenUsed/>
    <w:rsid w:val="00892103"/>
    <w:rPr>
      <w:color w:val="0563C1" w:themeColor="hyperlink"/>
      <w:u w:val="single"/>
    </w:rPr>
  </w:style>
  <w:style w:type="paragraph" w:customStyle="1" w:styleId="SupplementaryMaterial">
    <w:name w:val="Supplementary Material"/>
    <w:basedOn w:val="ab"/>
    <w:next w:val="ab"/>
    <w:qFormat/>
    <w:rsid w:val="00786990"/>
    <w:pPr>
      <w:widowControl/>
      <w:suppressLineNumbers/>
      <w:adjustRightInd/>
      <w:spacing w:line="240" w:lineRule="auto"/>
      <w:textAlignment w:val="auto"/>
      <w:outlineLvl w:val="9"/>
    </w:pPr>
    <w:rPr>
      <w:rFonts w:ascii="Times New Roman" w:eastAsiaTheme="minorEastAsia" w:hAnsi="Times New Roman" w:cs="Times New Roman"/>
      <w:b/>
      <w:i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7869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86990"/>
    <w:rPr>
      <w:rFonts w:asciiTheme="majorHAnsi" w:eastAsia="ＭＳ ゴシック" w:hAnsiTheme="majorHAnsi" w:cstheme="majorBidi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rokazu-tsuji@yakult.co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9917D7972574BB5A3BD507DCCFE18" ma:contentTypeVersion="7" ma:contentTypeDescription="Create a new document." ma:contentTypeScope="" ma:versionID="59668778f5c03c41b96c1ff1554b8f8d">
  <xsd:schema xmlns:xsd="http://www.w3.org/2001/XMLSchema" xmlns:p="http://schemas.microsoft.com/office/2006/metadata/properties" xmlns:ns2="b833066a-7bcb-4a41-ba3a-c0ee0ef8dc7c" targetNamespace="http://schemas.microsoft.com/office/2006/metadata/properties" ma:root="true" ma:fieldsID="512c9154f2e9e84e3746ab62bc811d74" ns2:_="">
    <xsd:import namespace="b833066a-7bcb-4a41-ba3a-c0ee0ef8dc7c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833066a-7bcb-4a41-ba3a-c0ee0ef8dc7c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b833066a-7bcb-4a41-ba3a-c0ee0ef8dc7c">Table 1.DOCX</DocumentId>
    <FileFormat xmlns="b833066a-7bcb-4a41-ba3a-c0ee0ef8dc7c">DOCX</FileFormat>
    <StageName xmlns="b833066a-7bcb-4a41-ba3a-c0ee0ef8dc7c" xsi:nil="true"/>
    <Checked_x0020_Out_x0020_To xmlns="b833066a-7bcb-4a41-ba3a-c0ee0ef8dc7c">
      <UserInfo>
        <DisplayName/>
        <AccountId xsi:nil="true"/>
        <AccountType/>
      </UserInfo>
    </Checked_x0020_Out_x0020_To>
    <IsDeleted xmlns="b833066a-7bcb-4a41-ba3a-c0ee0ef8dc7c">false</IsDeleted>
    <TitleName xmlns="b833066a-7bcb-4a41-ba3a-c0ee0ef8dc7c">Table 1.DOCX</TitleName>
    <DocumentType xmlns="b833066a-7bcb-4a41-ba3a-c0ee0ef8dc7c">Table</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1B44-11AB-42A1-A2C0-DB2F7C5E3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3066a-7bcb-4a41-ba3a-c0ee0ef8dc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7C0F91-0D35-4C03-A4EB-82335F8E4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38D5F-4D49-4469-AF34-D78F44651810}">
  <ds:schemaRefs>
    <ds:schemaRef ds:uri="http://schemas.microsoft.com/office/2006/metadata/properties"/>
    <ds:schemaRef ds:uri="b833066a-7bcb-4a41-ba3a-c0ee0ef8dc7c"/>
  </ds:schemaRefs>
</ds:datastoreItem>
</file>

<file path=customXml/itemProps4.xml><?xml version="1.0" encoding="utf-8"?>
<ds:datastoreItem xmlns:ds="http://schemas.openxmlformats.org/officeDocument/2006/customXml" ds:itemID="{2D8428E0-DE3A-4B91-A310-C56F0484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浩和</dc:creator>
  <cp:keywords/>
  <dc:description/>
  <cp:lastModifiedBy>辻 浩和</cp:lastModifiedBy>
  <cp:revision>2</cp:revision>
  <dcterms:created xsi:type="dcterms:W3CDTF">2018-06-19T10:43:00Z</dcterms:created>
  <dcterms:modified xsi:type="dcterms:W3CDTF">2018-06-19T10:43:00Z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http://www.zotero.org/styles/annals-of-nutrition-and-metabolism</vt:lpwstr>
  </property>
  <property fmtid="{D5CDD505-2E9C-101B-9397-08002B2CF9AE}" pid="11" name="Mendeley Recent Style Name 4_1">
    <vt:lpwstr>Annals of Nutrition &amp; Metabolism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http://www.zotero.org/styles/current-opinion-in-microbiology</vt:lpwstr>
  </property>
  <property fmtid="{D5CDD505-2E9C-101B-9397-08002B2CF9AE}" pid="15" name="Mendeley Recent Style Name 6_1">
    <vt:lpwstr>Current Opinion in Microbiology</vt:lpwstr>
  </property>
  <property fmtid="{D5CDD505-2E9C-101B-9397-08002B2CF9AE}" pid="16" name="Mendeley Recent Style Id 7_1">
    <vt:lpwstr>http://www.zotero.org/styles/frontiers-in-microbiology</vt:lpwstr>
  </property>
  <property fmtid="{D5CDD505-2E9C-101B-9397-08002B2CF9AE}" pid="17" name="Mendeley Recent Style Name 7_1">
    <vt:lpwstr>Frontiers in Microbiology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3146b0ff-00c8-3e04-a62e-cdfa39d8d42b</vt:lpwstr>
  </property>
  <property fmtid="{D5CDD505-2E9C-101B-9397-08002B2CF9AE}" pid="24" name="Mendeley Citation Style_1">
    <vt:lpwstr>http://www.zotero.org/styles/frontiers-in-microbiology</vt:lpwstr>
  </property>
  <property fmtid="{D5CDD505-2E9C-101B-9397-08002B2CF9AE}" pid="25" name="ContentTypeId">
    <vt:lpwstr>0x0101002FB9917D7972574BB5A3BD507DCCFE18</vt:lpwstr>
  </property>
</Properties>
</file>