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412" w:rsidRPr="001549D3" w:rsidRDefault="002F1412" w:rsidP="00C101F6">
      <w:pPr>
        <w:pStyle w:val="SupplementaryMaterial"/>
        <w:spacing w:line="276" w:lineRule="auto"/>
        <w:rPr>
          <w:b w:val="0"/>
        </w:rPr>
      </w:pPr>
      <w:r w:rsidRPr="001549D3">
        <w:t>Supplementary Material</w:t>
      </w:r>
    </w:p>
    <w:p w:rsidR="002F1412" w:rsidRDefault="002F1412" w:rsidP="00C101F6">
      <w:pPr>
        <w:pStyle w:val="AuthorList"/>
        <w:spacing w:line="276" w:lineRule="auto"/>
        <w:jc w:val="center"/>
        <w:rPr>
          <w:sz w:val="32"/>
          <w:szCs w:val="32"/>
        </w:rPr>
      </w:pPr>
      <w:r w:rsidRPr="00495570">
        <w:rPr>
          <w:sz w:val="32"/>
          <w:szCs w:val="32"/>
        </w:rPr>
        <w:t>Phenotype, function and mobilization of 6-sulfo LacNAc-expressing monocytes in atopic dermatitis</w:t>
      </w:r>
    </w:p>
    <w:p w:rsidR="002F1412" w:rsidRDefault="002F1412" w:rsidP="00C101F6">
      <w:pPr>
        <w:pStyle w:val="AuthorList"/>
        <w:spacing w:line="276" w:lineRule="auto"/>
        <w:rPr>
          <w:vertAlign w:val="superscript"/>
        </w:rPr>
      </w:pPr>
      <w:r w:rsidRPr="00CF5C1E">
        <w:t xml:space="preserve">Wojciech </w:t>
      </w:r>
      <w:r w:rsidRPr="00C101F6">
        <w:t>Baran</w:t>
      </w:r>
      <w:r w:rsidRPr="00C101F6">
        <w:rPr>
          <w:vertAlign w:val="superscript"/>
        </w:rPr>
        <w:t>1+</w:t>
      </w:r>
      <w:r w:rsidRPr="00C101F6">
        <w:t>,</w:t>
      </w:r>
      <w:r w:rsidRPr="00376CC5">
        <w:t xml:space="preserve"> </w:t>
      </w:r>
      <w:r w:rsidRPr="00CF5C1E">
        <w:t>Stephanie Oehrl</w:t>
      </w:r>
      <w:r w:rsidRPr="00A545C6">
        <w:rPr>
          <w:vertAlign w:val="superscript"/>
        </w:rPr>
        <w:t>2</w:t>
      </w:r>
      <w:r>
        <w:rPr>
          <w:vertAlign w:val="superscript"/>
        </w:rPr>
        <w:t>+</w:t>
      </w:r>
      <w:r w:rsidRPr="00376CC5">
        <w:t xml:space="preserve">, </w:t>
      </w:r>
      <w:r w:rsidRPr="00CF5C1E">
        <w:t>Fareed Ahmad</w:t>
      </w:r>
      <w:r>
        <w:rPr>
          <w:vertAlign w:val="superscript"/>
        </w:rPr>
        <w:t>2</w:t>
      </w:r>
      <w:r>
        <w:t xml:space="preserve">, </w:t>
      </w:r>
      <w:r w:rsidRPr="00CF5C1E">
        <w:t>Thomas Döbel</w:t>
      </w:r>
      <w:r w:rsidRPr="00CF5C1E">
        <w:rPr>
          <w:vertAlign w:val="superscript"/>
        </w:rPr>
        <w:t>2</w:t>
      </w:r>
      <w:r w:rsidRPr="00CF5C1E">
        <w:t xml:space="preserve">, </w:t>
      </w:r>
      <w:r>
        <w:t>Christina Alt</w:t>
      </w:r>
      <w:r>
        <w:rPr>
          <w:vertAlign w:val="superscript"/>
        </w:rPr>
        <w:t>2</w:t>
      </w:r>
      <w:r w:rsidRPr="001D1AD1">
        <w:t>,</w:t>
      </w:r>
      <w:r>
        <w:rPr>
          <w:vertAlign w:val="superscript"/>
        </w:rPr>
        <w:t xml:space="preserve"> </w:t>
      </w:r>
      <w:r w:rsidRPr="00CF5C1E">
        <w:t>Angelika Buske-Kirschbaum</w:t>
      </w:r>
      <w:r w:rsidRPr="00CF5C1E">
        <w:rPr>
          <w:vertAlign w:val="superscript"/>
        </w:rPr>
        <w:t>3</w:t>
      </w:r>
      <w:r w:rsidRPr="00CF5C1E">
        <w:t>, Marc Schmitz</w:t>
      </w:r>
      <w:r w:rsidRPr="00CF5C1E">
        <w:rPr>
          <w:vertAlign w:val="superscript"/>
        </w:rPr>
        <w:t>4</w:t>
      </w:r>
      <w:r w:rsidRPr="00CF5C1E">
        <w:t>, Knut Schäkel</w:t>
      </w:r>
      <w:r w:rsidRPr="00CF5C1E">
        <w:rPr>
          <w:vertAlign w:val="superscript"/>
        </w:rPr>
        <w:t>2</w:t>
      </w:r>
      <w:r>
        <w:rPr>
          <w:vertAlign w:val="superscript"/>
        </w:rPr>
        <w:t>*</w:t>
      </w:r>
    </w:p>
    <w:p w:rsidR="002F1412" w:rsidRPr="00495570" w:rsidRDefault="002F1412" w:rsidP="00C101F6">
      <w:pPr>
        <w:pStyle w:val="AuthorList"/>
        <w:spacing w:before="0" w:after="0" w:line="276" w:lineRule="auto"/>
        <w:rPr>
          <w:b w:val="0"/>
        </w:rPr>
      </w:pPr>
      <w:r w:rsidRPr="00495570">
        <w:rPr>
          <w:b w:val="0"/>
          <w:vertAlign w:val="superscript"/>
          <w:lang w:val="en-GB"/>
        </w:rPr>
        <w:t>1</w:t>
      </w:r>
      <w:r>
        <w:rPr>
          <w:b w:val="0"/>
          <w:vertAlign w:val="superscript"/>
          <w:lang w:val="en-GB"/>
        </w:rPr>
        <w:t xml:space="preserve"> </w:t>
      </w:r>
      <w:r w:rsidRPr="00495570">
        <w:rPr>
          <w:b w:val="0"/>
          <w:lang w:val="en-GB"/>
        </w:rPr>
        <w:t xml:space="preserve">Department of Dermatology, Venerology and Allergology, </w:t>
      </w:r>
      <w:smartTag w:uri="urn:schemas-microsoft-com:office:smarttags" w:element="City">
        <w:smartTag w:uri="urn:schemas-microsoft-com:office:smarttags" w:element="place">
          <w:r w:rsidRPr="00495570">
            <w:rPr>
              <w:b w:val="0"/>
              <w:lang w:val="en-GB"/>
            </w:rPr>
            <w:t>Wroclaw Medical University</w:t>
          </w:r>
        </w:smartTag>
        <w:r w:rsidRPr="00495570">
          <w:rPr>
            <w:b w:val="0"/>
            <w:lang w:val="en-GB"/>
          </w:rPr>
          <w:t xml:space="preserve">, </w:t>
        </w:r>
        <w:smartTag w:uri="urn:schemas-microsoft-com:office:smarttags" w:element="country-region">
          <w:r w:rsidRPr="00495570">
            <w:rPr>
              <w:b w:val="0"/>
              <w:lang w:val="en-GB"/>
            </w:rPr>
            <w:t>Poland</w:t>
          </w:r>
        </w:smartTag>
      </w:smartTag>
      <w:r w:rsidRPr="00495570">
        <w:rPr>
          <w:b w:val="0"/>
          <w:lang w:val="en-GB"/>
        </w:rPr>
        <w:t xml:space="preserve">                                                                                    </w:t>
      </w:r>
    </w:p>
    <w:p w:rsidR="002F1412" w:rsidRDefault="002F1412" w:rsidP="00C101F6">
      <w:pPr>
        <w:spacing w:before="0" w:after="0" w:line="276" w:lineRule="auto"/>
        <w:rPr>
          <w:szCs w:val="24"/>
          <w:lang w:val="en-GB"/>
        </w:rPr>
      </w:pPr>
      <w:r w:rsidRPr="00376CC5">
        <w:rPr>
          <w:szCs w:val="24"/>
          <w:vertAlign w:val="superscript"/>
        </w:rPr>
        <w:t>2</w:t>
      </w:r>
      <w:r w:rsidRPr="00495570">
        <w:rPr>
          <w:szCs w:val="24"/>
          <w:lang w:val="en-GB"/>
        </w:rPr>
        <w:t xml:space="preserve"> </w:t>
      </w:r>
      <w:r w:rsidRPr="00246856">
        <w:rPr>
          <w:szCs w:val="24"/>
          <w:lang w:val="en-GB"/>
        </w:rPr>
        <w:t xml:space="preserve">Department of Dermatology, Medical Faculty, </w:t>
      </w:r>
      <w:smartTag w:uri="urn:schemas-microsoft-com:office:smarttags" w:element="City">
        <w:smartTag w:uri="urn:schemas-microsoft-com:office:smarttags" w:element="place">
          <w:r w:rsidRPr="00246856">
            <w:rPr>
              <w:szCs w:val="24"/>
              <w:lang w:val="en-GB"/>
            </w:rPr>
            <w:t>University of Heidelberg</w:t>
          </w:r>
        </w:smartTag>
        <w:r w:rsidRPr="00246856">
          <w:rPr>
            <w:szCs w:val="24"/>
            <w:lang w:val="en-GB"/>
          </w:rPr>
          <w:t xml:space="preserve">, </w:t>
        </w:r>
        <w:smartTag w:uri="urn:schemas-microsoft-com:office:smarttags" w:element="country-region">
          <w:r w:rsidRPr="00246856">
            <w:rPr>
              <w:szCs w:val="24"/>
              <w:lang w:val="en-GB"/>
            </w:rPr>
            <w:t>Germany</w:t>
          </w:r>
        </w:smartTag>
      </w:smartTag>
      <w:r w:rsidRPr="00246856">
        <w:rPr>
          <w:szCs w:val="24"/>
          <w:lang w:val="en-GB"/>
        </w:rPr>
        <w:t xml:space="preserve"> </w:t>
      </w:r>
    </w:p>
    <w:p w:rsidR="002F1412" w:rsidRDefault="002F1412" w:rsidP="00C101F6">
      <w:pPr>
        <w:spacing w:before="0" w:after="0" w:line="276" w:lineRule="auto"/>
        <w:rPr>
          <w:szCs w:val="24"/>
          <w:lang w:val="en-GB"/>
        </w:rPr>
      </w:pPr>
      <w:r>
        <w:rPr>
          <w:szCs w:val="24"/>
          <w:vertAlign w:val="superscript"/>
        </w:rPr>
        <w:t>3</w:t>
      </w:r>
      <w:r w:rsidRPr="00495570">
        <w:rPr>
          <w:szCs w:val="24"/>
          <w:lang w:val="en-GB"/>
        </w:rPr>
        <w:t xml:space="preserve"> </w:t>
      </w:r>
      <w:r>
        <w:rPr>
          <w:szCs w:val="24"/>
          <w:lang w:val="en-GB"/>
        </w:rPr>
        <w:t xml:space="preserve">Department of Biopsycology, </w:t>
      </w:r>
      <w:r w:rsidRPr="00B53BF9">
        <w:rPr>
          <w:szCs w:val="24"/>
          <w:lang w:val="en-GB"/>
        </w:rPr>
        <w:t xml:space="preserve">Technical </w:t>
      </w:r>
      <w:smartTag w:uri="urn:schemas-microsoft-com:office:smarttags" w:element="City">
        <w:smartTag w:uri="urn:schemas-microsoft-com:office:smarttags" w:element="place">
          <w:r w:rsidRPr="00B53BF9">
            <w:rPr>
              <w:szCs w:val="24"/>
              <w:lang w:val="en-GB"/>
            </w:rPr>
            <w:t>University of Dresden</w:t>
          </w:r>
        </w:smartTag>
        <w:r w:rsidRPr="00B53BF9">
          <w:rPr>
            <w:szCs w:val="24"/>
            <w:lang w:val="en-GB"/>
          </w:rPr>
          <w:t xml:space="preserve">, </w:t>
        </w:r>
        <w:smartTag w:uri="urn:schemas-microsoft-com:office:smarttags" w:element="country-region">
          <w:r w:rsidRPr="00B53BF9">
            <w:rPr>
              <w:szCs w:val="24"/>
              <w:lang w:val="en-GB"/>
            </w:rPr>
            <w:t>Germany</w:t>
          </w:r>
        </w:smartTag>
      </w:smartTag>
    </w:p>
    <w:p w:rsidR="002F1412" w:rsidRDefault="002F1412" w:rsidP="00C101F6">
      <w:pPr>
        <w:spacing w:before="0" w:after="0" w:line="276" w:lineRule="auto"/>
        <w:jc w:val="both"/>
        <w:rPr>
          <w:szCs w:val="24"/>
          <w:lang w:val="en-GB"/>
        </w:rPr>
      </w:pPr>
      <w:r w:rsidRPr="002D1D51">
        <w:rPr>
          <w:szCs w:val="24"/>
          <w:vertAlign w:val="superscript"/>
          <w:lang w:val="en-GB"/>
        </w:rPr>
        <w:t>4</w:t>
      </w:r>
      <w:r w:rsidRPr="00DF66C6">
        <w:rPr>
          <w:szCs w:val="24"/>
          <w:lang w:val="en-GB"/>
        </w:rPr>
        <w:t xml:space="preserve"> </w:t>
      </w:r>
      <w:r w:rsidRPr="00262333">
        <w:rPr>
          <w:szCs w:val="24"/>
          <w:lang w:val="en-GB"/>
        </w:rPr>
        <w:t>Institute of Immunology, Medical Faculty, TU Dresden, Dresden, Germany; National Center for Tumor Diseases, University Hospital Carl Gustav Carus, TU Dresden, Germany; German Cancer Consortium (DKTK), Dresden, Germany; German Cancer Research Center (DKFZ), Heidelberg, Germany; Center for Regenerative Therapies Dresden (CRTD), Medical Faculty, TU Dresden, Dresden, Germany</w:t>
      </w:r>
    </w:p>
    <w:p w:rsidR="002F1412" w:rsidRDefault="002F1412" w:rsidP="00C101F6">
      <w:pPr>
        <w:spacing w:after="0" w:line="276" w:lineRule="auto"/>
        <w:jc w:val="both"/>
        <w:rPr>
          <w:szCs w:val="24"/>
          <w:lang w:val="en-GB"/>
        </w:rPr>
      </w:pPr>
      <w:r w:rsidRPr="00262333">
        <w:rPr>
          <w:szCs w:val="24"/>
          <w:vertAlign w:val="superscript"/>
          <w:lang w:val="en-GB"/>
        </w:rPr>
        <w:t>+</w:t>
      </w:r>
      <w:r>
        <w:rPr>
          <w:szCs w:val="24"/>
          <w:lang w:val="en-GB"/>
        </w:rPr>
        <w:t xml:space="preserve">Both authors contributed equally </w:t>
      </w:r>
    </w:p>
    <w:p w:rsidR="002F1412" w:rsidRDefault="002F1412" w:rsidP="00C101F6">
      <w:pPr>
        <w:spacing w:before="0" w:after="0" w:line="276" w:lineRule="auto"/>
        <w:rPr>
          <w:b/>
          <w:szCs w:val="24"/>
        </w:rPr>
      </w:pPr>
    </w:p>
    <w:p w:rsidR="002F1412" w:rsidRPr="00262333" w:rsidRDefault="002F1412" w:rsidP="00C101F6">
      <w:pPr>
        <w:spacing w:before="0" w:after="0" w:line="276" w:lineRule="auto"/>
        <w:rPr>
          <w:szCs w:val="24"/>
        </w:rPr>
      </w:pPr>
      <w:r w:rsidRPr="00376CC5">
        <w:rPr>
          <w:b/>
          <w:szCs w:val="24"/>
        </w:rPr>
        <w:t xml:space="preserve">* Correspondence: </w:t>
      </w:r>
      <w:r w:rsidRPr="00376CC5">
        <w:rPr>
          <w:b/>
          <w:szCs w:val="24"/>
        </w:rPr>
        <w:br/>
      </w:r>
      <w:r>
        <w:rPr>
          <w:szCs w:val="24"/>
        </w:rPr>
        <w:t xml:space="preserve">Prof. Dr. Knut Schäkel, </w:t>
      </w:r>
      <w:r w:rsidRPr="00262333">
        <w:rPr>
          <w:szCs w:val="24"/>
        </w:rPr>
        <w:t xml:space="preserve">Department of Dermatology, Medical Faculty, </w:t>
      </w:r>
      <w:smartTag w:uri="urn:schemas-microsoft-com:office:smarttags" w:element="PlaceType">
        <w:smartTag w:uri="urn:schemas-microsoft-com:office:smarttags" w:element="place">
          <w:r w:rsidRPr="00262333">
            <w:rPr>
              <w:szCs w:val="24"/>
            </w:rPr>
            <w:t>University</w:t>
          </w:r>
        </w:smartTag>
        <w:r w:rsidRPr="00262333">
          <w:rPr>
            <w:szCs w:val="24"/>
          </w:rPr>
          <w:t xml:space="preserve"> of </w:t>
        </w:r>
        <w:smartTag w:uri="urn:schemas-microsoft-com:office:smarttags" w:element="PlaceName">
          <w:r w:rsidRPr="00262333">
            <w:rPr>
              <w:szCs w:val="24"/>
            </w:rPr>
            <w:t>Heidelberg</w:t>
          </w:r>
        </w:smartTag>
      </w:smartTag>
    </w:p>
    <w:p w:rsidR="002F1412" w:rsidRPr="00376CC5" w:rsidRDefault="002F1412" w:rsidP="00C101F6">
      <w:pPr>
        <w:spacing w:before="0" w:after="0" w:line="276" w:lineRule="auto"/>
        <w:rPr>
          <w:b/>
          <w:szCs w:val="24"/>
        </w:rPr>
      </w:pPr>
      <w:r w:rsidRPr="00262333">
        <w:rPr>
          <w:szCs w:val="24"/>
          <w:lang w:val="de-DE"/>
        </w:rPr>
        <w:t xml:space="preserve">Im Neuenheimer Feld 440, 69120 Heidelberg, Germany; Tel. </w:t>
      </w:r>
      <w:r w:rsidRPr="00262333">
        <w:rPr>
          <w:szCs w:val="24"/>
        </w:rPr>
        <w:t>+49</w:t>
      </w:r>
      <w:r>
        <w:rPr>
          <w:szCs w:val="24"/>
        </w:rPr>
        <w:t>6221568411; fax. +496221565406 em</w:t>
      </w:r>
      <w:r w:rsidRPr="00262333">
        <w:rPr>
          <w:szCs w:val="24"/>
        </w:rPr>
        <w:t>ail: knut.schaekel@med.uni-heidelberg.de</w:t>
      </w:r>
    </w:p>
    <w:p w:rsidR="002F1412" w:rsidRPr="00C101F6" w:rsidRDefault="002F1412" w:rsidP="00B66A98">
      <w:pPr>
        <w:pStyle w:val="Heading2"/>
        <w:numPr>
          <w:ilvl w:val="0"/>
          <w:numId w:val="0"/>
        </w:numPr>
      </w:pPr>
    </w:p>
    <w:p w:rsidR="002F1412" w:rsidRDefault="002F1412" w:rsidP="00C101F6">
      <w:pPr>
        <w:pStyle w:val="Heading2"/>
        <w:numPr>
          <w:ilvl w:val="0"/>
          <w:numId w:val="0"/>
        </w:numPr>
      </w:pPr>
    </w:p>
    <w:p w:rsidR="002F1412" w:rsidRDefault="002F1412" w:rsidP="00C101F6">
      <w:pPr>
        <w:pStyle w:val="Heading2"/>
        <w:numPr>
          <w:ilvl w:val="0"/>
          <w:numId w:val="0"/>
        </w:numPr>
      </w:pPr>
    </w:p>
    <w:p w:rsidR="002F1412" w:rsidRDefault="002F1412" w:rsidP="00C101F6">
      <w:pPr>
        <w:pStyle w:val="Heading2"/>
        <w:numPr>
          <w:ilvl w:val="0"/>
          <w:numId w:val="0"/>
        </w:numPr>
      </w:pPr>
    </w:p>
    <w:p w:rsidR="002F1412" w:rsidRDefault="002F1412" w:rsidP="00C101F6">
      <w:pPr>
        <w:pStyle w:val="Heading2"/>
        <w:numPr>
          <w:ilvl w:val="0"/>
          <w:numId w:val="0"/>
        </w:numPr>
      </w:pPr>
    </w:p>
    <w:p w:rsidR="002F1412" w:rsidRDefault="002F1412" w:rsidP="00C101F6">
      <w:pPr>
        <w:pStyle w:val="Heading2"/>
        <w:numPr>
          <w:ilvl w:val="0"/>
          <w:numId w:val="0"/>
        </w:numPr>
      </w:pPr>
    </w:p>
    <w:p w:rsidR="002F1412" w:rsidRDefault="002F1412" w:rsidP="00C101F6">
      <w:pPr>
        <w:pStyle w:val="Heading2"/>
        <w:numPr>
          <w:ilvl w:val="0"/>
          <w:numId w:val="0"/>
        </w:numPr>
      </w:pPr>
    </w:p>
    <w:p w:rsidR="002F1412" w:rsidRDefault="002F1412" w:rsidP="00C101F6">
      <w:pPr>
        <w:pStyle w:val="Heading2"/>
        <w:numPr>
          <w:ilvl w:val="0"/>
          <w:numId w:val="0"/>
        </w:numPr>
      </w:pPr>
    </w:p>
    <w:p w:rsidR="002F1412" w:rsidRDefault="002F1412" w:rsidP="00C101F6">
      <w:pPr>
        <w:pStyle w:val="Heading2"/>
        <w:numPr>
          <w:ilvl w:val="0"/>
          <w:numId w:val="0"/>
        </w:numPr>
      </w:pPr>
    </w:p>
    <w:p w:rsidR="002F1412" w:rsidRDefault="002F1412" w:rsidP="00C101F6">
      <w:pPr>
        <w:pStyle w:val="Heading2"/>
        <w:numPr>
          <w:ilvl w:val="0"/>
          <w:numId w:val="0"/>
        </w:numPr>
      </w:pPr>
    </w:p>
    <w:p w:rsidR="002F1412" w:rsidRDefault="002F1412" w:rsidP="0046534B">
      <w:pPr>
        <w:pStyle w:val="Heading2"/>
        <w:numPr>
          <w:ilvl w:val="0"/>
          <w:numId w:val="0"/>
        </w:numPr>
      </w:pPr>
      <w:r w:rsidRPr="00C84CF0">
        <w:t>1.</w:t>
      </w:r>
      <w:r>
        <w:t xml:space="preserve"> </w:t>
      </w:r>
      <w:r w:rsidRPr="00C101F6">
        <w:t>Supplementary Figures</w:t>
      </w:r>
    </w:p>
    <w:p w:rsidR="002F1412" w:rsidRDefault="002F1412" w:rsidP="00A12C4C">
      <w:pPr>
        <w:jc w:val="both"/>
        <w:rPr>
          <w:b/>
        </w:rPr>
      </w:pPr>
    </w:p>
    <w:p w:rsidR="002F1412" w:rsidRPr="00A12C4C" w:rsidRDefault="002F1412" w:rsidP="00A12C4C">
      <w:pPr>
        <w:jc w:val="both"/>
        <w:rPr>
          <w:b/>
        </w:rPr>
      </w:pPr>
      <w:r w:rsidRPr="00721A3E">
        <w:rPr>
          <w:b/>
          <w:noProof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i1027" type="#_x0000_t75" style="width:493.5pt;height:139.5pt;visibility:visible">
            <v:imagedata r:id="rId7" o:title=""/>
          </v:shape>
        </w:pict>
      </w:r>
    </w:p>
    <w:p w:rsidR="002F1412" w:rsidRDefault="002F1412" w:rsidP="00A12C4C">
      <w:pPr>
        <w:jc w:val="both"/>
        <w:rPr>
          <w:b/>
        </w:rPr>
      </w:pPr>
    </w:p>
    <w:p w:rsidR="002F1412" w:rsidRPr="00C101F6" w:rsidRDefault="002F1412" w:rsidP="00A12C4C">
      <w:pPr>
        <w:jc w:val="both"/>
      </w:pPr>
      <w:r>
        <w:rPr>
          <w:b/>
        </w:rPr>
        <w:t>Supplementary Figure 1</w:t>
      </w:r>
      <w:r w:rsidRPr="005D78E3">
        <w:rPr>
          <w:b/>
        </w:rPr>
        <w:t xml:space="preserve">. </w:t>
      </w:r>
      <w:r>
        <w:rPr>
          <w:b/>
        </w:rPr>
        <w:t>Representative histograms for the analysis of surface marker on slanMo</w:t>
      </w:r>
      <w:r w:rsidRPr="005D78E3">
        <w:rPr>
          <w:b/>
        </w:rPr>
        <w:t>.</w:t>
      </w:r>
      <w:r>
        <w:rPr>
          <w:b/>
        </w:rPr>
        <w:t xml:space="preserve"> </w:t>
      </w:r>
      <w:r>
        <w:t>slanMo were analyzed for the expression of CD83, CD86 and HLA-DR (or the respective isotype controls) directly after isolation (0h) and after 24h of culture.</w:t>
      </w:r>
    </w:p>
    <w:p w:rsidR="002F1412" w:rsidRDefault="002F1412">
      <w:pPr>
        <w:spacing w:before="0" w:after="200" w:line="276" w:lineRule="auto"/>
      </w:pPr>
      <w:r>
        <w:br w:type="page"/>
      </w:r>
    </w:p>
    <w:p w:rsidR="002F1412" w:rsidRDefault="002F1412">
      <w:pPr>
        <w:spacing w:before="0" w:after="200" w:line="276" w:lineRule="auto"/>
      </w:pPr>
      <w:r w:rsidRPr="00721A3E">
        <w:rPr>
          <w:noProof/>
          <w:lang w:val="de-DE" w:eastAsia="de-DE"/>
        </w:rPr>
        <w:pict>
          <v:shape id="Grafik 2" o:spid="_x0000_i1028" type="#_x0000_t75" style="width:115.5pt;height:170.25pt;visibility:visible">
            <v:imagedata r:id="rId8" o:title=""/>
          </v:shape>
        </w:pict>
      </w:r>
    </w:p>
    <w:p w:rsidR="002F1412" w:rsidRPr="00C101F6" w:rsidRDefault="002F1412" w:rsidP="006C6716">
      <w:pPr>
        <w:jc w:val="both"/>
      </w:pPr>
      <w:r>
        <w:rPr>
          <w:b/>
        </w:rPr>
        <w:t>Supplementary Figure 2</w:t>
      </w:r>
      <w:r w:rsidRPr="005D78E3">
        <w:rPr>
          <w:b/>
        </w:rPr>
        <w:t xml:space="preserve">. </w:t>
      </w:r>
      <w:r>
        <w:rPr>
          <w:b/>
        </w:rPr>
        <w:t>Frequency of slanMo in blood of atopic dermatitis patients and healthy controls</w:t>
      </w:r>
      <w:r w:rsidRPr="005D78E3">
        <w:rPr>
          <w:b/>
        </w:rPr>
        <w:t>.</w:t>
      </w:r>
      <w:r>
        <w:rPr>
          <w:b/>
        </w:rPr>
        <w:t xml:space="preserve"> </w:t>
      </w:r>
      <w:r w:rsidRPr="007E0235">
        <w:t>Frequency of</w:t>
      </w:r>
      <w:r>
        <w:rPr>
          <w:b/>
        </w:rPr>
        <w:t xml:space="preserve"> </w:t>
      </w:r>
      <w:r>
        <w:t>slanMo in whole blood was determined using counting beads in flow cytometric analysis (n=10). Statistical significance was tested using an unpaired t-test.</w:t>
      </w:r>
      <w:r>
        <w:rPr>
          <w:b/>
        </w:rPr>
        <w:t xml:space="preserve"> </w:t>
      </w:r>
      <w:r w:rsidRPr="005D78E3">
        <w:rPr>
          <w:b/>
        </w:rPr>
        <w:t xml:space="preserve"> </w:t>
      </w:r>
    </w:p>
    <w:p w:rsidR="002F1412" w:rsidRDefault="002F1412" w:rsidP="00CF3D99">
      <w:pPr>
        <w:spacing w:before="0" w:after="200" w:line="276" w:lineRule="auto"/>
        <w:jc w:val="both"/>
      </w:pPr>
      <w:r>
        <w:br w:type="page"/>
      </w:r>
      <w:r>
        <w:pict>
          <v:shape id="_x0000_i1029" type="#_x0000_t75" style="width:438pt;height:525.75pt">
            <v:imagedata r:id="rId9" o:title="" cropleft="4744f"/>
          </v:shape>
        </w:pict>
      </w:r>
    </w:p>
    <w:p w:rsidR="002F1412" w:rsidRPr="00C101F6" w:rsidRDefault="002F1412" w:rsidP="00CF3D99">
      <w:pPr>
        <w:spacing w:before="0" w:after="200" w:line="276" w:lineRule="auto"/>
        <w:jc w:val="both"/>
      </w:pPr>
      <w:r>
        <w:rPr>
          <w:b/>
        </w:rPr>
        <w:t>Supplementary Figure 3</w:t>
      </w:r>
      <w:r w:rsidRPr="005D78E3">
        <w:rPr>
          <w:b/>
        </w:rPr>
        <w:t xml:space="preserve">. Gating strategy used to identify different monocyte and DC subsets. </w:t>
      </w:r>
      <w:r>
        <w:t>In (a) the gating strategy for slanMo is demonstrated (lineage mix: CD3/CD19/CD56). The gating strategy for different DC subsets is shown in (b) (lineage mix: CD3/CD19/CD20/CD56/CD16/CD14). Representative histograms of the IL-12 and TNF-α production for the different cell populations are included.</w:t>
      </w:r>
    </w:p>
    <w:p w:rsidR="002F1412" w:rsidRPr="004E766E" w:rsidRDefault="002F1412" w:rsidP="00B66A98">
      <w:pPr>
        <w:keepNext/>
        <w:jc w:val="both"/>
        <w:rPr>
          <w:b/>
          <w:szCs w:val="24"/>
        </w:rPr>
      </w:pPr>
      <w:r w:rsidRPr="00721A3E">
        <w:rPr>
          <w:b/>
          <w:szCs w:val="24"/>
        </w:rPr>
        <w:pict>
          <v:shape id="_x0000_i1030" type="#_x0000_t75" style="width:375.75pt;height:204pt">
            <v:imagedata r:id="rId10" o:title=""/>
          </v:shape>
        </w:pict>
      </w:r>
    </w:p>
    <w:p w:rsidR="002F1412" w:rsidRDefault="002F1412" w:rsidP="00B66A98">
      <w:pPr>
        <w:keepNext/>
        <w:jc w:val="both"/>
      </w:pPr>
      <w:r w:rsidRPr="0001436A">
        <w:rPr>
          <w:b/>
          <w:szCs w:val="24"/>
        </w:rPr>
        <w:t xml:space="preserve">Supplementary Figure </w:t>
      </w:r>
      <w:r>
        <w:rPr>
          <w:b/>
          <w:szCs w:val="24"/>
        </w:rPr>
        <w:t>4</w:t>
      </w:r>
      <w:r w:rsidRPr="0001436A">
        <w:rPr>
          <w:b/>
          <w:szCs w:val="24"/>
        </w:rPr>
        <w:t>.</w:t>
      </w:r>
      <w:r w:rsidRPr="001549D3">
        <w:rPr>
          <w:szCs w:val="24"/>
        </w:rPr>
        <w:t xml:space="preserve"> </w:t>
      </w:r>
      <w:r w:rsidRPr="006F798B">
        <w:rPr>
          <w:b/>
        </w:rPr>
        <w:t>IL-12 and TNF-α production in different DC</w:t>
      </w:r>
      <w:r>
        <w:rPr>
          <w:b/>
        </w:rPr>
        <w:t>s</w:t>
      </w:r>
      <w:r w:rsidRPr="006F798B">
        <w:rPr>
          <w:b/>
        </w:rPr>
        <w:t xml:space="preserve"> and </w:t>
      </w:r>
      <w:r>
        <w:rPr>
          <w:b/>
        </w:rPr>
        <w:t>slanMo</w:t>
      </w:r>
      <w:r w:rsidRPr="006F798B">
        <w:rPr>
          <w:b/>
        </w:rPr>
        <w:t xml:space="preserve"> from healthy donors and atopic dermatitis patients</w:t>
      </w:r>
      <w:r>
        <w:rPr>
          <w:b/>
        </w:rPr>
        <w:t xml:space="preserve"> after stimulation with R848</w:t>
      </w:r>
      <w:r w:rsidRPr="006F798B">
        <w:rPr>
          <w:b/>
        </w:rPr>
        <w:t>.</w:t>
      </w:r>
      <w:r>
        <w:t xml:space="preserve"> Cells were stimulated with 5 µM of R848 for 18h after a 6h maturation period. Data are shown as mean+SEM (Ctrl: n=10, AD: n=14). Statistical significance was determined using one-way ANOVA followed by Dunnett’s posttest.</w:t>
      </w:r>
    </w:p>
    <w:p w:rsidR="002F1412" w:rsidRDefault="002F1412" w:rsidP="00B66A98">
      <w:pPr>
        <w:pStyle w:val="Title"/>
      </w:pPr>
      <w:r>
        <w:br w:type="page"/>
      </w:r>
    </w:p>
    <w:p w:rsidR="002F1412" w:rsidRPr="00B66A98" w:rsidRDefault="002F1412" w:rsidP="00B66A98">
      <w:pPr>
        <w:keepNext/>
        <w:jc w:val="both"/>
        <w:rPr>
          <w:b/>
          <w:szCs w:val="24"/>
        </w:rPr>
      </w:pPr>
      <w:r w:rsidRPr="00B66A98">
        <w:rPr>
          <w:b/>
        </w:rPr>
        <w:t>2.</w:t>
      </w:r>
      <w:r>
        <w:rPr>
          <w:b/>
        </w:rPr>
        <w:t xml:space="preserve"> </w:t>
      </w:r>
      <w:r w:rsidRPr="00B66A98">
        <w:rPr>
          <w:b/>
        </w:rPr>
        <w:t xml:space="preserve">Supplementary Material and Methods  </w:t>
      </w:r>
      <w:r w:rsidRPr="00B66A98">
        <w:rPr>
          <w:b/>
          <w:szCs w:val="24"/>
        </w:rPr>
        <w:t xml:space="preserve"> </w:t>
      </w:r>
    </w:p>
    <w:p w:rsidR="002F1412" w:rsidRDefault="002F1412" w:rsidP="00B66A98">
      <w:pPr>
        <w:keepNext/>
        <w:jc w:val="both"/>
        <w:rPr>
          <w:lang w:val="en-GB"/>
        </w:rPr>
      </w:pPr>
      <w:r>
        <w:rPr>
          <w:lang w:val="en-GB"/>
        </w:rPr>
        <w:t>Cell preparation and flow cytometric analysis</w:t>
      </w:r>
    </w:p>
    <w:p w:rsidR="002F1412" w:rsidRPr="009539CB" w:rsidRDefault="002F1412" w:rsidP="00B66A98">
      <w:pPr>
        <w:keepNext/>
        <w:jc w:val="both"/>
        <w:rPr>
          <w:szCs w:val="24"/>
          <w:lang w:val="en-GB"/>
        </w:rPr>
      </w:pPr>
      <w:r w:rsidRPr="001A73A2">
        <w:rPr>
          <w:lang w:val="en-GB"/>
        </w:rPr>
        <w:t>Peripheral blood mononuclear cells (PBMCs) were prepared by Ficoll gradient centrifugation (Biochrom AG, Berlin, Germany) and resuspended  in RPMI medium supplemented with 2 mM L-glutamine, 1% non-essential amino acids, 100 U/mL penicillin, 100 µg/mL streptomycin and 10% heat-inactivated pooled human AB serum (CC Pro, Oberdorla, Germany) and stimulate</w:t>
      </w:r>
      <w:r>
        <w:rPr>
          <w:lang w:val="en-GB"/>
        </w:rPr>
        <w:t>d at 6 hours of culture with 5</w:t>
      </w:r>
      <w:r w:rsidRPr="001A73A2">
        <w:rPr>
          <w:lang w:val="en-GB"/>
        </w:rPr>
        <w:t xml:space="preserve"> </w:t>
      </w:r>
      <w:r>
        <w:rPr>
          <w:lang w:val="en-GB"/>
        </w:rPr>
        <w:t xml:space="preserve">µM R848 </w:t>
      </w:r>
      <w:r w:rsidRPr="001A73A2">
        <w:rPr>
          <w:lang w:val="en-GB"/>
        </w:rPr>
        <w:t>(</w:t>
      </w:r>
      <w:r>
        <w:rPr>
          <w:lang w:val="en-GB"/>
        </w:rPr>
        <w:t xml:space="preserve">Invivogen, Toulouse, France) </w:t>
      </w:r>
      <w:r w:rsidRPr="001A73A2">
        <w:rPr>
          <w:lang w:val="en-GB"/>
        </w:rPr>
        <w:t>) supplemented with 1 µg/ml brefeldin A (Sigma-Aldrich) to inhibit cytokine secretion and cultured for a tota</w:t>
      </w:r>
      <w:r>
        <w:rPr>
          <w:lang w:val="en-GB"/>
        </w:rPr>
        <w:t xml:space="preserve">l of 24 hours (37°C at 5% CO2). </w:t>
      </w:r>
      <w:r w:rsidRPr="009539CB">
        <w:rPr>
          <w:lang w:val="en-GB"/>
        </w:rPr>
        <w:t>For intracytoplasmic cytokine staining PBMCs first underwent cell surface sta</w:t>
      </w:r>
      <w:r>
        <w:rPr>
          <w:lang w:val="en-GB"/>
        </w:rPr>
        <w:t>ining to identify slanMo, CD1c</w:t>
      </w:r>
      <w:r w:rsidRPr="009539CB">
        <w:rPr>
          <w:vertAlign w:val="superscript"/>
          <w:lang w:val="en-GB"/>
        </w:rPr>
        <w:t>+</w:t>
      </w:r>
      <w:r>
        <w:rPr>
          <w:lang w:val="en-GB"/>
        </w:rPr>
        <w:t xml:space="preserve"> DCs</w:t>
      </w:r>
      <w:r w:rsidRPr="009539CB">
        <w:rPr>
          <w:lang w:val="en-GB"/>
        </w:rPr>
        <w:t>,</w:t>
      </w:r>
      <w:r>
        <w:rPr>
          <w:lang w:val="en-GB"/>
        </w:rPr>
        <w:t xml:space="preserve"> CD141</w:t>
      </w:r>
      <w:r w:rsidRPr="009539CB">
        <w:rPr>
          <w:vertAlign w:val="superscript"/>
          <w:lang w:val="en-GB"/>
        </w:rPr>
        <w:t>+</w:t>
      </w:r>
      <w:r>
        <w:rPr>
          <w:lang w:val="en-GB"/>
        </w:rPr>
        <w:t xml:space="preserve"> DCs and</w:t>
      </w:r>
      <w:r w:rsidRPr="009539CB">
        <w:rPr>
          <w:lang w:val="en-GB"/>
        </w:rPr>
        <w:t xml:space="preserve"> pDCs</w:t>
      </w:r>
      <w:r>
        <w:rPr>
          <w:lang w:val="en-GB"/>
        </w:rPr>
        <w:t>.</w:t>
      </w:r>
      <w:r w:rsidRPr="009539CB">
        <w:rPr>
          <w:lang w:val="en-GB"/>
        </w:rPr>
        <w:t xml:space="preserve"> Cells were fixed in fresh ice-cold 4% paraformaldehyde, and permeabilized using 0.1% saponin in PBS containing 1% FCS. For intracellular cytokine staining an anti-TNF-α mAb (clone MAb11), an anti-IL-12/23p40 mAb (clone 11.5, both BD) and respective isotype controls were used.</w:t>
      </w:r>
      <w:r>
        <w:rPr>
          <w:lang w:val="en-GB"/>
        </w:rPr>
        <w:t xml:space="preserve"> The frequency of slanMo in blood of healthy controls and AD patients was determined by flow cytometry using counting beads. </w:t>
      </w:r>
    </w:p>
    <w:p w:rsidR="002F1412" w:rsidRPr="001549D3" w:rsidRDefault="002F1412" w:rsidP="00654E8F">
      <w:pPr>
        <w:spacing w:before="240"/>
      </w:pPr>
    </w:p>
    <w:sectPr w:rsidR="002F1412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412" w:rsidRDefault="002F1412" w:rsidP="00117666">
      <w:pPr>
        <w:spacing w:after="0"/>
      </w:pPr>
      <w:r>
        <w:separator/>
      </w:r>
    </w:p>
  </w:endnote>
  <w:endnote w:type="continuationSeparator" w:id="0">
    <w:p w:rsidR="002F1412" w:rsidRDefault="002F1412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2" w:rsidRPr="00577C4C" w:rsidRDefault="002F1412">
    <w:pPr>
      <w:rPr>
        <w:color w:val="C00000"/>
        <w:szCs w:val="24"/>
      </w:rPr>
    </w:pPr>
    <w:r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304pt;margin-top:735.1pt;width:118.8pt;height:39pt;z-index:251658240;visibility:visible;mso-position-horizontal:righ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mmOg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" filled="f" stroked="f" strokeweight=".5pt">
          <v:path arrowok="t"/>
          <v:textbox style="mso-fit-shape-to-text:t">
            <w:txbxContent>
              <w:p w:rsidR="002F1412" w:rsidRPr="00C65222" w:rsidRDefault="002F1412">
                <w:pPr>
                  <w:jc w:val="right"/>
                  <w:rPr>
                    <w:color w:val="000000"/>
                    <w:szCs w:val="40"/>
                  </w:rPr>
                </w:pPr>
                <w:r w:rsidRPr="00C65222">
                  <w:rPr>
                    <w:color w:val="000000"/>
                    <w:szCs w:val="40"/>
                  </w:rPr>
                  <w:fldChar w:fldCharType="begin"/>
                </w:r>
                <w:r w:rsidRPr="00C65222">
                  <w:rPr>
                    <w:color w:val="000000"/>
                    <w:szCs w:val="40"/>
                  </w:rPr>
                  <w:instrText xml:space="preserve"> PAGE  \* Arabic  \* MERGEFORMAT </w:instrText>
                </w:r>
                <w:r w:rsidRPr="00C65222">
                  <w:rPr>
                    <w:color w:val="000000"/>
                    <w:szCs w:val="40"/>
                  </w:rPr>
                  <w:fldChar w:fldCharType="separate"/>
                </w:r>
                <w:r>
                  <w:rPr>
                    <w:noProof/>
                    <w:color w:val="000000"/>
                    <w:szCs w:val="40"/>
                  </w:rPr>
                  <w:t>2</w:t>
                </w:r>
                <w:r w:rsidRPr="00C65222">
                  <w:rPr>
                    <w:color w:val="000000"/>
                    <w:szCs w:val="40"/>
                  </w:rPr>
                  <w:fldChar w:fldCharType="end"/>
                </w:r>
              </w:p>
            </w:txbxContent>
          </v:textbox>
          <w10:wrap anchorx="margin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2" w:rsidRPr="00577C4C" w:rsidRDefault="002F1412">
    <w:pPr>
      <w:rPr>
        <w:b/>
        <w:sz w:val="20"/>
        <w:szCs w:val="24"/>
      </w:rPr>
    </w:pPr>
    <w:r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50" type="#_x0000_t202" style="position:absolute;margin-left:304pt;margin-top:735.1pt;width:118.8pt;height:39pt;z-index:251657216;visibility:visible;mso-position-horizontal:righ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" filled="f" stroked="f" strokeweight=".5pt">
          <v:path arrowok="t"/>
          <v:textbox style="mso-fit-shape-to-text:t">
            <w:txbxContent>
              <w:p w:rsidR="002F1412" w:rsidRPr="00C65222" w:rsidRDefault="002F1412">
                <w:pPr>
                  <w:jc w:val="right"/>
                  <w:rPr>
                    <w:color w:val="000000"/>
                    <w:szCs w:val="40"/>
                  </w:rPr>
                </w:pPr>
                <w:r w:rsidRPr="00C65222">
                  <w:rPr>
                    <w:color w:val="000000"/>
                    <w:szCs w:val="40"/>
                  </w:rPr>
                  <w:fldChar w:fldCharType="begin"/>
                </w:r>
                <w:r w:rsidRPr="00C65222">
                  <w:rPr>
                    <w:color w:val="000000"/>
                    <w:szCs w:val="40"/>
                  </w:rPr>
                  <w:instrText xml:space="preserve"> PAGE  \* Arabic  \* MERGEFORMAT </w:instrText>
                </w:r>
                <w:r w:rsidRPr="00C65222">
                  <w:rPr>
                    <w:color w:val="000000"/>
                    <w:szCs w:val="40"/>
                  </w:rPr>
                  <w:fldChar w:fldCharType="separate"/>
                </w:r>
                <w:r>
                  <w:rPr>
                    <w:noProof/>
                    <w:color w:val="000000"/>
                    <w:szCs w:val="40"/>
                  </w:rPr>
                  <w:t>3</w:t>
                </w:r>
                <w:r w:rsidRPr="00C65222">
                  <w:rPr>
                    <w:color w:val="000000"/>
                    <w:szCs w:val="40"/>
                  </w:rPr>
                  <w:fldChar w:fldCharType="end"/>
                </w:r>
              </w:p>
            </w:txbxContent>
          </v:textbox>
          <w10:wrap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412" w:rsidRDefault="002F1412" w:rsidP="00117666">
      <w:pPr>
        <w:spacing w:after="0"/>
      </w:pPr>
      <w:r>
        <w:separator/>
      </w:r>
    </w:p>
  </w:footnote>
  <w:footnote w:type="continuationSeparator" w:id="0">
    <w:p w:rsidR="002F1412" w:rsidRDefault="002F1412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2" w:rsidRPr="009151AA" w:rsidRDefault="002F1412" w:rsidP="00C65222">
    <w:pPr>
      <w:jc w:val="right"/>
    </w:pPr>
    <w:r w:rsidRPr="009151AA">
      <w:t>Supplementary Material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12" w:rsidRDefault="002F1412" w:rsidP="00C65222">
    <w:pPr>
      <w:tabs>
        <w:tab w:val="center" w:pos="4888"/>
      </w:tabs>
    </w:pPr>
    <w:r w:rsidRPr="00721A3E">
      <w:rPr>
        <w:b/>
        <w:noProof/>
        <w:color w:val="A6A6A6"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i1026" type="#_x0000_t75" style="width:107.25pt;height:36pt;visibility:visible">
          <v:imagedata r:id="rId1" o:title=""/>
        </v:shape>
      </w:pict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rPr>
        <w:rFonts w:cs="Times New Roman" w:hint="default"/>
        <w:b/>
      </w:rPr>
    </w:lvl>
    <w:lvl w:ilvl="1">
      <w:start w:val="1"/>
      <w:numFmt w:val="decimal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rPr>
        <w:rFonts w:cs="Times New Roman" w:hint="default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9760C"/>
    <w:multiLevelType w:val="hybridMultilevel"/>
    <w:tmpl w:val="A7FAA8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DA3D03"/>
    <w:multiLevelType w:val="hybridMultilevel"/>
    <w:tmpl w:val="D0CEE9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9B520C"/>
    <w:multiLevelType w:val="hybridMultilevel"/>
    <w:tmpl w:val="5178FB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7"/>
  </w:num>
  <w:num w:numId="21">
    <w:abstractNumId w:val="2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6A98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91D9C"/>
    <w:rsid w:val="001A73A2"/>
    <w:rsid w:val="001D1AD1"/>
    <w:rsid w:val="001E2675"/>
    <w:rsid w:val="00246856"/>
    <w:rsid w:val="00262333"/>
    <w:rsid w:val="00267D18"/>
    <w:rsid w:val="002868E2"/>
    <w:rsid w:val="002869C3"/>
    <w:rsid w:val="002936E4"/>
    <w:rsid w:val="002B4A57"/>
    <w:rsid w:val="002C74CA"/>
    <w:rsid w:val="002D1D51"/>
    <w:rsid w:val="002F1412"/>
    <w:rsid w:val="003544FB"/>
    <w:rsid w:val="00376CC5"/>
    <w:rsid w:val="003D2F2D"/>
    <w:rsid w:val="00401590"/>
    <w:rsid w:val="0044137B"/>
    <w:rsid w:val="00447801"/>
    <w:rsid w:val="00452E9C"/>
    <w:rsid w:val="0046534B"/>
    <w:rsid w:val="004735C8"/>
    <w:rsid w:val="0047616A"/>
    <w:rsid w:val="00476A82"/>
    <w:rsid w:val="00495570"/>
    <w:rsid w:val="004961FF"/>
    <w:rsid w:val="004E766E"/>
    <w:rsid w:val="00517A89"/>
    <w:rsid w:val="005250F2"/>
    <w:rsid w:val="00545567"/>
    <w:rsid w:val="00556E23"/>
    <w:rsid w:val="00577C4C"/>
    <w:rsid w:val="00593EEA"/>
    <w:rsid w:val="005A5EEE"/>
    <w:rsid w:val="005C02AB"/>
    <w:rsid w:val="005D78E3"/>
    <w:rsid w:val="005E21AE"/>
    <w:rsid w:val="006375C7"/>
    <w:rsid w:val="00654E8F"/>
    <w:rsid w:val="00660D05"/>
    <w:rsid w:val="006820B1"/>
    <w:rsid w:val="006B7D14"/>
    <w:rsid w:val="006C6716"/>
    <w:rsid w:val="006F798B"/>
    <w:rsid w:val="00701727"/>
    <w:rsid w:val="0070566C"/>
    <w:rsid w:val="00714C50"/>
    <w:rsid w:val="00721A3E"/>
    <w:rsid w:val="00725A7D"/>
    <w:rsid w:val="00744506"/>
    <w:rsid w:val="007473E9"/>
    <w:rsid w:val="007501BE"/>
    <w:rsid w:val="00790BB3"/>
    <w:rsid w:val="007C206C"/>
    <w:rsid w:val="007E0235"/>
    <w:rsid w:val="00817DD6"/>
    <w:rsid w:val="00851661"/>
    <w:rsid w:val="00885156"/>
    <w:rsid w:val="00891D54"/>
    <w:rsid w:val="008D059B"/>
    <w:rsid w:val="008E5D59"/>
    <w:rsid w:val="009151AA"/>
    <w:rsid w:val="0093429D"/>
    <w:rsid w:val="00943573"/>
    <w:rsid w:val="009539CB"/>
    <w:rsid w:val="00970F7D"/>
    <w:rsid w:val="00994A3D"/>
    <w:rsid w:val="00995F6A"/>
    <w:rsid w:val="009B3A36"/>
    <w:rsid w:val="009C2B12"/>
    <w:rsid w:val="009D3F2A"/>
    <w:rsid w:val="00A12C4C"/>
    <w:rsid w:val="00A174D9"/>
    <w:rsid w:val="00A545C6"/>
    <w:rsid w:val="00AB6715"/>
    <w:rsid w:val="00AE68B2"/>
    <w:rsid w:val="00AF4D67"/>
    <w:rsid w:val="00B1671E"/>
    <w:rsid w:val="00B25EB8"/>
    <w:rsid w:val="00B37F4D"/>
    <w:rsid w:val="00B53BF9"/>
    <w:rsid w:val="00B66A98"/>
    <w:rsid w:val="00C101F6"/>
    <w:rsid w:val="00C52A7B"/>
    <w:rsid w:val="00C56BAF"/>
    <w:rsid w:val="00C65222"/>
    <w:rsid w:val="00C679AA"/>
    <w:rsid w:val="00C7114B"/>
    <w:rsid w:val="00C75972"/>
    <w:rsid w:val="00C84CF0"/>
    <w:rsid w:val="00CD066B"/>
    <w:rsid w:val="00CE4FEE"/>
    <w:rsid w:val="00CF3D99"/>
    <w:rsid w:val="00CF5C1E"/>
    <w:rsid w:val="00DA13E6"/>
    <w:rsid w:val="00DB59C3"/>
    <w:rsid w:val="00DC259A"/>
    <w:rsid w:val="00DC40A8"/>
    <w:rsid w:val="00DE23E8"/>
    <w:rsid w:val="00DF66C6"/>
    <w:rsid w:val="00E174FE"/>
    <w:rsid w:val="00E52377"/>
    <w:rsid w:val="00E64E17"/>
    <w:rsid w:val="00E67335"/>
    <w:rsid w:val="00E866C9"/>
    <w:rsid w:val="00EA3D3C"/>
    <w:rsid w:val="00F46900"/>
    <w:rsid w:val="00F61D89"/>
    <w:rsid w:val="00F71775"/>
    <w:rsid w:val="00F73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9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="SimSun"/>
      <w:b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B6715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B6715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B6715"/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B6715"/>
    <w:rPr>
      <w:rFonts w:ascii="Times New Roman" w:eastAsia="SimSun" w:hAnsi="Times New Roman" w:cs="Times New Roman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B6715"/>
    <w:rPr>
      <w:rFonts w:ascii="Times New Roman" w:eastAsia="SimSun" w:hAnsi="Times New Roman" w:cs="Times New Roman"/>
      <w:b/>
      <w:iCs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AB6715"/>
    <w:pPr>
      <w:spacing w:before="240"/>
    </w:pPr>
    <w:rPr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99"/>
    <w:rsid w:val="00AB6715"/>
  </w:style>
  <w:style w:type="paragraph" w:styleId="BalloonText">
    <w:name w:val="Balloon Text"/>
    <w:basedOn w:val="Normal"/>
    <w:link w:val="BalloonTextChar"/>
    <w:uiPriority w:val="99"/>
    <w:semiHidden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99"/>
    <w:qFormat/>
    <w:rsid w:val="00AB6715"/>
    <w:rPr>
      <w:rFonts w:ascii="Times New Roman" w:hAnsi="Times New Roman" w:cs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99"/>
    <w:qFormat/>
    <w:rsid w:val="00AB6715"/>
    <w:pPr>
      <w:keepNext/>
    </w:pPr>
    <w:rPr>
      <w:b/>
      <w:bCs/>
      <w:szCs w:val="24"/>
    </w:rPr>
  </w:style>
  <w:style w:type="paragraph" w:styleId="NoSpacing">
    <w:name w:val="No Spacing"/>
    <w:uiPriority w:val="99"/>
    <w:qFormat/>
    <w:rsid w:val="00AB6715"/>
    <w:rPr>
      <w:rFonts w:ascii="Times New Roman" w:hAnsi="Times New Roman"/>
      <w:sz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rsid w:val="00AB671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B671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B6715"/>
    <w:rPr>
      <w:b/>
      <w:bCs/>
    </w:rPr>
  </w:style>
  <w:style w:type="character" w:styleId="Emphasis">
    <w:name w:val="Emphasis"/>
    <w:basedOn w:val="DefaultParagraphFont"/>
    <w:uiPriority w:val="99"/>
    <w:qFormat/>
    <w:rsid w:val="00AB6715"/>
    <w:rPr>
      <w:rFonts w:ascii="Times New Roman" w:hAnsi="Times New Roman" w:cs="Times New Roman"/>
      <w:i/>
      <w:iCs/>
    </w:rPr>
  </w:style>
  <w:style w:type="character" w:styleId="EndnoteReference">
    <w:name w:val="endnote reference"/>
    <w:basedOn w:val="DefaultParagraphFont"/>
    <w:uiPriority w:val="99"/>
    <w:semiHidden/>
    <w:rsid w:val="00AB6715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AB6715"/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AB6715"/>
    <w:rPr>
      <w:rFonts w:cs="Times New Roman"/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B6715"/>
    <w:rPr>
      <w:rFonts w:ascii="Times New Roman" w:hAnsi="Times New Roman" w:cs="Times New Roman"/>
      <w:sz w:val="24"/>
    </w:rPr>
  </w:style>
  <w:style w:type="character" w:styleId="FootnoteReference">
    <w:name w:val="footnote reference"/>
    <w:basedOn w:val="DefaultParagraphFont"/>
    <w:uiPriority w:val="99"/>
    <w:semiHidden/>
    <w:rsid w:val="00AB6715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B6715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6715"/>
    <w:rPr>
      <w:rFonts w:ascii="Times New Roman" w:hAnsi="Times New Roman" w:cs="Times New Roman"/>
      <w:b/>
      <w:sz w:val="24"/>
    </w:rPr>
  </w:style>
  <w:style w:type="paragraph" w:styleId="ListParagraph">
    <w:name w:val="List Paragraph"/>
    <w:basedOn w:val="Normal"/>
    <w:uiPriority w:val="99"/>
    <w:qFormat/>
    <w:rsid w:val="00AB6715"/>
    <w:pPr>
      <w:numPr>
        <w:numId w:val="13"/>
      </w:numPr>
      <w:contextualSpacing/>
    </w:pPr>
    <w:rPr>
      <w:szCs w:val="24"/>
    </w:rPr>
  </w:style>
  <w:style w:type="character" w:styleId="Hyperlink">
    <w:name w:val="Hyperlink"/>
    <w:basedOn w:val="DefaultParagraphFont"/>
    <w:uiPriority w:val="99"/>
    <w:rsid w:val="00AB6715"/>
    <w:rPr>
      <w:rFonts w:cs="Times New Roman"/>
      <w:color w:val="0000FF"/>
      <w:u w:val="single"/>
    </w:rPr>
  </w:style>
  <w:style w:type="character" w:styleId="IntenseEmphasis">
    <w:name w:val="Intense Emphasis"/>
    <w:basedOn w:val="DefaultParagraphFont"/>
    <w:uiPriority w:val="99"/>
    <w:qFormat/>
    <w:rsid w:val="00AB6715"/>
    <w:rPr>
      <w:rFonts w:ascii="Times New Roman" w:hAnsi="Times New Roman" w:cs="Times New Roman"/>
      <w:i/>
      <w:iCs/>
      <w:color w:val="auto"/>
    </w:rPr>
  </w:style>
  <w:style w:type="character" w:styleId="IntenseReference">
    <w:name w:val="Intense Reference"/>
    <w:basedOn w:val="DefaultParagraphFont"/>
    <w:uiPriority w:val="99"/>
    <w:qFormat/>
    <w:rsid w:val="00AB6715"/>
    <w:rPr>
      <w:rFonts w:cs="Times New Roman"/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rsid w:val="00AB6715"/>
    <w:rPr>
      <w:rFonts w:cs="Times New Roman"/>
    </w:rPr>
  </w:style>
  <w:style w:type="paragraph" w:styleId="NormalWeb">
    <w:name w:val="Normal (Web)"/>
    <w:basedOn w:val="Normal"/>
    <w:uiPriority w:val="99"/>
    <w:rsid w:val="00AB6715"/>
    <w:pPr>
      <w:spacing w:before="100" w:beforeAutospacing="1" w:after="100" w:afterAutospacing="1"/>
    </w:pPr>
    <w:rPr>
      <w:rFonts w:eastAsia="Times New Roman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AB671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AB6715"/>
    <w:rPr>
      <w:rFonts w:ascii="Times New Roman" w:hAnsi="Times New Roman" w:cs="Times New Roman"/>
      <w:i/>
      <w:iCs/>
      <w:color w:val="404040"/>
      <w:sz w:val="24"/>
    </w:rPr>
  </w:style>
  <w:style w:type="character" w:styleId="Strong">
    <w:name w:val="Strong"/>
    <w:basedOn w:val="DefaultParagraphFont"/>
    <w:uiPriority w:val="99"/>
    <w:qFormat/>
    <w:rsid w:val="00AB6715"/>
    <w:rPr>
      <w:rFonts w:ascii="Times New Roman" w:hAnsi="Times New Roman" w:cs="Times New Roman"/>
      <w:b/>
      <w:bCs/>
    </w:rPr>
  </w:style>
  <w:style w:type="character" w:styleId="SubtleEmphasis">
    <w:name w:val="Subtle Emphasis"/>
    <w:basedOn w:val="DefaultParagraphFont"/>
    <w:uiPriority w:val="99"/>
    <w:qFormat/>
    <w:rsid w:val="00AB6715"/>
    <w:rPr>
      <w:rFonts w:ascii="Times New Roman" w:hAnsi="Times New Roman" w:cs="Times New Roman"/>
      <w:i/>
      <w:iCs/>
      <w:color w:val="404040"/>
    </w:rPr>
  </w:style>
  <w:style w:type="table" w:styleId="TableGrid">
    <w:name w:val="Table Grid"/>
    <w:basedOn w:val="TableNormal"/>
    <w:uiPriority w:val="99"/>
    <w:rsid w:val="00AB6715"/>
    <w:rPr>
      <w:rFonts w:ascii="Cambria" w:hAnsi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uiPriority w:val="99"/>
    <w:rsid w:val="0001436A"/>
    <w:pPr>
      <w:spacing w:after="120"/>
    </w:pPr>
    <w:rPr>
      <w:i/>
    </w:rPr>
  </w:style>
  <w:style w:type="numbering" w:customStyle="1" w:styleId="Headings">
    <w:name w:val="Headings"/>
    <w:rsid w:val="00074679"/>
    <w:pPr>
      <w:numPr>
        <w:numId w:val="1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06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Temp1_Frontiers_Supplementary_Material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518</Words>
  <Characters>3268</Characters>
  <Application>Microsoft Office Outlook</Application>
  <DocSecurity>0</DocSecurity>
  <Lines>0</Lines>
  <Paragraphs>0</Paragraphs>
  <ScaleCrop>false</ScaleCrop>
  <Company>Universitätsklinikum Heidelberg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</dc:title>
  <dc:subject/>
  <dc:creator>Zhang, Hao</dc:creator>
  <cp:keywords/>
  <dc:description/>
  <cp:lastModifiedBy>Steffi</cp:lastModifiedBy>
  <cp:revision>3</cp:revision>
  <cp:lastPrinted>2018-05-15T13:16:00Z</cp:lastPrinted>
  <dcterms:created xsi:type="dcterms:W3CDTF">2018-05-19T15:34:00Z</dcterms:created>
  <dcterms:modified xsi:type="dcterms:W3CDTF">2018-05-19T15:34:00Z</dcterms:modified>
</cp:coreProperties>
</file>