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A3" w:rsidRPr="00850601" w:rsidRDefault="00850601">
      <w:pPr>
        <w:rPr>
          <w:rFonts w:ascii="Times New Roman" w:hAnsi="Times New Roman"/>
          <w:sz w:val="24"/>
          <w:szCs w:val="24"/>
          <w:lang w:val="en-US"/>
        </w:rPr>
      </w:pPr>
      <w:r w:rsidRPr="00850601">
        <w:rPr>
          <w:rFonts w:ascii="Times New Roman" w:hAnsi="Times New Roman"/>
          <w:sz w:val="24"/>
          <w:szCs w:val="24"/>
          <w:lang w:val="en-US"/>
        </w:rPr>
        <w:t>Supplement</w:t>
      </w:r>
    </w:p>
    <w:p w:rsidR="00850601" w:rsidRDefault="00850601" w:rsidP="008506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de-DE"/>
        </w:rPr>
      </w:pPr>
      <w:r w:rsidRPr="00850601">
        <w:rPr>
          <w:rFonts w:ascii="Times New Roman" w:hAnsi="Times New Roman"/>
          <w:sz w:val="24"/>
          <w:szCs w:val="24"/>
          <w:lang w:val="en-US"/>
        </w:rPr>
        <w:t>Table 1</w:t>
      </w:r>
      <w:r w:rsidRPr="00850601">
        <w:rPr>
          <w:rFonts w:ascii="Times New Roman" w:hAnsi="Times New Roman"/>
          <w:sz w:val="24"/>
          <w:szCs w:val="24"/>
          <w:lang w:val="en-US" w:eastAsia="de-DE"/>
        </w:rPr>
        <w:t xml:space="preserve"> Fatty acid co</w:t>
      </w:r>
      <w:r>
        <w:rPr>
          <w:rFonts w:ascii="Times New Roman" w:hAnsi="Times New Roman"/>
          <w:sz w:val="24"/>
          <w:szCs w:val="24"/>
          <w:lang w:val="en-US" w:eastAsia="de-DE"/>
        </w:rPr>
        <w:t>ntent</w:t>
      </w:r>
      <w:r w:rsidRPr="00850601">
        <w:rPr>
          <w:rFonts w:ascii="Times New Roman" w:hAnsi="Times New Roman"/>
          <w:sz w:val="24"/>
          <w:szCs w:val="24"/>
          <w:lang w:val="en-US" w:eastAsia="de-DE"/>
        </w:rPr>
        <w:t xml:space="preserve"> of </w:t>
      </w:r>
      <w:r>
        <w:rPr>
          <w:rFonts w:ascii="Times New Roman" w:hAnsi="Times New Roman"/>
          <w:sz w:val="24"/>
          <w:szCs w:val="24"/>
          <w:lang w:val="en-US" w:eastAsia="de-DE"/>
        </w:rPr>
        <w:t xml:space="preserve">the green </w:t>
      </w:r>
      <w:r w:rsidRPr="00850601">
        <w:rPr>
          <w:rFonts w:ascii="Times New Roman" w:hAnsi="Times New Roman"/>
          <w:sz w:val="24"/>
          <w:szCs w:val="24"/>
          <w:lang w:val="en-US" w:eastAsia="de-DE"/>
        </w:rPr>
        <w:t>alga</w:t>
      </w:r>
      <w:r>
        <w:rPr>
          <w:rFonts w:ascii="Times New Roman" w:hAnsi="Times New Roman"/>
          <w:sz w:val="24"/>
          <w:szCs w:val="24"/>
          <w:lang w:val="en-US" w:eastAsia="de-DE"/>
        </w:rPr>
        <w:t xml:space="preserve"> </w:t>
      </w:r>
      <w:r w:rsidRPr="00850601">
        <w:rPr>
          <w:rFonts w:ascii="Times New Roman" w:hAnsi="Times New Roman"/>
          <w:i/>
          <w:sz w:val="24"/>
          <w:szCs w:val="24"/>
          <w:lang w:val="en-US" w:eastAsia="de-DE"/>
        </w:rPr>
        <w:t xml:space="preserve">Chlamydomonas </w:t>
      </w:r>
      <w:proofErr w:type="spellStart"/>
      <w:r w:rsidRPr="00850601">
        <w:rPr>
          <w:rFonts w:ascii="Times New Roman" w:hAnsi="Times New Roman"/>
          <w:i/>
          <w:sz w:val="24"/>
          <w:szCs w:val="24"/>
          <w:lang w:val="en-US" w:eastAsia="de-DE"/>
        </w:rPr>
        <w:t>klinobasis</w:t>
      </w:r>
      <w:proofErr w:type="spellEnd"/>
      <w:r>
        <w:rPr>
          <w:rFonts w:ascii="Times New Roman" w:hAnsi="Times New Roman"/>
          <w:sz w:val="24"/>
          <w:szCs w:val="24"/>
          <w:lang w:val="en-US" w:eastAsia="de-DE"/>
        </w:rPr>
        <w:t xml:space="preserve"> grown in continuous cultures at 15°C, 20°C and 25°C.</w:t>
      </w:r>
      <w:r w:rsidRPr="00850601">
        <w:rPr>
          <w:rFonts w:ascii="Times New Roman" w:hAnsi="Times New Roman"/>
          <w:sz w:val="24"/>
          <w:szCs w:val="24"/>
          <w:lang w:val="en-US" w:eastAsia="de-DE"/>
        </w:rPr>
        <w:t xml:space="preserve"> Fatty acid concentrations are given as</w:t>
      </w:r>
      <w:r>
        <w:rPr>
          <w:rFonts w:ascii="Times New Roman" w:hAnsi="Times New Roman"/>
          <w:sz w:val="24"/>
          <w:szCs w:val="24"/>
          <w:lang w:val="en-US" w:eastAsia="de-DE"/>
        </w:rPr>
        <w:t xml:space="preserve"> </w:t>
      </w:r>
      <w:r w:rsidRPr="00850601">
        <w:rPr>
          <w:rFonts w:ascii="Times New Roman" w:hAnsi="Times New Roman"/>
          <w:sz w:val="24"/>
          <w:szCs w:val="24"/>
          <w:lang w:val="en-US" w:eastAsia="de-DE"/>
        </w:rPr>
        <w:t>amount per biomass (determined as particulate organic carbon, POC). The values are means of independent extractions</w:t>
      </w:r>
      <w:r>
        <w:rPr>
          <w:rFonts w:ascii="Times New Roman" w:hAnsi="Times New Roman"/>
          <w:sz w:val="24"/>
          <w:szCs w:val="24"/>
          <w:lang w:val="en-US" w:eastAsia="de-DE"/>
        </w:rPr>
        <w:t>, SE</w:t>
      </w:r>
      <w:r w:rsidRPr="00850601">
        <w:rPr>
          <w:rFonts w:ascii="Times New Roman" w:hAnsi="Times New Roman"/>
          <w:sz w:val="24"/>
          <w:szCs w:val="24"/>
          <w:lang w:val="en-US" w:eastAsia="de-DE"/>
        </w:rPr>
        <w:t xml:space="preserve"> is given in brackets. Only detected fatty acids are given</w:t>
      </w:r>
      <w:r>
        <w:rPr>
          <w:rFonts w:ascii="Times New Roman" w:hAnsi="Times New Roman"/>
          <w:sz w:val="24"/>
          <w:szCs w:val="24"/>
          <w:lang w:val="en-US" w:eastAsia="de-DE"/>
        </w:rPr>
        <w:t>.</w:t>
      </w:r>
    </w:p>
    <w:p w:rsidR="00850601" w:rsidRPr="00850601" w:rsidRDefault="00850601" w:rsidP="008506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526"/>
        <w:gridCol w:w="1701"/>
        <w:gridCol w:w="1701"/>
        <w:gridCol w:w="1701"/>
      </w:tblGrid>
      <w:tr w:rsidR="00FA0379" w:rsidRPr="009C775D" w:rsidTr="00FA0379">
        <w:tc>
          <w:tcPr>
            <w:tcW w:w="15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A0379" w:rsidRPr="00850601" w:rsidRDefault="00FA0379">
            <w:pPr>
              <w:rPr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A0379" w:rsidRPr="00850601" w:rsidRDefault="00FA0379" w:rsidP="008506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601">
              <w:rPr>
                <w:rFonts w:ascii="Times New Roman" w:hAnsi="Times New Roman"/>
                <w:sz w:val="24"/>
                <w:szCs w:val="24"/>
                <w:lang w:val="en-US" w:eastAsia="de-DE"/>
              </w:rPr>
              <w:t>Mean concentration of fatty acid [µg/mg POC] (SE)</w:t>
            </w:r>
          </w:p>
        </w:tc>
      </w:tr>
      <w:tr w:rsidR="00FA0379" w:rsidTr="00FA03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A0379" w:rsidRPr="00FA0379" w:rsidRDefault="00FA03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379">
              <w:rPr>
                <w:rFonts w:ascii="Times New Roman" w:hAnsi="Times New Roman"/>
                <w:sz w:val="24"/>
                <w:szCs w:val="24"/>
              </w:rPr>
              <w:t>Fatty</w:t>
            </w:r>
            <w:proofErr w:type="spellEnd"/>
            <w:r w:rsidRPr="00FA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379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A0379" w:rsidRPr="00FA0379" w:rsidRDefault="00FA03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379">
              <w:rPr>
                <w:rFonts w:ascii="Times New Roman" w:hAnsi="Times New Roman"/>
                <w:sz w:val="24"/>
                <w:szCs w:val="24"/>
              </w:rPr>
              <w:t>Grown</w:t>
            </w:r>
            <w:proofErr w:type="spellEnd"/>
            <w:r w:rsidRPr="00FA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379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FA0379">
              <w:rPr>
                <w:rFonts w:ascii="Times New Roman" w:hAnsi="Times New Roman"/>
                <w:sz w:val="24"/>
                <w:szCs w:val="24"/>
              </w:rPr>
              <w:t xml:space="preserve"> 15°C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A0379" w:rsidRPr="00FA0379" w:rsidRDefault="00FA0379" w:rsidP="00850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379">
              <w:rPr>
                <w:rFonts w:ascii="Times New Roman" w:hAnsi="Times New Roman"/>
                <w:sz w:val="24"/>
                <w:szCs w:val="24"/>
              </w:rPr>
              <w:t>Grown</w:t>
            </w:r>
            <w:proofErr w:type="spellEnd"/>
            <w:r w:rsidRPr="00FA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379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FA0379">
              <w:rPr>
                <w:rFonts w:ascii="Times New Roman" w:hAnsi="Times New Roman"/>
                <w:sz w:val="24"/>
                <w:szCs w:val="24"/>
              </w:rPr>
              <w:t xml:space="preserve"> 20°C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A0379" w:rsidRPr="00FA0379" w:rsidRDefault="00FA0379" w:rsidP="00850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379">
              <w:rPr>
                <w:rFonts w:ascii="Times New Roman" w:hAnsi="Times New Roman"/>
                <w:sz w:val="24"/>
                <w:szCs w:val="24"/>
              </w:rPr>
              <w:t>Grown</w:t>
            </w:r>
            <w:proofErr w:type="spellEnd"/>
            <w:r w:rsidRPr="00FA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379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FA0379">
              <w:rPr>
                <w:rFonts w:ascii="Times New Roman" w:hAnsi="Times New Roman"/>
                <w:sz w:val="24"/>
                <w:szCs w:val="24"/>
              </w:rPr>
              <w:t xml:space="preserve"> 25°C</w:t>
            </w:r>
          </w:p>
        </w:tc>
      </w:tr>
      <w:tr w:rsidR="00FA0379" w:rsidTr="00FA03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C 14:0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4.19 (0.06)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4.70 (0.52)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4.37 (0.01)</w:t>
            </w:r>
          </w:p>
        </w:tc>
      </w:tr>
      <w:tr w:rsidR="00FA0379" w:rsidTr="00FA03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C 14:1 n-9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2.09 (0.07)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2.38 (0.19)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2.07 (0.03)</w:t>
            </w:r>
          </w:p>
        </w:tc>
      </w:tr>
      <w:tr w:rsidR="00FA0379" w:rsidTr="00FA03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C 16:0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18.22 (0.12)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19.75 (0.26)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17.77 (0.09)</w:t>
            </w:r>
          </w:p>
        </w:tc>
      </w:tr>
      <w:tr w:rsidR="00FA0379" w:rsidTr="00FA03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C 16:1 n-9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1.87 (0.38)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2.58 (0.68)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2.22 (0.69)</w:t>
            </w:r>
          </w:p>
        </w:tc>
      </w:tr>
      <w:tr w:rsidR="00FA0379" w:rsidTr="00FA03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850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 16:4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9.49 (0.15)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11.96 (0.19)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8.93 (0.08)</w:t>
            </w:r>
          </w:p>
        </w:tc>
      </w:tr>
      <w:tr w:rsidR="00FA0379" w:rsidTr="00FA03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C 18:0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1.07 (0.08)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1.08 (0.01)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0.77 (0.00)</w:t>
            </w:r>
          </w:p>
        </w:tc>
      </w:tr>
      <w:tr w:rsidR="00FA0379" w:rsidTr="00FA03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C 18:1 n-9 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12.41 (0.10)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11.67 (0.23)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10.00 (0.08)</w:t>
            </w:r>
          </w:p>
        </w:tc>
      </w:tr>
      <w:tr w:rsidR="00FA0379" w:rsidTr="00FA03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C 18:1 n-7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2.33 (0.02)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6.07 (0.10)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5.18 (0.02)</w:t>
            </w:r>
          </w:p>
        </w:tc>
      </w:tr>
      <w:tr w:rsidR="00FA0379" w:rsidTr="00FA03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C 18:2 n-6 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1.32 (0.01)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3.55 (0.08)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3.53 (0.03)</w:t>
            </w:r>
          </w:p>
        </w:tc>
      </w:tr>
      <w:tr w:rsidR="00FA0379" w:rsidTr="00FA0379">
        <w:tc>
          <w:tcPr>
            <w:tcW w:w="15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A0379" w:rsidRPr="00FA0379" w:rsidRDefault="00FA03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C 18:3 n-3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63.90 (0.98)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71.52 (2.03)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A0379" w:rsidRPr="00FA0379" w:rsidRDefault="00FA0379" w:rsidP="00FA03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379">
              <w:rPr>
                <w:rFonts w:ascii="Times New Roman" w:hAnsi="Times New Roman"/>
                <w:color w:val="000000"/>
                <w:sz w:val="24"/>
                <w:szCs w:val="24"/>
              </w:rPr>
              <w:t>56.96 (1.33)</w:t>
            </w:r>
          </w:p>
        </w:tc>
      </w:tr>
    </w:tbl>
    <w:p w:rsidR="00850601" w:rsidRDefault="00850601"/>
    <w:p w:rsidR="00FA0379" w:rsidRDefault="00FA0379">
      <w:pPr>
        <w:spacing w:after="0" w:line="240" w:lineRule="auto"/>
      </w:pPr>
    </w:p>
    <w:sectPr w:rsidR="00FA0379" w:rsidSect="001B5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0601"/>
    <w:rsid w:val="0012626E"/>
    <w:rsid w:val="001B59A3"/>
    <w:rsid w:val="00235F6A"/>
    <w:rsid w:val="004641B7"/>
    <w:rsid w:val="0053525D"/>
    <w:rsid w:val="00850601"/>
    <w:rsid w:val="009C775D"/>
    <w:rsid w:val="00C76E38"/>
    <w:rsid w:val="00EF68BC"/>
    <w:rsid w:val="00FA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25D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352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de-DE"/>
    </w:rPr>
  </w:style>
  <w:style w:type="paragraph" w:styleId="berschrift5">
    <w:name w:val="heading 5"/>
    <w:basedOn w:val="Standard"/>
    <w:link w:val="berschrift5Zchn"/>
    <w:uiPriority w:val="99"/>
    <w:qFormat/>
    <w:rsid w:val="0053525D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53525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53525D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53525D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50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795</Characters>
  <Application>Microsoft Office Word</Application>
  <DocSecurity>0</DocSecurity>
  <Lines>12</Lines>
  <Paragraphs>2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3</cp:revision>
  <dcterms:created xsi:type="dcterms:W3CDTF">2018-04-09T12:36:00Z</dcterms:created>
  <dcterms:modified xsi:type="dcterms:W3CDTF">2018-04-09T12:36:00Z</dcterms:modified>
</cp:coreProperties>
</file>