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9C3" w:rsidRDefault="004D79C3" w:rsidP="004D79C3">
      <w:pPr>
        <w:outlineLvl w:val="0"/>
        <w:rPr>
          <w:rFonts w:ascii="Arial" w:hAnsi="Arial" w:cs="Arial"/>
          <w:b/>
          <w:sz w:val="28"/>
        </w:rPr>
      </w:pPr>
      <w:r>
        <w:rPr>
          <w:rFonts w:ascii="Arial" w:hAnsi="Arial" w:cs="Arial"/>
          <w:b/>
          <w:sz w:val="28"/>
        </w:rPr>
        <w:t>Appendix</w:t>
      </w:r>
    </w:p>
    <w:p w:rsidR="004D79C3" w:rsidRDefault="004D79C3" w:rsidP="004D79C3">
      <w:pPr>
        <w:outlineLvl w:val="0"/>
        <w:rPr>
          <w:rFonts w:ascii="Arial" w:hAnsi="Arial" w:cs="Arial"/>
          <w:b/>
          <w:sz w:val="28"/>
        </w:rPr>
      </w:pPr>
      <w:r>
        <w:rPr>
          <w:rFonts w:ascii="Arial" w:hAnsi="Arial" w:cs="Arial"/>
          <w:b/>
          <w:sz w:val="28"/>
        </w:rPr>
        <w:t>Appendix A: Supplementary health methods</w:t>
      </w:r>
    </w:p>
    <w:p w:rsidR="004D79C3" w:rsidRDefault="004D79C3" w:rsidP="004D79C3">
      <w:pPr>
        <w:rPr>
          <w:rFonts w:ascii="Arial" w:hAnsi="Arial" w:cs="Arial"/>
          <w:b/>
          <w:sz w:val="28"/>
        </w:rPr>
      </w:pPr>
    </w:p>
    <w:p w:rsidR="004D79C3" w:rsidRPr="008D2AA0" w:rsidRDefault="004D79C3" w:rsidP="004D79C3">
      <w:pPr>
        <w:spacing w:line="480" w:lineRule="auto"/>
        <w:rPr>
          <w:rFonts w:ascii="Arial" w:hAnsi="Arial" w:cs="Arial"/>
        </w:rPr>
      </w:pPr>
      <w:r w:rsidRPr="008D2AA0">
        <w:rPr>
          <w:rFonts w:ascii="Arial" w:hAnsi="Arial" w:cs="Arial"/>
        </w:rPr>
        <w:t xml:space="preserve">Health methods were based on a similar methodology to that applied in by </w:t>
      </w:r>
      <w:proofErr w:type="spellStart"/>
      <w:r w:rsidRPr="008D2AA0">
        <w:rPr>
          <w:rFonts w:ascii="Arial" w:hAnsi="Arial" w:cs="Arial"/>
        </w:rPr>
        <w:t>Springmann</w:t>
      </w:r>
      <w:proofErr w:type="spellEnd"/>
      <w:r w:rsidRPr="008D2AA0">
        <w:rPr>
          <w:rFonts w:ascii="Arial" w:hAnsi="Arial" w:cs="Arial"/>
        </w:rPr>
        <w:t xml:space="preserve"> et al. in “Mitigation potential and global health impacts from emissions pricing of food commodities”</w:t>
      </w:r>
      <w:r>
        <w:rPr>
          <w:rFonts w:ascii="Arial" w:hAnsi="Arial" w:cs="Arial"/>
        </w:rPr>
        <w:t xml:space="preserve"> </w:t>
      </w:r>
      <w:r w:rsidRPr="008D2AA0">
        <w:rPr>
          <w:rFonts w:ascii="Arial" w:hAnsi="Arial" w:cs="Arial"/>
          <w:noProof/>
          <w:vertAlign w:val="superscript"/>
        </w:rPr>
        <w:fldChar w:fldCharType="begin" w:fldLock="1"/>
      </w:r>
      <w:r>
        <w:rPr>
          <w:rFonts w:ascii="Arial" w:hAnsi="Arial" w:cs="Arial"/>
          <w:noProof/>
          <w:vertAlign w:val="superscript"/>
        </w:rPr>
        <w:instrText>ADDIN CSL_CITATION { "citationItems" : [ { "id" : "ITEM-1", "itemData" : { "DOI" : "10.1038/nclimate3155", "ISSN" : "1758-678X", "author" : [ { "dropping-particle" : "", "family" : "Springmann", "given" : "Marco", "non-dropping-particle" : "", "parse-names" : false, "suffix" : "" }, { "dropping-particle" : "", "family" : "Mason-D\u2019Croz", "given" : "Daniel", "non-dropping-particle" : "", "parse-names" : false, "suffix" : "" }, { "dropping-particle" : "", "family" : "Robinson", "given" : "Sherman", "non-dropping-particle" : "", "parse-names" : false, "suffix" : "" }, { "dropping-particle" : "", "family" : "Wiebe", "given" : "Keith", "non-dropping-particle" : "", "parse-names" : false, "suffix" : "" }, { "dropping-particle" : "", "family" : "Godfray", "given" : "H. Charles J.", "non-dropping-particle" : "", "parse-names" : false, "suffix" : "" }, { "dropping-particle" : "", "family" : "Rayner", "given" : "Mike", "non-dropping-particle" : "", "parse-names" : false, "suffix" : "" }, { "dropping-particle" : "", "family" : "Scarborough", "given" : "Peter", "non-dropping-particle" : "", "parse-names" : false, "suffix" : "" } ], "container-title" : "Nature Climate Change", "id" : "ITEM-1", "issued" : { "date-parts" : [ [ "2016" ] ] }, "page" : "1-54", "title" : "Mitigation potential and global health impacts from emissions pricing of food commodities", "type" : "article-journal" }, "uris" : [ "http://www.mendeley.com/documents/?uuid=86c30a7f-2f58-4103-ad99-d38248622b9b" ] } ], "mendeley" : { "formattedCitation" : "(Springmann, Mason-D\u2019Croz, Robinson, Wiebe, et al., 2016)", "manualFormatting" : "(Springmann et al., 2016)", "plainTextFormattedCitation" : "(Springmann, Mason-D\u2019Croz, Robinson, Wiebe, et al., 2016)", "previouslyFormattedCitation" : "(Springmann, Mason-D\u2019Croz, Robinson, Wiebe, et al., 2016)" }, "properties" : {  }, "schema" : "https://github.com/citation-style-language/schema/raw/master/csl-citation.json" }</w:instrText>
      </w:r>
      <w:r w:rsidRPr="008D2AA0">
        <w:rPr>
          <w:rFonts w:ascii="Arial" w:hAnsi="Arial" w:cs="Arial"/>
          <w:noProof/>
          <w:vertAlign w:val="superscript"/>
        </w:rPr>
        <w:fldChar w:fldCharType="separate"/>
      </w:r>
      <w:r w:rsidRPr="005A298F">
        <w:rPr>
          <w:rFonts w:ascii="Arial" w:hAnsi="Arial" w:cs="Arial"/>
          <w:noProof/>
        </w:rPr>
        <w:t>(Springmann et al., 2016)</w:t>
      </w:r>
      <w:r w:rsidRPr="008D2AA0">
        <w:rPr>
          <w:rFonts w:ascii="Arial" w:hAnsi="Arial" w:cs="Arial"/>
          <w:noProof/>
          <w:vertAlign w:val="superscript"/>
        </w:rPr>
        <w:fldChar w:fldCharType="end"/>
      </w:r>
      <w:r w:rsidRPr="008D2AA0">
        <w:rPr>
          <w:rFonts w:ascii="Arial" w:hAnsi="Arial" w:cs="Arial"/>
        </w:rPr>
        <w:t xml:space="preserve">. </w:t>
      </w:r>
    </w:p>
    <w:p w:rsidR="004D79C3" w:rsidRPr="008D2AA0" w:rsidRDefault="004D79C3" w:rsidP="004D79C3">
      <w:pPr>
        <w:spacing w:line="480" w:lineRule="auto"/>
        <w:rPr>
          <w:rFonts w:ascii="Arial" w:hAnsi="Arial" w:cs="Arial"/>
        </w:rPr>
      </w:pPr>
      <w:r w:rsidRPr="008D2AA0">
        <w:rPr>
          <w:rFonts w:ascii="Arial" w:hAnsi="Arial" w:cs="Arial"/>
        </w:rPr>
        <w:t>Number of deaths avoided as a result of diet- and weight-related factors were calculated based on population attributable fractions (PAFs), which characterises the number of disease-attributed deaths avoided when the level of risk exposure transitioned from business-as-usual conditions to those in each of the mapped scenarios. PAFs were</w:t>
      </w:r>
      <w:r>
        <w:rPr>
          <w:rFonts w:ascii="Arial" w:hAnsi="Arial" w:cs="Arial"/>
        </w:rPr>
        <w:t xml:space="preserve"> </w:t>
      </w:r>
      <w:r w:rsidRPr="008D2AA0">
        <w:rPr>
          <w:rFonts w:ascii="Arial" w:hAnsi="Arial" w:cs="Arial"/>
        </w:rPr>
        <w:t>calculated using Eq. (A.1):</w:t>
      </w:r>
    </w:p>
    <w:p w:rsidR="004D79C3" w:rsidRPr="00B96426" w:rsidRDefault="004D79C3" w:rsidP="004D79C3">
      <w:pPr>
        <w:rPr>
          <w:rFonts w:ascii="Arial" w:hAnsi="Arial" w:cs="Arial"/>
          <w:b/>
          <w:sz w:val="24"/>
        </w:rPr>
      </w:pPr>
      <m:oMath>
        <m:r>
          <w:rPr>
            <w:rFonts w:ascii="Cambria Math" w:hAnsi="Cambria Math" w:cs="Arial"/>
            <w:sz w:val="24"/>
          </w:rPr>
          <m:t xml:space="preserve">PAF= </m:t>
        </m:r>
        <m:f>
          <m:fPr>
            <m:ctrlPr>
              <w:rPr>
                <w:rFonts w:ascii="Cambria Math" w:hAnsi="Cambria Math" w:cs="Arial"/>
                <w:i/>
                <w:sz w:val="24"/>
              </w:rPr>
            </m:ctrlPr>
          </m:fPr>
          <m:num>
            <m:nary>
              <m:naryPr>
                <m:limLoc m:val="undOvr"/>
                <m:subHide m:val="1"/>
                <m:supHide m:val="1"/>
                <m:ctrlPr>
                  <w:rPr>
                    <w:rFonts w:ascii="Cambria Math" w:hAnsi="Cambria Math" w:cs="Arial"/>
                    <w:i/>
                    <w:sz w:val="24"/>
                  </w:rPr>
                </m:ctrlPr>
              </m:naryPr>
              <m:sub/>
              <m:sup/>
              <m:e>
                <m:r>
                  <w:rPr>
                    <w:rFonts w:ascii="Cambria Math" w:hAnsi="Cambria Math" w:cs="Arial"/>
                    <w:sz w:val="24"/>
                  </w:rPr>
                  <m:t>RR</m:t>
                </m:r>
                <m:d>
                  <m:dPr>
                    <m:ctrlPr>
                      <w:rPr>
                        <w:rFonts w:ascii="Cambria Math" w:hAnsi="Cambria Math" w:cs="Arial"/>
                        <w:i/>
                        <w:sz w:val="24"/>
                      </w:rPr>
                    </m:ctrlPr>
                  </m:dPr>
                  <m:e>
                    <m:r>
                      <w:rPr>
                        <w:rFonts w:ascii="Cambria Math" w:hAnsi="Cambria Math" w:cs="Arial"/>
                        <w:sz w:val="24"/>
                      </w:rPr>
                      <m:t>x</m:t>
                    </m:r>
                  </m:e>
                </m:d>
                <m:r>
                  <w:rPr>
                    <w:rFonts w:ascii="Cambria Math" w:hAnsi="Cambria Math" w:cs="Arial"/>
                    <w:sz w:val="24"/>
                  </w:rPr>
                  <m:t>P</m:t>
                </m:r>
                <m:d>
                  <m:dPr>
                    <m:ctrlPr>
                      <w:rPr>
                        <w:rFonts w:ascii="Cambria Math" w:hAnsi="Cambria Math" w:cs="Arial"/>
                        <w:i/>
                        <w:sz w:val="24"/>
                      </w:rPr>
                    </m:ctrlPr>
                  </m:dPr>
                  <m:e>
                    <m:r>
                      <w:rPr>
                        <w:rFonts w:ascii="Cambria Math" w:hAnsi="Cambria Math" w:cs="Arial"/>
                        <w:sz w:val="24"/>
                      </w:rPr>
                      <m:t>x</m:t>
                    </m:r>
                  </m:e>
                </m:d>
                <m:r>
                  <w:rPr>
                    <w:rFonts w:ascii="Cambria Math" w:hAnsi="Cambria Math" w:cs="Arial"/>
                    <w:sz w:val="24"/>
                  </w:rPr>
                  <m:t xml:space="preserve">dx- </m:t>
                </m:r>
                <m:nary>
                  <m:naryPr>
                    <m:limLoc m:val="undOvr"/>
                    <m:subHide m:val="1"/>
                    <m:supHide m:val="1"/>
                    <m:ctrlPr>
                      <w:rPr>
                        <w:rFonts w:ascii="Cambria Math" w:hAnsi="Cambria Math" w:cs="Arial"/>
                        <w:i/>
                        <w:sz w:val="24"/>
                      </w:rPr>
                    </m:ctrlPr>
                  </m:naryPr>
                  <m:sub/>
                  <m:sup/>
                  <m:e>
                    <m:r>
                      <w:rPr>
                        <w:rFonts w:ascii="Cambria Math" w:hAnsi="Cambria Math" w:cs="Arial"/>
                        <w:sz w:val="24"/>
                      </w:rPr>
                      <m:t>RR</m:t>
                    </m:r>
                    <m:d>
                      <m:dPr>
                        <m:ctrlPr>
                          <w:rPr>
                            <w:rFonts w:ascii="Cambria Math" w:hAnsi="Cambria Math" w:cs="Arial"/>
                            <w:i/>
                            <w:sz w:val="24"/>
                          </w:rPr>
                        </m:ctrlPr>
                      </m:dPr>
                      <m:e>
                        <m:r>
                          <w:rPr>
                            <w:rFonts w:ascii="Cambria Math" w:hAnsi="Cambria Math" w:cs="Arial"/>
                            <w:sz w:val="24"/>
                          </w:rPr>
                          <m:t>x</m:t>
                        </m:r>
                      </m:e>
                    </m:d>
                    <m:sSup>
                      <m:sSupPr>
                        <m:ctrlPr>
                          <w:rPr>
                            <w:rFonts w:ascii="Cambria Math" w:hAnsi="Cambria Math" w:cs="Arial"/>
                            <w:i/>
                            <w:sz w:val="24"/>
                          </w:rPr>
                        </m:ctrlPr>
                      </m:sSupPr>
                      <m:e>
                        <m:r>
                          <w:rPr>
                            <w:rFonts w:ascii="Cambria Math" w:hAnsi="Cambria Math" w:cs="Arial"/>
                            <w:sz w:val="24"/>
                          </w:rPr>
                          <m:t>P</m:t>
                        </m:r>
                      </m:e>
                      <m:sup>
                        <m:r>
                          <w:rPr>
                            <w:rFonts w:ascii="Cambria Math" w:hAnsi="Cambria Math" w:cs="Arial"/>
                            <w:sz w:val="24"/>
                          </w:rPr>
                          <m:t>'</m:t>
                        </m:r>
                      </m:sup>
                    </m:sSup>
                    <m:d>
                      <m:dPr>
                        <m:ctrlPr>
                          <w:rPr>
                            <w:rFonts w:ascii="Cambria Math" w:hAnsi="Cambria Math" w:cs="Arial"/>
                            <w:i/>
                            <w:sz w:val="24"/>
                          </w:rPr>
                        </m:ctrlPr>
                      </m:dPr>
                      <m:e>
                        <m:r>
                          <w:rPr>
                            <w:rFonts w:ascii="Cambria Math" w:hAnsi="Cambria Math" w:cs="Arial"/>
                            <w:sz w:val="24"/>
                          </w:rPr>
                          <m:t>x</m:t>
                        </m:r>
                      </m:e>
                    </m:d>
                    <m:r>
                      <w:rPr>
                        <w:rFonts w:ascii="Cambria Math" w:hAnsi="Cambria Math" w:cs="Arial"/>
                        <w:sz w:val="24"/>
                      </w:rPr>
                      <m:t>dx</m:t>
                    </m:r>
                  </m:e>
                </m:nary>
              </m:e>
            </m:nary>
          </m:num>
          <m:den>
            <m:nary>
              <m:naryPr>
                <m:limLoc m:val="undOvr"/>
                <m:subHide m:val="1"/>
                <m:supHide m:val="1"/>
                <m:ctrlPr>
                  <w:rPr>
                    <w:rFonts w:ascii="Cambria Math" w:hAnsi="Cambria Math" w:cs="Arial"/>
                    <w:i/>
                    <w:sz w:val="24"/>
                  </w:rPr>
                </m:ctrlPr>
              </m:naryPr>
              <m:sub/>
              <m:sup/>
              <m:e>
                <m:r>
                  <w:rPr>
                    <w:rFonts w:ascii="Cambria Math" w:hAnsi="Cambria Math" w:cs="Arial"/>
                    <w:sz w:val="24"/>
                  </w:rPr>
                  <m:t>RR</m:t>
                </m:r>
                <m:d>
                  <m:dPr>
                    <m:ctrlPr>
                      <w:rPr>
                        <w:rFonts w:ascii="Cambria Math" w:hAnsi="Cambria Math" w:cs="Arial"/>
                        <w:i/>
                        <w:sz w:val="24"/>
                      </w:rPr>
                    </m:ctrlPr>
                  </m:dPr>
                  <m:e>
                    <m:r>
                      <w:rPr>
                        <w:rFonts w:ascii="Cambria Math" w:hAnsi="Cambria Math" w:cs="Arial"/>
                        <w:sz w:val="24"/>
                      </w:rPr>
                      <m:t>x</m:t>
                    </m:r>
                  </m:e>
                </m:d>
                <m:r>
                  <w:rPr>
                    <w:rFonts w:ascii="Cambria Math" w:hAnsi="Cambria Math" w:cs="Arial"/>
                    <w:sz w:val="24"/>
                  </w:rPr>
                  <m:t>P</m:t>
                </m:r>
                <m:d>
                  <m:dPr>
                    <m:ctrlPr>
                      <w:rPr>
                        <w:rFonts w:ascii="Cambria Math" w:hAnsi="Cambria Math" w:cs="Arial"/>
                        <w:i/>
                        <w:sz w:val="24"/>
                      </w:rPr>
                    </m:ctrlPr>
                  </m:dPr>
                  <m:e>
                    <m:r>
                      <w:rPr>
                        <w:rFonts w:ascii="Cambria Math" w:hAnsi="Cambria Math" w:cs="Arial"/>
                        <w:sz w:val="24"/>
                      </w:rPr>
                      <m:t>x</m:t>
                    </m:r>
                  </m:e>
                </m:d>
                <m:r>
                  <w:rPr>
                    <w:rFonts w:ascii="Cambria Math" w:hAnsi="Cambria Math" w:cs="Arial"/>
                    <w:sz w:val="24"/>
                  </w:rPr>
                  <m:t>dx</m:t>
                </m:r>
              </m:e>
            </m:nary>
          </m:den>
        </m:f>
      </m:oMath>
      <w:r>
        <w:rPr>
          <w:rFonts w:ascii="Arial" w:eastAsiaTheme="minorEastAsia" w:hAnsi="Arial" w:cs="Arial"/>
          <w:sz w:val="24"/>
        </w:rPr>
        <w:tab/>
        <w:t xml:space="preserve"> </w:t>
      </w:r>
      <w:r>
        <w:rPr>
          <w:rFonts w:ascii="Arial" w:eastAsiaTheme="minorEastAsia" w:hAnsi="Arial" w:cs="Arial"/>
          <w:sz w:val="24"/>
        </w:rPr>
        <w:tab/>
      </w:r>
      <w:r>
        <w:rPr>
          <w:rFonts w:ascii="Arial" w:eastAsiaTheme="minorEastAsia" w:hAnsi="Arial" w:cs="Arial"/>
          <w:sz w:val="24"/>
        </w:rPr>
        <w:tab/>
      </w:r>
      <w:r>
        <w:rPr>
          <w:rFonts w:ascii="Arial" w:eastAsiaTheme="minorEastAsia" w:hAnsi="Arial" w:cs="Arial"/>
          <w:sz w:val="24"/>
        </w:rPr>
        <w:tab/>
      </w:r>
      <w:r w:rsidRPr="008D2AA0">
        <w:rPr>
          <w:rFonts w:ascii="Arial" w:eastAsiaTheme="minorEastAsia" w:hAnsi="Arial" w:cs="Arial"/>
        </w:rPr>
        <w:t>Eq. (A.1)</w:t>
      </w:r>
    </w:p>
    <w:p w:rsidR="004D79C3" w:rsidRPr="0073113B" w:rsidRDefault="004D79C3" w:rsidP="004D79C3">
      <w:pPr>
        <w:rPr>
          <w:rFonts w:ascii="Arial" w:hAnsi="Arial" w:cs="Arial"/>
          <w:sz w:val="24"/>
        </w:rPr>
      </w:pPr>
      <w:r w:rsidRPr="0073113B">
        <w:rPr>
          <w:rFonts w:ascii="Arial" w:hAnsi="Arial" w:cs="Arial"/>
        </w:rPr>
        <w:t>where</w:t>
      </w:r>
      <w:r w:rsidRPr="0073113B">
        <w:rPr>
          <w:rFonts w:ascii="Arial" w:hAnsi="Arial" w:cs="Arial"/>
          <w:sz w:val="24"/>
        </w:rPr>
        <w:t xml:space="preserve">: </w:t>
      </w:r>
    </w:p>
    <w:p w:rsidR="004D79C3" w:rsidRPr="0073113B" w:rsidRDefault="004D79C3" w:rsidP="004D79C3">
      <w:pPr>
        <w:outlineLvl w:val="0"/>
        <w:rPr>
          <w:rFonts w:ascii="Arial" w:eastAsiaTheme="minorEastAsia" w:hAnsi="Arial" w:cs="Arial"/>
          <w:sz w:val="20"/>
        </w:rPr>
      </w:pPr>
      <w:r w:rsidRPr="0073113B">
        <w:rPr>
          <w:rFonts w:ascii="Arial" w:eastAsiaTheme="minorEastAsia" w:hAnsi="Arial" w:cs="Arial"/>
          <w:sz w:val="20"/>
        </w:rPr>
        <w:t>RR(x) = relative risk of disease for a given risk factor level x</w:t>
      </w:r>
    </w:p>
    <w:p w:rsidR="004D79C3" w:rsidRPr="0073113B" w:rsidRDefault="004D79C3" w:rsidP="004D79C3">
      <w:pPr>
        <w:rPr>
          <w:rFonts w:ascii="Arial" w:eastAsiaTheme="minorEastAsia" w:hAnsi="Arial" w:cs="Arial"/>
          <w:sz w:val="20"/>
        </w:rPr>
      </w:pPr>
      <w:r w:rsidRPr="0073113B">
        <w:rPr>
          <w:rFonts w:ascii="Arial" w:eastAsiaTheme="minorEastAsia" w:hAnsi="Arial" w:cs="Arial"/>
          <w:sz w:val="20"/>
        </w:rPr>
        <w:t>P(x) = number of people in the population with a risk factor level x in the business-as-usual scenario</w:t>
      </w:r>
    </w:p>
    <w:p w:rsidR="004D79C3" w:rsidRPr="0073113B" w:rsidRDefault="004D79C3" w:rsidP="004D79C3">
      <w:pPr>
        <w:rPr>
          <w:rFonts w:ascii="Arial" w:eastAsiaTheme="minorEastAsia" w:hAnsi="Arial" w:cs="Arial"/>
          <w:sz w:val="20"/>
        </w:rPr>
      </w:pPr>
      <w:r w:rsidRPr="0073113B">
        <w:rPr>
          <w:rFonts w:ascii="Arial" w:eastAsiaTheme="minorEastAsia" w:hAnsi="Arial" w:cs="Arial"/>
          <w:sz w:val="20"/>
        </w:rPr>
        <w:t>P’(x) = number of people in the population with a risk factor level x in the mapped reduction scenario</w:t>
      </w:r>
    </w:p>
    <w:p w:rsidR="004D79C3" w:rsidRDefault="004D79C3" w:rsidP="004D79C3">
      <w:pPr>
        <w:spacing w:line="480" w:lineRule="auto"/>
        <w:rPr>
          <w:rFonts w:ascii="Arial" w:hAnsi="Arial" w:cs="Arial"/>
        </w:rPr>
      </w:pPr>
    </w:p>
    <w:p w:rsidR="004D79C3" w:rsidRPr="008D2AA0" w:rsidRDefault="004D79C3" w:rsidP="004D79C3">
      <w:pPr>
        <w:spacing w:line="480" w:lineRule="auto"/>
        <w:rPr>
          <w:rFonts w:ascii="Arial" w:hAnsi="Arial" w:cs="Arial"/>
        </w:rPr>
      </w:pPr>
      <w:r w:rsidRPr="008D2AA0">
        <w:rPr>
          <w:rFonts w:ascii="Arial" w:hAnsi="Arial" w:cs="Arial"/>
        </w:rPr>
        <w:t>Three key risk factors were considered in this study: the burden of coronary heart disease (CHD), stroke and cancers related to excessive meat consumption—each of these carry a level risk dependent on diet-related factors (i.e. level of meat, and red meat intake), and weight-related factors (risk factor based on being clinically overweight or obese). The total PAF (</w:t>
      </w:r>
      <w:proofErr w:type="spellStart"/>
      <w:r w:rsidRPr="008D2AA0">
        <w:rPr>
          <w:rFonts w:ascii="Arial" w:hAnsi="Arial" w:cs="Arial"/>
        </w:rPr>
        <w:t>PAFtot</w:t>
      </w:r>
      <w:proofErr w:type="spellEnd"/>
      <w:r w:rsidRPr="008D2AA0">
        <w:rPr>
          <w:rFonts w:ascii="Arial" w:hAnsi="Arial" w:cs="Arial"/>
        </w:rPr>
        <w:t>) is therefore given as the combined sum of these independent risk factors (</w:t>
      </w:r>
      <w:proofErr w:type="spellStart"/>
      <w:r w:rsidRPr="008D2AA0">
        <w:rPr>
          <w:rFonts w:ascii="Arial" w:hAnsi="Arial" w:cs="Arial"/>
        </w:rPr>
        <w:t>PAFi</w:t>
      </w:r>
      <w:proofErr w:type="spellEnd"/>
      <w:r w:rsidRPr="008D2AA0">
        <w:rPr>
          <w:rFonts w:ascii="Arial" w:hAnsi="Arial" w:cs="Arial"/>
        </w:rPr>
        <w:t>)</w:t>
      </w:r>
      <w:r>
        <w:rPr>
          <w:rFonts w:ascii="Arial" w:hAnsi="Arial" w:cs="Arial"/>
        </w:rPr>
        <w:t xml:space="preserve"> in Eq. (A.2)</w:t>
      </w:r>
      <w:r w:rsidRPr="008D2AA0">
        <w:rPr>
          <w:rFonts w:ascii="Arial" w:hAnsi="Arial" w:cs="Arial"/>
        </w:rPr>
        <w:t>.</w:t>
      </w:r>
    </w:p>
    <w:p w:rsidR="004D79C3" w:rsidRPr="008D2AA0" w:rsidRDefault="004D79C3" w:rsidP="004D79C3">
      <w:pPr>
        <w:jc w:val="center"/>
        <w:rPr>
          <w:rFonts w:ascii="Arial" w:hAnsi="Arial" w:cs="Arial"/>
        </w:rPr>
      </w:pPr>
      <m:oMath>
        <m:r>
          <w:rPr>
            <w:rFonts w:ascii="Cambria Math" w:eastAsiaTheme="minorEastAsia" w:hAnsi="Cambria Math" w:cs="Arial"/>
            <w:sz w:val="24"/>
          </w:rPr>
          <m:t xml:space="preserve">PAFtot=1- </m:t>
        </m:r>
        <m:nary>
          <m:naryPr>
            <m:chr m:val="∏"/>
            <m:limLoc m:val="undOvr"/>
            <m:supHide m:val="1"/>
            <m:ctrlPr>
              <w:rPr>
                <w:rFonts w:ascii="Cambria Math" w:eastAsiaTheme="minorEastAsia" w:hAnsi="Cambria Math" w:cs="Arial"/>
                <w:i/>
                <w:sz w:val="24"/>
              </w:rPr>
            </m:ctrlPr>
          </m:naryPr>
          <m:sub>
            <m:r>
              <w:rPr>
                <w:rFonts w:ascii="Cambria Math" w:eastAsiaTheme="minorEastAsia" w:hAnsi="Cambria Math" w:cs="Arial"/>
                <w:sz w:val="24"/>
              </w:rPr>
              <m:t xml:space="preserve">i </m:t>
            </m:r>
          </m:sub>
          <m:sup/>
          <m:e>
            <m:r>
              <w:rPr>
                <w:rFonts w:ascii="Cambria Math" w:eastAsiaTheme="minorEastAsia" w:hAnsi="Cambria Math" w:cs="Arial"/>
                <w:sz w:val="24"/>
              </w:rPr>
              <m:t>(1-PAFi)</m:t>
            </m:r>
          </m:e>
        </m:nary>
      </m:oMath>
      <w:r>
        <w:rPr>
          <w:rFonts w:ascii="Arial" w:eastAsiaTheme="minorEastAsia" w:hAnsi="Arial" w:cs="Arial"/>
          <w:sz w:val="24"/>
        </w:rPr>
        <w:t xml:space="preserve"> </w:t>
      </w:r>
      <w:r>
        <w:rPr>
          <w:rFonts w:ascii="Arial" w:eastAsiaTheme="minorEastAsia" w:hAnsi="Arial" w:cs="Arial"/>
          <w:sz w:val="24"/>
        </w:rPr>
        <w:tab/>
      </w:r>
      <w:r w:rsidRPr="008D2AA0">
        <w:rPr>
          <w:rFonts w:ascii="Arial" w:eastAsiaTheme="minorEastAsia" w:hAnsi="Arial" w:cs="Arial"/>
        </w:rPr>
        <w:t>Eq. (A.2)</w:t>
      </w:r>
    </w:p>
    <w:p w:rsidR="004D79C3" w:rsidRDefault="004D79C3" w:rsidP="004D79C3">
      <w:pPr>
        <w:rPr>
          <w:rFonts w:ascii="Arial" w:hAnsi="Arial" w:cs="Arial"/>
          <w:sz w:val="20"/>
        </w:rPr>
      </w:pPr>
    </w:p>
    <w:p w:rsidR="004D79C3" w:rsidRPr="008D2AA0" w:rsidRDefault="004D79C3" w:rsidP="004D79C3">
      <w:pPr>
        <w:spacing w:line="480" w:lineRule="auto"/>
        <w:rPr>
          <w:rFonts w:ascii="Arial" w:hAnsi="Arial" w:cs="Arial"/>
        </w:rPr>
      </w:pPr>
      <w:r w:rsidRPr="008D2AA0">
        <w:rPr>
          <w:rFonts w:ascii="Arial" w:hAnsi="Arial" w:cs="Arial"/>
        </w:rPr>
        <w:lastRenderedPageBreak/>
        <w:t>To convert this change in risk exposure to number of avoided deaths, independent PAF values were multiplied by their disease-specific death rates (DR) and the number of indi</w:t>
      </w:r>
      <w:r>
        <w:rPr>
          <w:rFonts w:ascii="Arial" w:hAnsi="Arial" w:cs="Arial"/>
        </w:rPr>
        <w:t>viduals within a population (P) as in Eq. (A.3):</w:t>
      </w:r>
    </w:p>
    <w:p w:rsidR="004D79C3" w:rsidRDefault="004D79C3" w:rsidP="004D79C3">
      <w:pPr>
        <w:ind w:left="720" w:firstLine="720"/>
        <w:rPr>
          <w:rFonts w:ascii="Arial" w:eastAsiaTheme="minorEastAsia" w:hAnsi="Arial" w:cs="Arial"/>
        </w:rPr>
      </w:pPr>
      <m:oMath>
        <m:r>
          <w:rPr>
            <w:rFonts w:ascii="Cambria Math" w:hAnsi="Cambria Math" w:cs="Arial"/>
            <w:sz w:val="24"/>
          </w:rPr>
          <m:t xml:space="preserve">∆deaths </m:t>
        </m:r>
        <m:d>
          <m:dPr>
            <m:ctrlPr>
              <w:rPr>
                <w:rFonts w:ascii="Cambria Math" w:hAnsi="Cambria Math" w:cs="Arial"/>
                <w:i/>
                <w:sz w:val="24"/>
              </w:rPr>
            </m:ctrlPr>
          </m:dPr>
          <m:e>
            <m:r>
              <w:rPr>
                <w:rFonts w:ascii="Cambria Math" w:hAnsi="Cambria Math" w:cs="Arial"/>
                <w:sz w:val="24"/>
              </w:rPr>
              <m:t>i</m:t>
            </m:r>
          </m:e>
        </m:d>
        <m:r>
          <w:rPr>
            <w:rFonts w:ascii="Cambria Math" w:hAnsi="Cambria Math" w:cs="Arial"/>
            <w:sz w:val="24"/>
          </w:rPr>
          <m:t>=PAF</m:t>
        </m:r>
        <m:d>
          <m:dPr>
            <m:ctrlPr>
              <w:rPr>
                <w:rFonts w:ascii="Cambria Math" w:hAnsi="Cambria Math" w:cs="Arial"/>
                <w:i/>
                <w:sz w:val="24"/>
              </w:rPr>
            </m:ctrlPr>
          </m:dPr>
          <m:e>
            <m:r>
              <w:rPr>
                <w:rFonts w:ascii="Cambria Math" w:hAnsi="Cambria Math" w:cs="Arial"/>
                <w:sz w:val="24"/>
              </w:rPr>
              <m:t>i</m:t>
            </m:r>
          </m:e>
        </m:d>
        <m:r>
          <w:rPr>
            <w:rFonts w:ascii="Cambria Math" w:hAnsi="Cambria Math" w:cs="Arial"/>
            <w:sz w:val="24"/>
          </w:rPr>
          <m:t>.  DR(i) . P</m:t>
        </m:r>
      </m:oMath>
      <w:r>
        <w:rPr>
          <w:rFonts w:ascii="Arial" w:eastAsiaTheme="minorEastAsia" w:hAnsi="Arial" w:cs="Arial"/>
          <w:sz w:val="24"/>
        </w:rPr>
        <w:t xml:space="preserve"> </w:t>
      </w:r>
      <w:r>
        <w:rPr>
          <w:rFonts w:ascii="Arial" w:eastAsiaTheme="minorEastAsia" w:hAnsi="Arial" w:cs="Arial"/>
          <w:sz w:val="24"/>
        </w:rPr>
        <w:tab/>
      </w:r>
      <w:r>
        <w:rPr>
          <w:rFonts w:ascii="Arial" w:eastAsiaTheme="minorEastAsia" w:hAnsi="Arial" w:cs="Arial"/>
          <w:sz w:val="24"/>
        </w:rPr>
        <w:tab/>
      </w:r>
      <w:r w:rsidRPr="00373A7B">
        <w:rPr>
          <w:rFonts w:ascii="Arial" w:eastAsiaTheme="minorEastAsia" w:hAnsi="Arial" w:cs="Arial"/>
        </w:rPr>
        <w:t>Eq. (A.3)</w:t>
      </w:r>
    </w:p>
    <w:p w:rsidR="004D79C3" w:rsidRDefault="004D79C3" w:rsidP="004D79C3">
      <w:pPr>
        <w:rPr>
          <w:rFonts w:ascii="Arial" w:eastAsiaTheme="minorEastAsia" w:hAnsi="Arial" w:cs="Arial"/>
          <w:sz w:val="24"/>
        </w:rPr>
      </w:pPr>
    </w:p>
    <w:p w:rsidR="004D79C3" w:rsidRPr="008D2AA0" w:rsidRDefault="004D79C3" w:rsidP="004D79C3">
      <w:pPr>
        <w:spacing w:line="480" w:lineRule="auto"/>
        <w:rPr>
          <w:rFonts w:ascii="Arial" w:hAnsi="Arial" w:cs="Arial"/>
        </w:rPr>
      </w:pPr>
      <w:r w:rsidRPr="008D2AA0">
        <w:rPr>
          <w:rFonts w:ascii="Arial" w:hAnsi="Arial" w:cs="Arial"/>
        </w:rPr>
        <w:t>Since disease death rates vary by demographic, population (P) figures were differentiated based on age group and country; and death rates (DR) by age group, and disease. DR values were acquired from the Global Disease Burden project, which defines death rates across 235 mortality causes and 20 age groups</w:t>
      </w:r>
      <w:r>
        <w:rPr>
          <w:rFonts w:ascii="Arial" w:hAnsi="Arial" w:cs="Arial"/>
        </w:rPr>
        <w:t xml:space="preserve"> </w:t>
      </w:r>
      <w:r w:rsidRPr="008D2AA0">
        <w:rPr>
          <w:rFonts w:ascii="Arial" w:hAnsi="Arial" w:cs="Arial"/>
        </w:rPr>
        <w:fldChar w:fldCharType="begin" w:fldLock="1"/>
      </w:r>
      <w:r>
        <w:rPr>
          <w:rFonts w:ascii="Arial" w:hAnsi="Arial" w:cs="Arial"/>
        </w:rPr>
        <w:instrText>ADDIN CSL_CITATION { "citationItems" : [ { "id" : "ITEM-1", "itemData" : { "DOI" : "10.1016/S0140-6736(12)61728-0", "ISBN" : "1474-547X (Electronic)\\n0140-6736 (Linking)", "ISSN" : "01406736", "PMID" : "23245604", "abstract" : "Background Reliable and timely information on the leading causes of death in populations, and how these are changing, is a crucial input into health policy debates. In the Global Burden of Diseases, Injuries, and Risk Factors Study 2010 (GBD 2010), we aimed to estimate annual deaths for the world and 21 regions between 1980 and 2010 for 235 causes, with uncertainty intervals (UIs); 1separately by age and sex. Methods We attempted to identify all available data on causes of death for 187 countries from 1980 to 2010 from vital registration, verbal autopsy, mortality surveillance, censuses, surveys, hospitals, police records, and mortuaries. We assessed data quality for completeness, diagnostic accuracy, missing data, stochastic variations, and probable causes of death. We applied six different modelling strategies to estimate cause-specific mortality trends depending on the strength of the data. For 133 causes and three special aggregates we used the Cause of Death Ensemble model; (CODEm) approach, which uses four families of statistical models testing a large set of different models using different permutations of covariates. Model ensembles were developed from these component models. We assessed model performance with rigorous out-of-sample testing of prediction error and the validity of 95% UIs. For 13 causes with low observed numbers of deaths, we developed negative binomial models with plausible covariates. For 27 causes for which death is rare, we modelled the higher level cause in the cause hierarchy of the GBD 2010 and then allocated deaths across component causes proportionately, estimated from all available data in the database. For selected causes (African trypanosomiasis, congenital syphilis, whooping cough, measles, typhoid and parathyroid, leishmaniasis, acute hepatitis E, and HIV/AIDS); we used natural history models based on information on incidence, prevalence, and case-fatality. We separately estimated cause fractions by aetiology for diarrhoea, lower respiratory infections, and meningitis, as well as disaggregations by subcause for chronic kidney disease, maternal disorders, cirrhosis, and liver cancer. For deaths due to collective violence and natural disasters, we used mortality shock regressions. For every cause, we estimated 95% UIs that captured both parameter estimation uncertainty and uncertainty due to model specification where CODEm was used. We constrained cause-specific fractions within every age-sex group to sum to total mor\u2026", "author" : [ { "dropping-particle" : "", "family" : "Lozano", "given" : "Rafael", "non-dropping-particle" : "", "parse-names" : false, "suffix" : "" }, { "dropping-particle" : "", "family" : "Naghavi", "given" : "Mohsen", "non-dropping-particle" : "", "parse-names" : false, "suffix" : "" }, { "dropping-particle" : "", "family" : "Foreman", "given" : "Kyle", "non-dropping-particle" : "", "parse-names" : false, "suffix" : "" }, { "dropping-particle" : "", "family" : "Lim", "given" : "Stephen", "non-dropping-particle" : "", "parse-names" : false, "suffix" : "" }, { "dropping-particle" : "", "family" : "Shibuya", "given" : "Kenji", "non-dropping-particle" : "", "parse-names" : false, "suffix" : "" }, { "dropping-particle" : "", "family" : "Aboyans", "given" : "Victor", "non-dropping-particle" : "", "parse-names" : false, "suffix" : "" }, { "dropping-particle" : "", "family" : "Abraham", "given" : "Jerry", "non-dropping-particle" : "", "parse-names" : false, "suffix" : "" }, { "dropping-particle" : "", "family" : "Adair", "given" : "Timothy", "non-dropping-particle" : "", "parse-names" : false, "suffix" : "" }, { "dropping-particle" : "", "family" : "Aggarwal", "given" : "Rakesh", "non-dropping-particle" : "", "parse-names" : false, "suffix" : "" }, { "dropping-particle" : "", "family" : "Ahn", "given" : "Stephanie Y.", "non-dropping-particle" : "", "parse-names" : false, "suffix" : "" }, { "dropping-particle" : "", "family" : "Alvarado", "given" : "Miriam", "non-dropping-particle" : "", "parse-names" : false, "suffix" : "" }, { "dropping-particle" : "", "family" : "Anderson", "given" : "H. Ross", "non-dropping-particle" : "", "parse-names" : false, "suffix" : "" }, { "dropping-particle" : "", "family" : "Anderson", "given" : "Laurie M.", "non-dropping-particle" : "", "parse-names" : false, "suffix" : "" }, { "dropping-particle" : "", "family" : "Andrews", "given" : "Kathryn G.", "non-dropping-particle" : "", "parse-names" : false, "suffix" : "" }, { "dropping-particle" : "", "family" : "Atkinson", "given" : "Charles", "non-dropping-particle" : "", "parse-names" : false, "suffix" : "" }, { "dropping-particle" : "", "family" : "Baddour", "given" : "Larry M.", "non-dropping-particle" : "", "parse-names" : false, "suffix" : "" }, { "dropping-particle" : "", "family" : "Barker-Collo", "given" : "Suzanne", "non-dropping-particle" : "", "parse-names" : false, "suffix" : "" }, { "dropping-particle" : "", "family" : "Bartels", "given" : "David H.", "non-dropping-particle" : "", "parse-names" : false, "suffix" : "" }, { "dropping-particle" : "", "family" : "Bell", "given" : "Michelle L.", "non-dropping-particle" : "", "parse-names" : false, "suffix" : "" }, { "dropping-particle" : "", "family" : "Benjamin", "given" : "Emelia J.", "non-dropping-particle" : "", "parse-names" : false, "suffix" : "" }, { "dropping-particle" : "", "family" : "Bennett", "given" : "Derrick", "non-dropping-particle" : "", "parse-names" : false, "suffix" : "" }, { "dropping-particle" : "", "family" : "Bhalla", "given" : "Kavi", "non-dropping-particle" : "", "parse-names" : false, "suffix" : "" }, { "dropping-particle" : "", "family" : "Bikbov", "given" : "Boris", "non-dropping-particle" : "", "parse-names" : false, "suffix" : "" }, { "dropping-particle" : "Bin", "family" : "Abdulhak", "given" : "Aref", "non-dropping-particle" : "", "parse-names" : false, "suffix" : "" }, { "dropping-particle" : "", "family" : "Birbeck", "given" : "Gretchen", "non-dropping-particle" : "", "parse-names" : false, "suffix" : "" }, { "dropping-particle" : "", "family" : "Blyth", "given" : "Fiona", "non-dropping-particle" : "", "parse-names" : false, "suffix" : "" }, { "dropping-particle" : "", "family" : "Bolliger", "given" : "Ian", "non-dropping-particle" : "", "parse-names" : false, "suffix" : "" }, { "dropping-particle" : "", "family" : "Boufous", "given" : "Soufiane", "non-dropping-particle" : "", "parse-names" : false, "suffix" : "" }, { "dropping-particle" : "", "family" : "Bucello", "given" : "Chiara", "non-dropping-particle" : "", "parse-names" : false, "suffix" : "" }, { "dropping-particle" : "", "family" : "Burch", "given" : "Michael", "non-dropping-particle" : "", "parse-names" : false, "suffix" : "" }, { "dropping-particle" : "", "family" : "Burney", "given" : "Peter", "non-dropping-particle" : "", "parse-names" : false, "suffix" : "" }, { "dropping-particle" : "", "family" : "Carapetis", "given" : "Jonathan", "non-dropping-particle" : "", "parse-names" : false, "suffix" : "" }, { "dropping-particle" : "", "family" : "Chen", "given" : "Honglei", "non-dropping-particle" : "", "parse-names" : false, "suffix" : "" }, { "dropping-particle" : "", "family" : "Chou", "given" : "David", "non-dropping-particle" : "", "parse-names" : false, "suffix" : "" }, { "dropping-particle" : "", "family" : "Chugh", "given" : "Sumeet S.", "non-dropping-particle" : "", "parse-names" : false, "suffix" : "" }, { "dropping-particle" : "", "family" : "Coffeng", "given" : "Luc E.", "non-dropping-particle" : "", "parse-names" : false, "suffix" : "" }, { "dropping-particle" : "", "family" : "Colan", "given" : "Steven D.", "non-dropping-particle" : "", "parse-names" : false, "suffix" : "" }, { "dropping-particle" : "", "family" : "Colquhoun", "given" : "Samantha", "non-dropping-particle" : "", "parse-names" : false, "suffix" : "" }, { "dropping-particle" : "", "family" : "Colson", "given" : "K. Ellicott", "non-dropping-particle" : "", "parse-names" : false, "suffix" : "" }, { "dropping-particle" : "", "family" : "Condon", "given" : "John", "non-dropping-particle" : "", "parse-names" : false, "suffix" : "" }, { "dropping-particle" : "", "family" : "Connor", "given" : "Myles D.", "non-dropping-particle" : "", "parse-names" : false, "suffix" : "" }, { "dropping-particle" : "", "family" : "Cooper", "given" : "Leslie T.", "non-dropping-particle" : "", "parse-names" : false, "suffix" : "" }, { "dropping-particle" : "", "family" : "Corriere", "given" : "Matthew", "non-dropping-particle" : "", "parse-names" : false, "suffix" : "" }, { "dropping-particle" : "", "family" : "Cortinovis", "given" : "Monica", "non-dropping-particle" : "", "parse-names" : false, "suffix" : "" }, { "dropping-particle" : "", "family" : "Vaccaro", "given" : "Karen Courville", "non-dropping-particle" : "De", "parse-names" : false, "suffix" : "" }, { "dropping-particle" : "", "family" : "Couser", "given" : "William", "non-dropping-particle" : "", "parse-names" : false, "suffix" : "" }, { "dropping-particle" : "", "family" : "Cowie", "given" : "Benjamin C.", "non-dropping-particle" : "", "parse-names" : false, "suffix" : "" }, { "dropping-particle" : "", "family" : "Criqui", "given" : "Michael H.", "non-dropping-particle" : "", "parse-names" : false, "suffix" : "" }, { "dropping-particle" : "", "family" : "Cross", "given" : "Marita", "non-dropping-particle" : "", "parse-names" : false, "suffix" : "" }, { "dropping-particle" : "", "family" : "Dabhadkar", "given" : "Kaustubh C.", "non-dropping-particle" : "", "parse-names" : false, "suffix" : "" }, { "dropping-particle" : "", "family" : "Dahodwala", "given" : "Nabila", "non-dropping-particle" : "", "parse-names" : false, "suffix" : "" }, { "dropping-particle" : "", "family" : "Leo", "given" : "Diego", "non-dropping-particle" : "De", "parse-names" : false, "suffix" : "" }, { "dropping-particle" : "", "family" : "Degenhardt", "given" : "Louisa", "non-dropping-particle" : "", "parse-names" : false, "suffix" : "" }, { "dropping-particle" : "", "family" : "Delossantos", "given" : "Allyne", "non-dropping-particle" : "", "parse-names" : false, "suffix" : "" }, { "dropping-particle" : "", "family" : "Denenberg", "given" : "Julie", "non-dropping-particle" : "", "parse-names" : false, "suffix" : "" }, { "dropping-particle" : "", "family" : "Jarlais", "given" : "Don C.", "non-dropping-particle" : "Des", "parse-names" : false, "suffix" : "" }, { "dropping-particle" : "", "family" : "Dharmaratne", "given" : "Samath D.", "non-dropping-particle" : "", "parse-names" : false, "suffix" : "" }, { "dropping-particle" : "", "family" : "Dorsey", "given" : "E. Ray", "non-dropping-particle" : "", "parse-names" : false, "suffix" : "" }, { "dropping-particle" : "", "family" : "Driscoll", "given" : "Tim", "non-dropping-particle" : "", "parse-names" : false, "suffix" : "" }, { "dropping-particle" : "", "family" : "Duber", "given" : "Herbert", "non-dropping-particle" : "", "parse-names" : false, "suffix" : "" }, { "dropping-particle" : "", "family" : "Ebel", "given" : "Beth", "non-dropping-particle" : "", "parse-names" : false, "suffix" : "" }, { "dropping-particle" : "", "family" : "Erwin", "given" : "Patricia J.", "non-dropping-particle" : "", "parse-names" : false, "suffix" : "" }, { "dropping-particle" : "", "family" : "Espindola", "given" : "Patricia", "non-dropping-particle" : "", "parse-names" : false, "suffix" : "" }, { "dropping-particle" : "", "family" : "Ezzati", "given" : "Majid", "non-dropping-particle" : "", "parse-names" : false, "suffix" : "" }, { "dropping-particle" : "", "family" : "Feigin", "given" : "Valery", "non-dropping-particle" : "", "parse-names" : false, "suffix" : "" }, { "dropping-particle" : "", "family" : "Flaxman", "given" : "Abraham D.", "non-dropping-particle" : "", "parse-names" : false, "suffix" : "" }, { "dropping-particle" : "", "family" : "Forouzanfar", "given" : "Mohammad H.", "non-dropping-particle" : "", "parse-names" : false, "suffix" : "" }, { "dropping-particle" : "", "family" : "Fowkes", "given" : "Francis Gerry R", "non-dropping-particle" : "", "parse-names" : false, "suffix" : "" }, { "dropping-particle" : "", "family" : "Franklin", "given" : "Richard", "non-dropping-particle" : "", "parse-names" : false, "suffix" : "" }, { "dropping-particle" : "", "family" : "Fransen", "given" : "Marlene", "non-dropping-particle" : "", "parse-names" : false, "suffix" : "" }, { "dropping-particle" : "", "family" : "Freeman", "given" : "Michael K.", "non-dropping-particle" : "", "parse-names" : false, "suffix" : "" }, { "dropping-particle" : "", "family" : "Gabriel", "given" : "Sherine E.", "non-dropping-particle" : "", "parse-names" : false, "suffix" : "" }, { "dropping-particle" : "", "family" : "Gakidou", "given" : "Emmanuela", "non-dropping-particle" : "", "parse-names" : false, "suffix" : "" }, { "dropping-particle" : "", "family" : "Gaspari", "given" : "Flavio", "non-dropping-particle" : "", "parse-names" : false, "suffix" : "" }, { "dropping-particle" : "", "family" : "Gillum", "given" : "Richard F.", "non-dropping-particle" : "", "parse-names" : false, "suffix" : "" }, { "dropping-particle" : "", "family" : "Gonzalez-Medina", "given" : "Diego", "non-dropping-particle" : "", "parse-names" : false, "suffix" : "" }, { "dropping-particle" : "", "family" : "Halasa", "given" : "Yara A.", "non-dropping-particle" : "", "parse-names" : false, "suffix" : "" }, { "dropping-particle" : "", "family" : "Haring", "given" : "Diana", "non-dropping-particle" : "", "parse-names" : false, "suffix" : "" }, { "dropping-particle" : "", "family" : "Harrison", "given" : "James E.", "non-dropping-particle" : "", "parse-names" : false, "suffix" : "" }, { "dropping-particle" : "", "family" : "Havmoeller", "given" : "Rasmus", "non-dropping-particle" : "", "parse-names" : false, "suffix" : "" }, { "dropping-particle" : "", "family" : "Hay", "given" : "Roderick J.", "non-dropping-particle" : "", "parse-names" : false, "suffix" : "" }, { "dropping-particle" : "", "family" : "Hoen", "given" : "Bruno", "non-dropping-particle" : "", "parse-names" : false, "suffix" : "" }, { "dropping-particle" : "", "family" : "Hotez", "given" : "Peter J.", "non-dropping-particle" : "", "parse-names" : false, "suffix" : "" }, { "dropping-particle" : "", "family" : "Hoy", "given" : "Damian", "non-dropping-particle" : "", "parse-names" : false, "suffix" : "" }, { "dropping-particle" : "", "family" : "Jacobsen", "given" : "Kathryn H.", "non-dropping-particle" : "", "parse-names" : false, "suffix" : "" }, { "dropping-particle" : "", "family" : "James", "given" : "Spencer L.", "non-dropping-particle" : "", "parse-names" : false, "suffix" : "" }, { "dropping-particle" : "", "family" : "Jasrasaria", "given" : "Rashmi", "non-dropping-particle" : "", "parse-names" : false, "suffix" : "" }, { "dropping-particle" : "", "family" : "Jayaraman", "given" : "Sudha", "non-dropping-particle" : "", "parse-names" : false, "suffix" : "" }, { "dropping-particle" : "", "family" : "Johns", "given" : "Nicole", "non-dropping-particle" : "", "parse-names" : false, "suffix" : "" }, { "dropping-particle" : "", "family" : "Karthikeyan", "given" : "Ganesan", "non-dropping-particle" : "", "parse-names" : false, "suffix" : "" }, { "dropping-particle" : "", "family" : "Kassebaum", "given" : "Nicholas", "non-dropping-particle" : "", "parse-names" : false, "suffix" : "" }, { "dropping-particle" : "", "family" : "Keren", "given" : "Andre", "non-dropping-particle" : "", "parse-names" : false, "suffix" : "" }, { "dropping-particle" : "", "family" : "Khoo", "given" : "Jon Paul", "non-dropping-particle" : "", "parse-names" : false, "suffix" : "" }, { "dropping-particle" : "", "family" : "Knowlton", "given" : "Lisa Marie", "non-dropping-particle" : "", "parse-names" : false, "suffix" : "" }, { "dropping-particle" : "", "family" : "Kobusingye", "given" : "Olive", "non-dropping-particle" : "", "parse-names" : false, "suffix" : "" }, { "dropping-particle" : "", "family" : "Koranteng", "given" : "Adofo", "non-dropping-particle" : "", "parse-names" : false, "suffix" : "" }, { "dropping-particle" : "", "family" : "Krishnamurthi", "given" : "Rita", "non-dropping-particle" : "", "parse-names" : false, "suffix" : "" }, { "dropping-particle" : "", "family" : "Lipnick", "given" : "Michael", "non-dropping-particle" : "", "parse-names" : false, "suffix" : "" }, { "dropping-particle" : "", "family" : "Lipshultz", "given" : "Steven E.", "non-dropping-particle" : "", "parse-names" : false, "suffix" : "" }, { "dropping-particle" : "", "family" : "Ohno", "given" : "Summer Lockett", "non-dropping-particle" : "", "parse-names" : false, "suffix" : "" }, { "dropping-particle" : "", "family" : "Mabweijano", "given" : "Jacqueline", "non-dropping-particle" : "", "parse-names" : false, "suffix" : "" }, { "dropping-particle" : "", "family" : "MacIntyre", "given" : "Michael F.", "non-dropping-particle" : "", "parse-names" : false, "suffix" : "" }, { "dropping-particle" : "", "family" : "Mallinger", "given" : "Leslie", "non-dropping-particle" : "", "parse-names" : false, "suffix" : "" }, { "dropping-particle" : "", "family" : "March", "given" : "Lyn", "non-dropping-particle" : "", "parse-names" : false, "suffix" : "" }, { "dropping-particle" : "", "family" : "Marks", "given" : "Guy B.", "non-dropping-particle" : "", "parse-names" : false, "suffix" : "" }, { "dropping-particle" : "", "family" : "Marks", "given" : "Robin", "non-dropping-particle" : "", "parse-names" : false, "suffix" : "" }, { "dropping-particle" : "", "family" : "Matsumori", "given" : "Akira", "non-dropping-particle" : "", "parse-names" : false, "suffix" : "" }, { "dropping-particle" : "", "family" : "Matzopoulos", "given" : "Richard", "non-dropping-particle" : "", "parse-names" : false, "suffix" : "" }, { "dropping-particle" : "", "family" : "Mayosi", "given" : "Bongani M.", "non-dropping-particle" : "", "parse-names" : false, "suffix" : "" }, { "dropping-particle" : "", "family" : "McAnulty", "given" : "John H.", "non-dropping-particle" : "", "parse-names" : false, "suffix" : "" }, { "dropping-particle" : "", "family" : "McDermott", "given" : "Mary M.", "non-dropping-particle" : "", "parse-names" : false, "suffix" : "" }, { "dropping-particle" : "", "family" : "McGrath", "given" : "John", "non-dropping-particle" : "", "parse-names" : false, "suffix" : "" }, { "dropping-particle" : "", "family" : "Mensah", "given" : "George A.", "non-dropping-particle" : "", "parse-names" : false, "suffix" : "" }, { "dropping-particle" : "", "family" : "Merriman", "given" : "Tony R.", "non-dropping-particle" : "", "parse-names" : false, "suffix" : "" }, { "dropping-particle" : "", "family" : "Michaud", "given" : "Catherine", "non-dropping-particle" : "", "parse-names" : false, "suffix" : "" }, { "dropping-particle" : "", "family" : "Miller", "given" : "Matthew", "non-dropping-particle" : "", "parse-names" : false, "suffix" : "" }, { "dropping-particle" : "", "family" : "Miller", "given" : "Ted R.", "non-dropping-particle" : "", "parse-names" : false, "suffix" : "" }, { "dropping-particle" : "", "family" : "Mock", "given" : "Charles", "non-dropping-particle" : "", "parse-names" : false, "suffix" : "" }, { "dropping-particle" : "", "family" : "Mocumbi", "given" : "Ana Olga", "non-dropping-particle" : "", "parse-names" : false, "suffix" : "" }, { "dropping-particle" : "", "family" : "Mokdad", "given" : "Ali A.", "non-dropping-particle" : "", "parse-names" : false, "suffix" : "" }, { "dropping-particle" : "", "family" : "Moran", "given" : "Andrew", "non-dropping-particle" : "", "parse-names" : false, "suffix" : "" }, { "dropping-particle" : "", "family" : "Mulholland", "given" : "Kim", "non-dropping-particle" : "", "parse-names" : false, "suffix" : "" }, { "dropping-particle" : "", "family" : "Nair", "given" : "M. Nathan", "non-dropping-particle" : "", "parse-names" : false, "suffix" : "" }, { "dropping-particle" : "", "family" : "Naldi", "given" : "Luigi", "non-dropping-particle" : "", "parse-names" : false, "suffix" : "" }, { "dropping-particle" : "", "family" : "Narayan", "given" : "K. M Venkat", "non-dropping-particle" : "", "parse-names" : false, "suffix" : "" }, { "dropping-particle" : "", "family" : "Nasseri", "given" : "Kiumarss", "non-dropping-particle" : "", "parse-names" : false, "suffix" : "" }, { "dropping-particle" : "", "family" : "Norman", "given" : "Paul", "non-dropping-particle" : "", "parse-names" : false, "suffix" : "" }, { "dropping-particle" : "", "family" : "O'Donnell", "given" : "Martin", "non-dropping-particle" : "", "parse-names" : false, "suffix" : "" }, { "dropping-particle" : "", "family" : "Omer", "given" : "Saad B.", "non-dropping-particle" : "", "parse-names" : false, "suffix" : "" }, { "dropping-particle" : "", "family" : "Ortblad", "given" : "Katrina", "non-dropping-particle" : "", "parse-names" : false, "suffix" : "" }, { "dropping-particle" : "", "family" : "Osborne", "given" : "Richard", "non-dropping-particle" : "", "parse-names" : false, "suffix" : "" }, { "dropping-particle" : "", "family" : "Ozgediz", "given" : "Doruk", "non-dropping-particle" : "", "parse-names" : false, "suffix" : "" }, { "dropping-particle" : "", "family" : "Pahari", "given" : "Bishnu", "non-dropping-particle" : "", "parse-names" : false, "suffix" : "" }, { "dropping-particle" : "", "family" : "Pandian", "given" : "Jeyaraj Durai", "non-dropping-particle" : "", "parse-names" : false, "suffix" : "" }, { "dropping-particle" : "", "family" : "Rivero", "given" : "Andrea Panozo", "non-dropping-particle" : "", "parse-names" : false, "suffix" : "" }, { "dropping-particle" : "", "family" : "Padilla", "given" : "Rogelio Perez", "non-dropping-particle" : "", "parse-names" : false, "suffix" : "" }, { "dropping-particle" : "", "family" : "Perez-Ruiz", "given" : "Fernando", "non-dropping-particle" : "", "parse-names" : false, "suffix" : "" }, { "dropping-particle" : "", "family" : "Perico", "given" : "Norberto", "non-dropping-particle" : "", "parse-names" : false, "suffix" : "" }, { "dropping-particle" : "", "family" : "Phillips", "given" : "David", "non-dropping-particle" : "", "parse-names" : false, "suffix" : "" }, { "dropping-particle" : "", "family" : "Pierce", "given" : "Kelsey", "non-dropping-particle" : "", "parse-names" : false, "suffix" : "" }, { "dropping-particle" : "", "family" : "Pope", "given" : "C. Arden", "non-dropping-particle" : "", "parse-names" : false, "suffix" : "" }, { "dropping-particle" : "", "family" : "Porrini", "given" : "Esteban", "non-dropping-particle" : "", "parse-names" : false, "suffix" : "" }, { "dropping-particle" : "", "family" : "Pourmalek", "given" : "Farshad", "non-dropping-particle" : "", "parse-names" : false, "suffix" : "" }, { "dropping-particle" : "", "family" : "Raju", "given" : "Murugesan", "non-dropping-particle" : "", "parse-names" : false, "suffix" : "" }, { "dropping-particle" : "", "family" : "Ranganathan", "given" : "Dharani", "non-dropping-particle" : "", "parse-names" : false, "suffix" : "" }, { "dropping-particle" : "", "family" : "Rehm", "given" : "J??rgen T.", "non-dropping-particle" : "", "parse-names" : false, "suffix" : "" }, { "dropping-particle" : "", "family" : "Rein", "given" : "David B.", "non-dropping-particle" : "", "parse-names" : false, "suffix" : "" }, { "dropping-particle" : "", "family" : "Remuzzi", "given" : "Guiseppe", "non-dropping-particle" : "", "parse-names" : false, "suffix" : "" }, { "dropping-particle" : "", "family" : "Rivara", "given" : "Frederick P.", "non-dropping-particle" : "", "parse-names" : false, "suffix" : "" }, { "dropping-particle" : "", "family" : "Roberts", "given" : "Thomas", "non-dropping-particle" : "", "parse-names" : false, "suffix" : "" }, { "dropping-particle" : "", "family" : "Le??n", "given" : "Felipe Rodriguez", "non-dropping-particle" : "De", "parse-names" : false, "suffix" : "" }, { "dropping-particle" : "", "family" : "Rosenfeld", "given" : "Lisa C.", "non-dropping-particle" : "", "parse-names" : false, "suffix" : "" }, { "dropping-particle" : "", "family" : "Rushton", "given" : "Lesley", "non-dropping-particle" : "", "parse-names" : false, "suffix" : "" }, { "dropping-particle" : "", "family" : "Sacco", "given" : "Ralph L.", "non-dropping-particle" : "", "parse-names" : false, "suffix" : "" }, { "dropping-particle" : "", "family" : "Salomon", "given" : "Joshua A.", "non-dropping-particle" : "", "parse-names" : false, "suffix" : "" }, { "dropping-particle" : "", "family" : "Sampson", "given" : "Uchechukwu", "non-dropping-particle" : "", "parse-names" : false, "suffix" : "" }, { "dropping-particle" : "", "family" : "Sanman", "given" : "Ella", "non-dropping-particle" : "", "parse-names" : false, "suffix" : "" }, { "dropping-particle" : "", "family" : "Schwebel", "given" : "David C.", "non-dropping-particle" : "", "parse-names" : false, "suffix" : "" }, { "dropping-particle" : "", "family" : "Segui-Gomez", "given" : "Maria", "non-dropping-particle" : "", "parse-names" : false, "suffix" : "" }, { "dropping-particle" : "", "family" : "Shepard", "given" : "Donald S.", "non-dropping-particle" : "", "parse-names" : false, "suffix" : "" }, { "dropping-particle" : "", "family" : "Singh", "given" : "David", "non-dropping-particle" : "", "parse-names" : false, "suffix" : "" }, { "dropping-particle" : "", "family" : "Singleton", "given" : "Jessica", "non-dropping-particle" : "", "parse-names" : false, "suffix" : "" }, { "dropping-particle" : "", "family" : "Sliwa", "given" : "Karen", "non-dropping-particle" : "", "parse-names" : false, "suffix" : "" }, { "dropping-particle" : "", "family" : "Smith", "given" : "Emma", "non-dropping-particle" : "", "parse-names" : false, "suffix" : "" }, { "dropping-particle" : "", "family" : "Steer", "given" : "Andrew", "non-dropping-particle" : "", "parse-names" : false, "suffix" : "" }, { "dropping-particle" : "", "family" : "Taylor", "given" : "Jennifer A.", "non-dropping-particle" : "", "parse-names" : false, "suffix" : "" }, { "dropping-particle" : "", "family" : "Thomas", "given" : "Bernadette", "non-dropping-particle" : "", "parse-names" : false, "suffix" : "" }, { "dropping-particle" : "", "family" : "Tleyjeh", "given" : "Imad M.", "non-dropping-particle" : "", "parse-names" : false, "suffix" : "" }, { "dropping-particle" : "", "family" : "Towbin", "given" : "Jeffrey A.", "non-dropping-particle" : "", "parse-names" : false, "suffix" : "" }, { "dropping-particle" : "", "family" : "Truelsen", "given" : "Thomas", "non-dropping-particle" : "", "parse-names" : false, "suffix" : "" }, { "dropping-particle" : "", "family" : "Undurraga", "given" : "Eduardo A.", "non-dropping-particle" : "", "parse-names" : false, "suffix" : "" }, { "dropping-particle" : "", "family" : "Venketasubramanian", "given" : "N.", "non-dropping-particle" : "", "parse-names" : false, "suffix" : "" }, { "dropping-particle" : "", "family" : "Vijayakumar", "given" : "Lakshmi", "non-dropping-particle" : "", "parse-names" : false, "suffix" : "" }, { "dropping-particle" : "", "family" : "Vos", "given" : "Theo", "non-dropping-particle" : "", "parse-names" : false, "suffix" : "" }, { "dropping-particle" : "", "family" : "Wagner", "given" : "Gregory R.", "non-dropping-particle" : "", "parse-names" : false, "suffix" : "" }, { "dropping-particle" : "", "family" : "Wang", "given" : "Mengru", "non-dropping-particle" : "", "parse-names" : false, "suffix" : "" }, { "dropping-particle" : "", "family" : "Wang", "given" : "Wenzhi", "non-dropping-particle" : "", "parse-names" : false, "suffix" : "" }, { "dropping-particle" : "", "family" : "Watt", "given" : "Kerrianne", "non-dropping-particle" : "", "parse-names" : false, "suffix" : "" }, { "dropping-particle" : "", "family" : "Weinstock", "given" : "Martin A.", "non-dropping-particle" : "", "parse-names" : false, "suffix" : "" }, { "dropping-particle" : "", "family" : "Weintraub", "given" : "Robert", "non-dropping-particle" : "", "parse-names" : false, "suffix" : "" }, { "dropping-particle" : "", "family" : "Wilkinson", "given" : "James D.", "non-dropping-particle" : "", "parse-names" : false, "suffix" : "" }, { "dropping-particle" : "", "family" : "Woolf", "given" : "Anthony D.", "non-dropping-particle" : "", "parse-names" : false, "suffix" : "" }, { "dropping-particle" : "", "family" : "Wulf", "given" : "Sarah", "non-dropping-particle" : "", "parse-names" : false, "suffix" : "" }, { "dropping-particle" : "", "family" : "Yeh", "given" : "Pon Hsiu", "non-dropping-particle" : "", "parse-names" : false, "suffix" : "" }, { "dropping-particle" : "", "family" : "Yip", "given" : "Paul", "non-dropping-particle" : "", "parse-names" : false, "suffix" : "" }, { "dropping-particle" : "", "family" : "Zabetian", "given" : "Azadeh", "non-dropping-particle" : "", "parse-names" : false, "suffix" : "" }, { "dropping-particle" : "", "family" : "Zheng", "given" : "Zhi Jie", "non-dropping-particle" : "", "parse-names" : false, "suffix" : "" }, { "dropping-particle" : "", "family" : "Lopez", "given" : "Alan D.", "non-dropping-particle" : "", "parse-names" : false, "suffix" : "" }, { "dropping-particle" : "", "family" : "Murray", "given" : "Christopher J L", "non-dropping-particle" : "", "parse-names" : false, "suffix" : "" } ], "container-title" : "The Lancet", "id" : "ITEM-1", "issue" : "9859", "issued" : { "date-parts" : [ [ "2012" ] ] }, "page" : "2095-2128", "title" : "Global and regional mortality from 235 causes of death for 20 age groups in 1990 and 2010: A systematic analysis for the Global Burden of Disease Study 2010", "type" : "article-journal", "volume" : "380" }, "uris" : [ "http://www.mendeley.com/documents/?uuid=3ed9bc9a-d486-453a-a4c1-0ed068280e76" ] } ], "mendeley" : { "formattedCitation" : "(Lozano et al., 2012)", "plainTextFormattedCitation" : "(Lozano et al., 2012)", "previouslyFormattedCitation" : "(Lozano et al., 2012)" }, "properties" : {  }, "schema" : "https://github.com/citation-style-language/schema/raw/master/csl-citation.json" }</w:instrText>
      </w:r>
      <w:r w:rsidRPr="008D2AA0">
        <w:rPr>
          <w:rFonts w:ascii="Arial" w:hAnsi="Arial" w:cs="Arial"/>
        </w:rPr>
        <w:fldChar w:fldCharType="separate"/>
      </w:r>
      <w:r w:rsidRPr="005A298F">
        <w:rPr>
          <w:rFonts w:ascii="Arial" w:hAnsi="Arial" w:cs="Arial"/>
          <w:noProof/>
        </w:rPr>
        <w:t>(Lozano et al., 2012)</w:t>
      </w:r>
      <w:r w:rsidRPr="008D2AA0">
        <w:rPr>
          <w:rFonts w:ascii="Arial" w:hAnsi="Arial" w:cs="Arial"/>
        </w:rPr>
        <w:fldChar w:fldCharType="end"/>
      </w:r>
      <w:r w:rsidRPr="008D2AA0">
        <w:rPr>
          <w:rFonts w:ascii="Arial" w:hAnsi="Arial" w:cs="Arial"/>
        </w:rPr>
        <w:t>.</w:t>
      </w:r>
    </w:p>
    <w:p w:rsidR="004D79C3" w:rsidRDefault="004D79C3" w:rsidP="004D79C3">
      <w:pPr>
        <w:rPr>
          <w:rFonts w:ascii="Arial" w:eastAsiaTheme="minorEastAsia" w:hAnsi="Arial" w:cs="Arial"/>
          <w:sz w:val="20"/>
        </w:rPr>
      </w:pPr>
    </w:p>
    <w:p w:rsidR="004D79C3" w:rsidRDefault="004D79C3" w:rsidP="004D79C3">
      <w:pPr>
        <w:outlineLvl w:val="0"/>
        <w:rPr>
          <w:rFonts w:ascii="Arial" w:eastAsiaTheme="minorEastAsia" w:hAnsi="Arial" w:cs="Arial"/>
          <w:b/>
        </w:rPr>
      </w:pPr>
      <w:r w:rsidRPr="00937FE4">
        <w:rPr>
          <w:rFonts w:ascii="Arial" w:eastAsiaTheme="minorEastAsia" w:hAnsi="Arial" w:cs="Arial"/>
          <w:b/>
        </w:rPr>
        <w:t>Diet-related risk factors</w:t>
      </w:r>
    </w:p>
    <w:p w:rsidR="004D79C3" w:rsidRPr="008D2AA0" w:rsidRDefault="004D79C3" w:rsidP="004D79C3">
      <w:pPr>
        <w:spacing w:line="480" w:lineRule="auto"/>
        <w:rPr>
          <w:rFonts w:ascii="Arial" w:hAnsi="Arial" w:cs="Arial"/>
        </w:rPr>
      </w:pPr>
      <w:r w:rsidRPr="008D2AA0">
        <w:rPr>
          <w:rFonts w:ascii="Arial" w:hAnsi="Arial" w:cs="Arial"/>
        </w:rPr>
        <w:t xml:space="preserve">Diet-related risk factors (RR) were based on several assumptions: that the total population was subject to the risk associated with its regional consumption level, c; that risk begin increasing above zero meat intake levels; and these risks have no upper limit. In this assessment, the assumed serving size, s, of meat was taken to be 100g. The risk factor for a given country was therefore defined </w:t>
      </w:r>
      <w:r>
        <w:rPr>
          <w:rFonts w:ascii="Arial" w:hAnsi="Arial" w:cs="Arial"/>
        </w:rPr>
        <w:t>by Eq. (A.4)</w:t>
      </w:r>
      <w:r w:rsidRPr="008D2AA0">
        <w:rPr>
          <w:rFonts w:ascii="Arial" w:hAnsi="Arial" w:cs="Arial"/>
        </w:rPr>
        <w:t>:</w:t>
      </w:r>
    </w:p>
    <w:p w:rsidR="004D79C3" w:rsidRPr="002E3DCA" w:rsidRDefault="004D79C3" w:rsidP="004D79C3">
      <w:pPr>
        <w:ind w:left="2880" w:firstLine="720"/>
        <w:rPr>
          <w:rFonts w:ascii="Arial" w:eastAsiaTheme="minorEastAsia" w:hAnsi="Arial" w:cs="Arial"/>
          <w:sz w:val="24"/>
        </w:rPr>
      </w:pPr>
      <m:oMath>
        <m:r>
          <w:rPr>
            <w:rFonts w:ascii="Cambria Math" w:eastAsiaTheme="minorEastAsia" w:hAnsi="Cambria Math" w:cs="Arial"/>
            <w:sz w:val="24"/>
          </w:rPr>
          <m:t xml:space="preserve">RRi= </m:t>
        </m:r>
        <m:sSup>
          <m:sSupPr>
            <m:ctrlPr>
              <w:rPr>
                <w:rFonts w:ascii="Cambria Math" w:eastAsiaTheme="minorEastAsia" w:hAnsi="Cambria Math" w:cs="Arial"/>
                <w:i/>
                <w:sz w:val="24"/>
              </w:rPr>
            </m:ctrlPr>
          </m:sSupPr>
          <m:e>
            <m:r>
              <w:rPr>
                <w:rFonts w:ascii="Cambria Math" w:eastAsiaTheme="minorEastAsia" w:hAnsi="Cambria Math" w:cs="Arial"/>
                <w:sz w:val="24"/>
              </w:rPr>
              <m:t>RR</m:t>
            </m:r>
          </m:e>
          <m:sup>
            <m:f>
              <m:fPr>
                <m:ctrlPr>
                  <w:rPr>
                    <w:rFonts w:ascii="Cambria Math" w:eastAsiaTheme="minorEastAsia" w:hAnsi="Cambria Math" w:cs="Arial"/>
                    <w:i/>
                    <w:sz w:val="24"/>
                  </w:rPr>
                </m:ctrlPr>
              </m:fPr>
              <m:num>
                <m:r>
                  <w:rPr>
                    <w:rFonts w:ascii="Cambria Math" w:eastAsiaTheme="minorEastAsia" w:hAnsi="Cambria Math" w:cs="Arial"/>
                    <w:sz w:val="24"/>
                  </w:rPr>
                  <m:t>c</m:t>
                </m:r>
              </m:num>
              <m:den>
                <m:r>
                  <w:rPr>
                    <w:rFonts w:ascii="Cambria Math" w:eastAsiaTheme="minorEastAsia" w:hAnsi="Cambria Math" w:cs="Arial"/>
                    <w:sz w:val="24"/>
                  </w:rPr>
                  <m:t>s</m:t>
                </m:r>
              </m:den>
            </m:f>
          </m:sup>
        </m:sSup>
      </m:oMath>
      <w:r>
        <w:rPr>
          <w:rFonts w:ascii="Arial" w:eastAsiaTheme="minorEastAsia" w:hAnsi="Arial" w:cs="Arial"/>
          <w:sz w:val="24"/>
        </w:rPr>
        <w:t xml:space="preserve">  </w:t>
      </w:r>
      <w:r>
        <w:rPr>
          <w:rFonts w:ascii="Arial" w:eastAsiaTheme="minorEastAsia" w:hAnsi="Arial" w:cs="Arial"/>
          <w:sz w:val="24"/>
        </w:rPr>
        <w:tab/>
      </w:r>
      <w:r>
        <w:rPr>
          <w:rFonts w:ascii="Arial" w:eastAsiaTheme="minorEastAsia" w:hAnsi="Arial" w:cs="Arial"/>
          <w:sz w:val="24"/>
        </w:rPr>
        <w:tab/>
      </w:r>
      <w:r w:rsidRPr="00373A7B">
        <w:rPr>
          <w:rFonts w:ascii="Arial" w:eastAsiaTheme="minorEastAsia" w:hAnsi="Arial" w:cs="Arial"/>
        </w:rPr>
        <w:t>Eq. (A.4)</w:t>
      </w:r>
    </w:p>
    <w:p w:rsidR="004D79C3" w:rsidRPr="002E3DCA" w:rsidRDefault="004D79C3" w:rsidP="004D79C3">
      <w:pPr>
        <w:rPr>
          <w:rFonts w:ascii="Arial" w:eastAsiaTheme="minorEastAsia" w:hAnsi="Arial" w:cs="Arial"/>
          <w:sz w:val="24"/>
        </w:rPr>
      </w:pPr>
    </w:p>
    <w:p w:rsidR="004D79C3" w:rsidRPr="008D2AA0" w:rsidRDefault="004D79C3" w:rsidP="004D79C3">
      <w:pPr>
        <w:rPr>
          <w:rFonts w:ascii="Arial" w:hAnsi="Arial" w:cs="Arial"/>
        </w:rPr>
      </w:pPr>
      <w:r w:rsidRPr="008D2AA0">
        <w:rPr>
          <w:rFonts w:ascii="Arial" w:hAnsi="Arial" w:cs="Arial"/>
        </w:rPr>
        <w:t>This yields a PAF calculation defined</w:t>
      </w:r>
      <w:r>
        <w:rPr>
          <w:rFonts w:ascii="Arial" w:hAnsi="Arial" w:cs="Arial"/>
        </w:rPr>
        <w:t xml:space="preserve"> by Eq. (A.5)</w:t>
      </w:r>
      <w:r w:rsidRPr="008D2AA0">
        <w:rPr>
          <w:rFonts w:ascii="Arial" w:hAnsi="Arial" w:cs="Arial"/>
        </w:rPr>
        <w:t>:</w:t>
      </w:r>
    </w:p>
    <w:p w:rsidR="004D79C3" w:rsidRPr="002E3DCA" w:rsidRDefault="004D79C3" w:rsidP="004D79C3">
      <w:pPr>
        <w:ind w:left="2160" w:firstLine="720"/>
        <w:rPr>
          <w:rFonts w:ascii="Arial" w:eastAsiaTheme="minorEastAsia" w:hAnsi="Arial" w:cs="Arial"/>
          <w:sz w:val="24"/>
        </w:rPr>
      </w:pPr>
      <m:oMath>
        <m:r>
          <w:rPr>
            <w:rFonts w:ascii="Cambria Math" w:eastAsiaTheme="minorEastAsia" w:hAnsi="Cambria Math" w:cs="Arial"/>
            <w:sz w:val="24"/>
          </w:rPr>
          <m:t>PAFi=1-</m:t>
        </m:r>
        <m:f>
          <m:fPr>
            <m:ctrlPr>
              <w:rPr>
                <w:rFonts w:ascii="Cambria Math" w:eastAsiaTheme="minorEastAsia" w:hAnsi="Cambria Math" w:cs="Arial"/>
                <w:i/>
                <w:sz w:val="24"/>
              </w:rPr>
            </m:ctrlPr>
          </m:fPr>
          <m:num>
            <m:r>
              <w:rPr>
                <w:rFonts w:ascii="Cambria Math" w:eastAsiaTheme="minorEastAsia" w:hAnsi="Cambria Math" w:cs="Arial"/>
                <w:sz w:val="24"/>
              </w:rPr>
              <m:t>RR</m:t>
            </m:r>
            <m:f>
              <m:fPr>
                <m:ctrlPr>
                  <w:rPr>
                    <w:rFonts w:ascii="Cambria Math" w:eastAsiaTheme="minorEastAsia" w:hAnsi="Cambria Math" w:cs="Arial"/>
                    <w:i/>
                    <w:sz w:val="24"/>
                  </w:rPr>
                </m:ctrlPr>
              </m:fPr>
              <m:num>
                <m:r>
                  <w:rPr>
                    <w:rFonts w:ascii="Cambria Math" w:eastAsiaTheme="minorEastAsia" w:hAnsi="Cambria Math" w:cs="Arial"/>
                    <w:sz w:val="24"/>
                  </w:rPr>
                  <m:t>c(scn)</m:t>
                </m:r>
              </m:num>
              <m:den>
                <m:r>
                  <w:rPr>
                    <w:rFonts w:ascii="Cambria Math" w:eastAsiaTheme="minorEastAsia" w:hAnsi="Cambria Math" w:cs="Arial"/>
                    <w:sz w:val="24"/>
                  </w:rPr>
                  <m:t>s</m:t>
                </m:r>
              </m:den>
            </m:f>
          </m:num>
          <m:den>
            <m:r>
              <w:rPr>
                <w:rFonts w:ascii="Cambria Math" w:eastAsiaTheme="minorEastAsia" w:hAnsi="Cambria Math" w:cs="Arial"/>
                <w:sz w:val="24"/>
              </w:rPr>
              <m:t>RR</m:t>
            </m:r>
            <m:f>
              <m:fPr>
                <m:ctrlPr>
                  <w:rPr>
                    <w:rFonts w:ascii="Cambria Math" w:eastAsiaTheme="minorEastAsia" w:hAnsi="Cambria Math" w:cs="Arial"/>
                    <w:i/>
                    <w:sz w:val="24"/>
                  </w:rPr>
                </m:ctrlPr>
              </m:fPr>
              <m:num>
                <m:r>
                  <w:rPr>
                    <w:rFonts w:ascii="Cambria Math" w:eastAsiaTheme="minorEastAsia" w:hAnsi="Cambria Math" w:cs="Arial"/>
                    <w:sz w:val="24"/>
                  </w:rPr>
                  <m:t>c(ref)</m:t>
                </m:r>
              </m:num>
              <m:den>
                <m:r>
                  <w:rPr>
                    <w:rFonts w:ascii="Cambria Math" w:eastAsiaTheme="minorEastAsia" w:hAnsi="Cambria Math" w:cs="Arial"/>
                    <w:sz w:val="24"/>
                  </w:rPr>
                  <m:t>s</m:t>
                </m:r>
              </m:den>
            </m:f>
          </m:den>
        </m:f>
        <m:r>
          <w:rPr>
            <w:rFonts w:ascii="Cambria Math" w:eastAsiaTheme="minorEastAsia" w:hAnsi="Cambria Math" w:cs="Arial"/>
            <w:sz w:val="24"/>
          </w:rPr>
          <m:t xml:space="preserve"> </m:t>
        </m:r>
      </m:oMath>
      <w:r>
        <w:rPr>
          <w:rFonts w:ascii="Arial" w:eastAsiaTheme="minorEastAsia" w:hAnsi="Arial" w:cs="Arial"/>
          <w:sz w:val="24"/>
        </w:rPr>
        <w:tab/>
      </w:r>
      <w:r>
        <w:rPr>
          <w:rFonts w:ascii="Arial" w:eastAsiaTheme="minorEastAsia" w:hAnsi="Arial" w:cs="Arial"/>
          <w:sz w:val="24"/>
        </w:rPr>
        <w:tab/>
      </w:r>
      <w:r w:rsidRPr="00373A7B">
        <w:rPr>
          <w:rFonts w:ascii="Arial" w:eastAsiaTheme="minorEastAsia" w:hAnsi="Arial" w:cs="Arial"/>
        </w:rPr>
        <w:t>Eq. (A.5)</w:t>
      </w:r>
    </w:p>
    <w:p w:rsidR="004D79C3" w:rsidRPr="008D2AA0" w:rsidRDefault="004D79C3" w:rsidP="004D79C3">
      <w:pPr>
        <w:spacing w:line="480" w:lineRule="auto"/>
        <w:rPr>
          <w:rFonts w:ascii="Arial" w:hAnsi="Arial" w:cs="Arial"/>
        </w:rPr>
      </w:pPr>
      <w:r w:rsidRPr="008D2AA0">
        <w:rPr>
          <w:rFonts w:ascii="Arial" w:hAnsi="Arial" w:cs="Arial"/>
        </w:rPr>
        <w:t>Where c(ref) denotes the consumption level in business-as-usual assumptions, and c(</w:t>
      </w:r>
      <w:proofErr w:type="spellStart"/>
      <w:r w:rsidRPr="008D2AA0">
        <w:rPr>
          <w:rFonts w:ascii="Arial" w:hAnsi="Arial" w:cs="Arial"/>
        </w:rPr>
        <w:t>scn</w:t>
      </w:r>
      <w:proofErr w:type="spellEnd"/>
      <w:r w:rsidRPr="008D2AA0">
        <w:rPr>
          <w:rFonts w:ascii="Arial" w:hAnsi="Arial" w:cs="Arial"/>
        </w:rPr>
        <w:t>) is the level of consumption under meat substitution scenarios.</w:t>
      </w:r>
    </w:p>
    <w:p w:rsidR="004D79C3" w:rsidRDefault="004D79C3" w:rsidP="004D79C3">
      <w:pPr>
        <w:rPr>
          <w:rFonts w:ascii="Arial" w:eastAsiaTheme="minorEastAsia" w:hAnsi="Arial" w:cs="Arial"/>
          <w:b/>
        </w:rPr>
      </w:pPr>
    </w:p>
    <w:p w:rsidR="004D79C3" w:rsidRDefault="004D79C3" w:rsidP="004D79C3">
      <w:pPr>
        <w:spacing w:line="480" w:lineRule="auto"/>
        <w:outlineLvl w:val="0"/>
        <w:rPr>
          <w:rFonts w:ascii="Arial" w:eastAsiaTheme="minorEastAsia" w:hAnsi="Arial" w:cs="Arial"/>
          <w:b/>
        </w:rPr>
      </w:pPr>
      <w:r>
        <w:rPr>
          <w:rFonts w:ascii="Arial" w:eastAsiaTheme="minorEastAsia" w:hAnsi="Arial" w:cs="Arial"/>
          <w:b/>
        </w:rPr>
        <w:t>Weight</w:t>
      </w:r>
      <w:r w:rsidRPr="00937FE4">
        <w:rPr>
          <w:rFonts w:ascii="Arial" w:eastAsiaTheme="minorEastAsia" w:hAnsi="Arial" w:cs="Arial"/>
          <w:b/>
        </w:rPr>
        <w:t>-related risk factors</w:t>
      </w:r>
    </w:p>
    <w:p w:rsidR="004D79C3" w:rsidRPr="008D2AA0" w:rsidRDefault="004D79C3" w:rsidP="004D79C3">
      <w:pPr>
        <w:spacing w:line="480" w:lineRule="auto"/>
        <w:rPr>
          <w:rFonts w:ascii="Arial" w:hAnsi="Arial" w:cs="Arial"/>
        </w:rPr>
      </w:pPr>
      <w:r w:rsidRPr="008D2AA0">
        <w:rPr>
          <w:rFonts w:ascii="Arial" w:hAnsi="Arial" w:cs="Arial"/>
        </w:rPr>
        <w:t xml:space="preserve">This analysis considered the number of deaths avoided as a result of a reduction in weight-related disease burden as a result of a reduction in BMI through meat substitution. The </w:t>
      </w:r>
      <w:r w:rsidRPr="008D2AA0">
        <w:rPr>
          <w:rFonts w:ascii="Arial" w:hAnsi="Arial" w:cs="Arial"/>
        </w:rPr>
        <w:lastRenderedPageBreak/>
        <w:t>relationship between national average BMI and caloric intake was established based on global datasets from the FAO and WHO for the years 1980-2009</w:t>
      </w:r>
      <w:r>
        <w:rPr>
          <w:rFonts w:ascii="Arial" w:hAnsi="Arial" w:cs="Arial"/>
        </w:rPr>
        <w:t xml:space="preserve"> </w:t>
      </w:r>
      <w:r w:rsidRPr="008D2AA0">
        <w:rPr>
          <w:rFonts w:ascii="Arial" w:hAnsi="Arial" w:cs="Arial"/>
        </w:rPr>
        <w:fldChar w:fldCharType="begin" w:fldLock="1"/>
      </w:r>
      <w:r>
        <w:rPr>
          <w:rFonts w:ascii="Arial" w:hAnsi="Arial" w:cs="Arial"/>
        </w:rPr>
        <w:instrText>ADDIN CSL_CITATION { "citationItems" : [ { "id" : "ITEM-1", "itemData" : { "author" : [ { "dropping-particle" : "", "family" : "Springmann", "given" : "Marco", "non-dropping-particle" : "", "parse-names" : false, "suffix" : "" }, { "dropping-particle" : "", "family" : "Mason-D'Croz", "given" : "Daniel", "non-dropping-particle" : "", "parse-names" : false, "suffix" : "" }, { "dropping-particle" : "", "family" : "Robinson", "given" : "Sherman", "non-dropping-particle" : "", "parse-names" : false, "suffix" : "" }, { "dropping-particle" : "", "family" : "Garnett", "given" : "Tara", "non-dropping-particle" : "", "parse-names" : false, "suffix" : "" }, { "dropping-particle" : "", "family" : "Godfray", "given" : "H. Charles J", "non-dropping-particle" : "", "parse-names" : false, "suffix" : "" }, { "dropping-particle" : "", "family" : "Gollin", "given" : "Douglas", "non-dropping-particle" : "", "parse-names" : false, "suffix" : "" }, { "dropping-particle" : "", "family" : "Rayner", "given" : "Mike", "non-dropping-particle" : "", "parse-names" : false, "suffix" : "" }, { "dropping-particle" : "", "family" : "Ballon", "given" : "Paola", "non-dropping-particle" : "", "parse-names" : false, "suffix" : "" }, { "dropping-particle" : "", "family" : "Scarborough", "given" : "Peter", "non-dropping-particle" : "", "parse-names" : false, "suffix" : "" } ], "id" : "ITEM-1", "issue" : "15", "issued" : { "date-parts" : [ [ "2016" ] ] }, "page" : "491-504", "title" : "The global and regional health impacts of future food production under climate change: a modelling study (Supplementary Material)", "type" : "article-journal", "volume" : "6736" }, "uris" : [ "http://www.mendeley.com/documents/?uuid=efd23251-7ab0-4f69-82ba-ee9526dc7366" ] } ], "mendeley" : { "formattedCitation" : "(Springmann, Mason-D\u2019Croz, Robinson, Garnett, et al., 2016)", "manualFormatting" : "(Springmann et al., 2016)", "plainTextFormattedCitation" : "(Springmann, Mason-D\u2019Croz, Robinson, Garnett, et al., 2016)", "previouslyFormattedCitation" : "(Springmann, Mason-D\u2019Croz, Robinson, Garnett, et al., 2016)" }, "properties" : {  }, "schema" : "https://github.com/citation-style-language/schema/raw/master/csl-citation.json" }</w:instrText>
      </w:r>
      <w:r w:rsidRPr="008D2AA0">
        <w:rPr>
          <w:rFonts w:ascii="Arial" w:hAnsi="Arial" w:cs="Arial"/>
        </w:rPr>
        <w:fldChar w:fldCharType="separate"/>
      </w:r>
      <w:r w:rsidRPr="005A298F">
        <w:rPr>
          <w:rFonts w:ascii="Arial" w:hAnsi="Arial" w:cs="Arial"/>
          <w:noProof/>
        </w:rPr>
        <w:t>(Spr</w:t>
      </w:r>
      <w:r>
        <w:rPr>
          <w:rFonts w:ascii="Arial" w:hAnsi="Arial" w:cs="Arial"/>
          <w:noProof/>
        </w:rPr>
        <w:t>ingmann</w:t>
      </w:r>
      <w:r w:rsidRPr="005A298F">
        <w:rPr>
          <w:rFonts w:ascii="Arial" w:hAnsi="Arial" w:cs="Arial"/>
          <w:noProof/>
        </w:rPr>
        <w:t xml:space="preserve"> et al., 2016)</w:t>
      </w:r>
      <w:r w:rsidRPr="008D2AA0">
        <w:rPr>
          <w:rFonts w:ascii="Arial" w:hAnsi="Arial" w:cs="Arial"/>
        </w:rPr>
        <w:fldChar w:fldCharType="end"/>
      </w:r>
      <w:r w:rsidRPr="008D2AA0">
        <w:rPr>
          <w:rFonts w:ascii="Arial" w:hAnsi="Arial" w:cs="Arial"/>
        </w:rPr>
        <w:t>. This yields the polynomial relationship</w:t>
      </w:r>
      <w:r>
        <w:rPr>
          <w:rFonts w:ascii="Arial" w:hAnsi="Arial" w:cs="Arial"/>
        </w:rPr>
        <w:t xml:space="preserve">, </w:t>
      </w:r>
      <w:proofErr w:type="spellStart"/>
      <w:r>
        <w:rPr>
          <w:rFonts w:ascii="Arial" w:hAnsi="Arial" w:cs="Arial"/>
        </w:rPr>
        <w:t>Eq</w:t>
      </w:r>
      <w:proofErr w:type="spellEnd"/>
      <w:r>
        <w:rPr>
          <w:rFonts w:ascii="Arial" w:hAnsi="Arial" w:cs="Arial"/>
        </w:rPr>
        <w:t xml:space="preserve"> (A.6)</w:t>
      </w:r>
      <w:r w:rsidRPr="008D2AA0">
        <w:rPr>
          <w:rFonts w:ascii="Arial" w:hAnsi="Arial" w:cs="Arial"/>
        </w:rPr>
        <w:t>:</w:t>
      </w:r>
    </w:p>
    <w:p w:rsidR="004D79C3" w:rsidRDefault="004D79C3" w:rsidP="004D79C3">
      <w:pPr>
        <w:rPr>
          <w:rFonts w:ascii="Arial" w:eastAsiaTheme="minorEastAsia" w:hAnsi="Arial" w:cs="Arial"/>
          <w:sz w:val="20"/>
        </w:rPr>
      </w:pPr>
      <m:oMath>
        <m:r>
          <w:rPr>
            <w:rFonts w:ascii="Cambria Math" w:eastAsiaTheme="minorEastAsia" w:hAnsi="Cambria Math" w:cs="Arial"/>
            <w:sz w:val="20"/>
          </w:rPr>
          <m:t>BMI</m:t>
        </m:r>
        <m:d>
          <m:dPr>
            <m:ctrlPr>
              <w:rPr>
                <w:rFonts w:ascii="Cambria Math" w:eastAsiaTheme="minorEastAsia" w:hAnsi="Cambria Math" w:cs="Arial"/>
                <w:i/>
                <w:sz w:val="20"/>
              </w:rPr>
            </m:ctrlPr>
          </m:dPr>
          <m:e>
            <m:r>
              <w:rPr>
                <w:rFonts w:ascii="Cambria Math" w:eastAsiaTheme="minorEastAsia" w:hAnsi="Cambria Math" w:cs="Arial"/>
                <w:sz w:val="20"/>
              </w:rPr>
              <m:t>r</m:t>
            </m:r>
          </m:e>
        </m:d>
        <m:r>
          <w:rPr>
            <w:rFonts w:ascii="Cambria Math" w:eastAsiaTheme="minorEastAsia" w:hAnsi="Cambria Math" w:cs="Arial"/>
            <w:sz w:val="20"/>
          </w:rPr>
          <m:t>=</m:t>
        </m:r>
        <m:d>
          <m:dPr>
            <m:ctrlPr>
              <w:rPr>
                <w:rFonts w:ascii="Cambria Math" w:eastAsiaTheme="minorEastAsia" w:hAnsi="Cambria Math" w:cs="Arial"/>
                <w:i/>
                <w:sz w:val="20"/>
              </w:rPr>
            </m:ctrlPr>
          </m:dPr>
          <m:e>
            <m:r>
              <w:rPr>
                <w:rFonts w:ascii="Cambria Math" w:eastAsiaTheme="minorEastAsia" w:hAnsi="Cambria Math" w:cs="Arial"/>
                <w:sz w:val="20"/>
              </w:rPr>
              <m:t>-9.53.</m:t>
            </m:r>
            <m:sSup>
              <m:sSupPr>
                <m:ctrlPr>
                  <w:rPr>
                    <w:rFonts w:ascii="Cambria Math" w:eastAsiaTheme="minorEastAsia" w:hAnsi="Cambria Math" w:cs="Arial"/>
                    <w:i/>
                    <w:sz w:val="20"/>
                  </w:rPr>
                </m:ctrlPr>
              </m:sSupPr>
              <m:e>
                <m:r>
                  <w:rPr>
                    <w:rFonts w:ascii="Cambria Math" w:eastAsiaTheme="minorEastAsia" w:hAnsi="Cambria Math" w:cs="Arial"/>
                    <w:sz w:val="20"/>
                  </w:rPr>
                  <m:t>10</m:t>
                </m:r>
              </m:e>
              <m:sup>
                <m:r>
                  <w:rPr>
                    <w:rFonts w:ascii="Cambria Math" w:eastAsiaTheme="minorEastAsia" w:hAnsi="Cambria Math" w:cs="Arial"/>
                    <w:sz w:val="20"/>
                  </w:rPr>
                  <m:t>-7</m:t>
                </m:r>
              </m:sup>
            </m:sSup>
          </m:e>
        </m:d>
        <m:r>
          <w:rPr>
            <w:rFonts w:ascii="Cambria Math" w:eastAsiaTheme="minorEastAsia" w:hAnsi="Cambria Math" w:cs="Arial"/>
            <w:sz w:val="20"/>
          </w:rPr>
          <m:t>.kcal</m:t>
        </m:r>
        <m:sSup>
          <m:sSupPr>
            <m:ctrlPr>
              <w:rPr>
                <w:rFonts w:ascii="Cambria Math" w:eastAsiaTheme="minorEastAsia" w:hAnsi="Cambria Math" w:cs="Arial"/>
                <w:i/>
                <w:sz w:val="20"/>
              </w:rPr>
            </m:ctrlPr>
          </m:sSupPr>
          <m:e>
            <m:r>
              <w:rPr>
                <w:rFonts w:ascii="Cambria Math" w:eastAsiaTheme="minorEastAsia" w:hAnsi="Cambria Math" w:cs="Arial"/>
                <w:sz w:val="20"/>
              </w:rPr>
              <m:t>(r)</m:t>
            </m:r>
          </m:e>
          <m:sup>
            <m:r>
              <w:rPr>
                <w:rFonts w:ascii="Cambria Math" w:eastAsiaTheme="minorEastAsia" w:hAnsi="Cambria Math" w:cs="Arial"/>
                <w:sz w:val="20"/>
              </w:rPr>
              <m:t>2</m:t>
            </m:r>
          </m:sup>
        </m:sSup>
        <m:r>
          <w:rPr>
            <w:rFonts w:ascii="Cambria Math" w:eastAsiaTheme="minorEastAsia" w:hAnsi="Cambria Math" w:cs="Arial"/>
            <w:sz w:val="20"/>
          </w:rPr>
          <m:t>+</m:t>
        </m:r>
        <m:d>
          <m:dPr>
            <m:ctrlPr>
              <w:rPr>
                <w:rFonts w:ascii="Cambria Math" w:eastAsiaTheme="minorEastAsia" w:hAnsi="Cambria Math" w:cs="Arial"/>
                <w:i/>
                <w:sz w:val="20"/>
              </w:rPr>
            </m:ctrlPr>
          </m:dPr>
          <m:e>
            <m:r>
              <w:rPr>
                <w:rFonts w:ascii="Cambria Math" w:eastAsiaTheme="minorEastAsia" w:hAnsi="Cambria Math" w:cs="Arial"/>
                <w:sz w:val="20"/>
              </w:rPr>
              <m:t>7.87.</m:t>
            </m:r>
            <m:sSup>
              <m:sSupPr>
                <m:ctrlPr>
                  <w:rPr>
                    <w:rFonts w:ascii="Cambria Math" w:eastAsiaTheme="minorEastAsia" w:hAnsi="Cambria Math" w:cs="Arial"/>
                    <w:i/>
                    <w:sz w:val="20"/>
                  </w:rPr>
                </m:ctrlPr>
              </m:sSupPr>
              <m:e>
                <m:r>
                  <w:rPr>
                    <w:rFonts w:ascii="Cambria Math" w:eastAsiaTheme="minorEastAsia" w:hAnsi="Cambria Math" w:cs="Arial"/>
                    <w:sz w:val="20"/>
                  </w:rPr>
                  <m:t>10</m:t>
                </m:r>
              </m:e>
              <m:sup>
                <m:r>
                  <w:rPr>
                    <w:rFonts w:ascii="Cambria Math" w:eastAsiaTheme="minorEastAsia" w:hAnsi="Cambria Math" w:cs="Arial"/>
                    <w:sz w:val="20"/>
                  </w:rPr>
                  <m:t>-3</m:t>
                </m:r>
              </m:sup>
            </m:sSup>
          </m:e>
        </m:d>
        <m:r>
          <w:rPr>
            <w:rFonts w:ascii="Cambria Math" w:eastAsiaTheme="minorEastAsia" w:hAnsi="Cambria Math" w:cs="Arial"/>
            <w:sz w:val="20"/>
          </w:rPr>
          <m:t>.kcal</m:t>
        </m:r>
        <m:d>
          <m:dPr>
            <m:ctrlPr>
              <w:rPr>
                <w:rFonts w:ascii="Cambria Math" w:eastAsiaTheme="minorEastAsia" w:hAnsi="Cambria Math" w:cs="Arial"/>
                <w:i/>
                <w:sz w:val="20"/>
              </w:rPr>
            </m:ctrlPr>
          </m:dPr>
          <m:e>
            <m:r>
              <w:rPr>
                <w:rFonts w:ascii="Cambria Math" w:eastAsiaTheme="minorEastAsia" w:hAnsi="Cambria Math" w:cs="Arial"/>
                <w:sz w:val="20"/>
              </w:rPr>
              <m:t>r</m:t>
            </m:r>
          </m:e>
        </m:d>
        <m:r>
          <w:rPr>
            <w:rFonts w:ascii="Cambria Math" w:eastAsiaTheme="minorEastAsia" w:hAnsi="Cambria Math" w:cs="Arial"/>
            <w:sz w:val="20"/>
          </w:rPr>
          <m:t>+10.18</m:t>
        </m:r>
      </m:oMath>
      <w:r>
        <w:rPr>
          <w:rFonts w:ascii="Arial" w:eastAsiaTheme="minorEastAsia" w:hAnsi="Arial" w:cs="Arial"/>
          <w:sz w:val="20"/>
        </w:rPr>
        <w:tab/>
      </w:r>
      <w:r>
        <w:rPr>
          <w:rFonts w:ascii="Arial" w:eastAsiaTheme="minorEastAsia" w:hAnsi="Arial" w:cs="Arial"/>
          <w:sz w:val="20"/>
        </w:rPr>
        <w:tab/>
        <w:t>Eq. (A.6)</w:t>
      </w:r>
    </w:p>
    <w:p w:rsidR="004D79C3" w:rsidRPr="004773F4" w:rsidRDefault="004D79C3" w:rsidP="004D79C3">
      <w:pPr>
        <w:rPr>
          <w:rFonts w:ascii="Arial" w:eastAsiaTheme="minorEastAsia" w:hAnsi="Arial" w:cs="Arial"/>
          <w:sz w:val="20"/>
        </w:rPr>
      </w:pPr>
    </w:p>
    <w:p w:rsidR="004D79C3" w:rsidRDefault="004D79C3" w:rsidP="004D79C3">
      <w:pPr>
        <w:spacing w:line="480" w:lineRule="auto"/>
        <w:rPr>
          <w:rFonts w:ascii="Arial" w:hAnsi="Arial" w:cs="Arial"/>
        </w:rPr>
      </w:pPr>
      <w:r w:rsidRPr="008D2AA0">
        <w:rPr>
          <w:rFonts w:ascii="Arial" w:hAnsi="Arial" w:cs="Arial"/>
        </w:rPr>
        <w:t>Where kcal(r) denotes the average daily caloric consumption in a given country and BMI(r) its average BMI value.</w:t>
      </w:r>
    </w:p>
    <w:p w:rsidR="004D79C3" w:rsidRPr="008D2AA0" w:rsidRDefault="004D79C3" w:rsidP="004D79C3">
      <w:pPr>
        <w:spacing w:line="480" w:lineRule="auto"/>
        <w:rPr>
          <w:rFonts w:ascii="Arial" w:hAnsi="Arial" w:cs="Arial"/>
        </w:rPr>
      </w:pPr>
    </w:p>
    <w:p w:rsidR="004D79C3" w:rsidRDefault="004D79C3" w:rsidP="004D79C3">
      <w:pPr>
        <w:spacing w:line="480" w:lineRule="auto"/>
        <w:rPr>
          <w:rFonts w:ascii="Arial" w:hAnsi="Arial" w:cs="Arial"/>
        </w:rPr>
      </w:pPr>
      <w:r w:rsidRPr="008D2AA0">
        <w:rPr>
          <w:rFonts w:ascii="Arial" w:hAnsi="Arial" w:cs="Arial"/>
        </w:rPr>
        <w:t>Caloric intake and resultant BMI values by country were retrieved from FAO databases</w:t>
      </w:r>
      <w:r>
        <w:rPr>
          <w:rFonts w:ascii="Arial" w:hAnsi="Arial" w:cs="Arial"/>
        </w:rPr>
        <w:t xml:space="preserve"> </w:t>
      </w:r>
      <w:r w:rsidRPr="008D2AA0">
        <w:rPr>
          <w:rFonts w:ascii="Arial" w:hAnsi="Arial" w:cs="Arial"/>
        </w:rPr>
        <w:fldChar w:fldCharType="begin" w:fldLock="1"/>
      </w:r>
      <w:r>
        <w:rPr>
          <w:rFonts w:ascii="Arial" w:hAnsi="Arial" w:cs="Arial"/>
        </w:rPr>
        <w:instrText>ADDIN CSL_CITATION { "citationItems" : [ { "id" : "ITEM-1", "itemData" : { "URL" : "http://www.fao.org/faostat/en/#data/FBS", "accessed" : { "date-parts" : [ [ "2017", "1", "6" ] ] }, "author" : [ { "dropping-particle" : "", "family" : "FAO", "given" : "", "non-dropping-particle" : "", "parse-names" : false, "suffix" : "" } ], "container-title" : "Statistics Division", "id" : "ITEM-1", "issued" : { "date-parts" : [ [ "0" ] ] }, "title" : "FAOstat Database", "type" : "webpage" }, "uris" : [ "http://www.mendeley.com/documents/?uuid=a815815d-8198-427b-8c8a-f130d1d3ba67" ] } ], "mendeley" : { "formattedCitation" : "(FAO, n.d.)", "plainTextFormattedCitation" : "(FAO, n.d.)", "previouslyFormattedCitation" : "(FAO, n.d.)" }, "properties" : {  }, "schema" : "https://github.com/citation-style-language/schema/raw/master/csl-citation.json" }</w:instrText>
      </w:r>
      <w:r w:rsidRPr="008D2AA0">
        <w:rPr>
          <w:rFonts w:ascii="Arial" w:hAnsi="Arial" w:cs="Arial"/>
        </w:rPr>
        <w:fldChar w:fldCharType="separate"/>
      </w:r>
      <w:r w:rsidRPr="005A298F">
        <w:rPr>
          <w:rFonts w:ascii="Arial" w:hAnsi="Arial" w:cs="Arial"/>
          <w:noProof/>
        </w:rPr>
        <w:t>(FAO, n.d.)</w:t>
      </w:r>
      <w:r w:rsidRPr="008D2AA0">
        <w:rPr>
          <w:rFonts w:ascii="Arial" w:hAnsi="Arial" w:cs="Arial"/>
        </w:rPr>
        <w:fldChar w:fldCharType="end"/>
      </w:r>
      <w:r w:rsidRPr="008D2AA0">
        <w:rPr>
          <w:rFonts w:ascii="Arial" w:hAnsi="Arial" w:cs="Arial"/>
        </w:rPr>
        <w:t xml:space="preserve">, and BMI adjustments in each scenario made based on the change in caloric intake (using nutritional composition values in </w:t>
      </w:r>
      <w:r>
        <w:rPr>
          <w:rFonts w:ascii="Arial" w:hAnsi="Arial" w:cs="Arial"/>
        </w:rPr>
        <w:t>Table A</w:t>
      </w:r>
      <w:r w:rsidRPr="008D2AA0">
        <w:rPr>
          <w:rFonts w:ascii="Arial" w:hAnsi="Arial" w:cs="Arial"/>
        </w:rPr>
        <w:t xml:space="preserve">2) which would occur from the relevant level of meat substitution. </w:t>
      </w:r>
    </w:p>
    <w:p w:rsidR="004D79C3" w:rsidRPr="008D2AA0" w:rsidRDefault="004D79C3" w:rsidP="004D79C3">
      <w:pPr>
        <w:spacing w:line="480" w:lineRule="auto"/>
        <w:rPr>
          <w:rFonts w:ascii="Arial" w:hAnsi="Arial" w:cs="Arial"/>
        </w:rPr>
      </w:pPr>
    </w:p>
    <w:p w:rsidR="004D79C3" w:rsidRDefault="004D79C3" w:rsidP="004D79C3">
      <w:pPr>
        <w:spacing w:line="480" w:lineRule="auto"/>
        <w:rPr>
          <w:rFonts w:ascii="Arial" w:hAnsi="Arial" w:cs="Arial"/>
        </w:rPr>
      </w:pPr>
      <w:r w:rsidRPr="008D2AA0">
        <w:rPr>
          <w:rFonts w:ascii="Arial" w:hAnsi="Arial" w:cs="Arial"/>
        </w:rPr>
        <w:t>This combined FAO and WHO database also allowed for the calculation of the relationship between average BMI in a given country with the prevalence of overweight individuals (%)</w:t>
      </w:r>
      <w:r>
        <w:rPr>
          <w:rFonts w:ascii="Arial" w:hAnsi="Arial" w:cs="Arial"/>
        </w:rPr>
        <w:t xml:space="preserve"> (Eq. (A.7))</w:t>
      </w:r>
      <w:r w:rsidRPr="008D2AA0">
        <w:rPr>
          <w:rFonts w:ascii="Arial" w:hAnsi="Arial" w:cs="Arial"/>
        </w:rPr>
        <w:t>; and the prevalence of obese individuals (%)</w:t>
      </w:r>
      <w:r>
        <w:rPr>
          <w:rFonts w:ascii="Arial" w:hAnsi="Arial" w:cs="Arial"/>
        </w:rPr>
        <w:t xml:space="preserve"> (Eq. (A.8))</w:t>
      </w:r>
      <w:r w:rsidRPr="008D2AA0">
        <w:rPr>
          <w:rFonts w:ascii="Arial" w:hAnsi="Arial" w:cs="Arial"/>
        </w:rPr>
        <w:t>. This relationship yielded the following relationships, with an R</w:t>
      </w:r>
      <w:r w:rsidRPr="00373A7B">
        <w:rPr>
          <w:rFonts w:ascii="Arial" w:hAnsi="Arial" w:cs="Arial"/>
          <w:vertAlign w:val="superscript"/>
        </w:rPr>
        <w:t>2</w:t>
      </w:r>
      <w:r w:rsidRPr="008D2AA0">
        <w:rPr>
          <w:rFonts w:ascii="Arial" w:hAnsi="Arial" w:cs="Arial"/>
        </w:rPr>
        <w:t xml:space="preserve"> value of 0.73 and 0.97 respectively:</w:t>
      </w:r>
    </w:p>
    <w:p w:rsidR="004D79C3" w:rsidRPr="008D2AA0" w:rsidRDefault="004D79C3" w:rsidP="004D79C3">
      <w:pPr>
        <w:rPr>
          <w:rFonts w:ascii="Arial" w:hAnsi="Arial" w:cs="Arial"/>
        </w:rPr>
      </w:pPr>
      <m:oMath>
        <m:r>
          <m:rPr>
            <m:sty m:val="p"/>
          </m:rPr>
          <w:rPr>
            <w:rFonts w:ascii="Cambria Math" w:eastAsiaTheme="minorEastAsia" w:hAnsi="Cambria Math" w:cs="Arial"/>
          </w:rPr>
          <m:t>% overweight</m:t>
        </m:r>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0.0006.BMI</m:t>
            </m:r>
            <m:sSup>
              <m:sSupPr>
                <m:ctrlPr>
                  <w:rPr>
                    <w:rFonts w:ascii="Cambria Math" w:eastAsiaTheme="minorEastAsia" w:hAnsi="Cambria Math" w:cs="Arial"/>
                    <w:i/>
                  </w:rPr>
                </m:ctrlPr>
              </m:sSupPr>
              <m:e>
                <m:d>
                  <m:dPr>
                    <m:ctrlPr>
                      <w:rPr>
                        <w:rFonts w:ascii="Cambria Math" w:eastAsiaTheme="minorEastAsia" w:hAnsi="Cambria Math" w:cs="Arial"/>
                        <w:i/>
                      </w:rPr>
                    </m:ctrlPr>
                  </m:dPr>
                  <m:e>
                    <m:r>
                      <w:rPr>
                        <w:rFonts w:ascii="Cambria Math" w:eastAsiaTheme="minorEastAsia" w:hAnsi="Cambria Math" w:cs="Arial"/>
                      </w:rPr>
                      <m:t>r</m:t>
                    </m:r>
                  </m:e>
                </m:d>
              </m:e>
              <m:sup>
                <m:r>
                  <w:rPr>
                    <w:rFonts w:ascii="Cambria Math" w:eastAsiaTheme="minorEastAsia" w:hAnsi="Cambria Math" w:cs="Arial"/>
                  </w:rPr>
                  <m:t>2</m:t>
                </m:r>
              </m:sup>
            </m:sSup>
          </m:e>
        </m:d>
        <m:r>
          <w:rPr>
            <w:rFonts w:ascii="Cambria Math" w:eastAsiaTheme="minorEastAsia" w:hAnsi="Cambria Math" w:cs="Arial"/>
          </w:rPr>
          <m:t>+(0.0003.BMI</m:t>
        </m:r>
        <m:d>
          <m:dPr>
            <m:ctrlPr>
              <w:rPr>
                <w:rFonts w:ascii="Cambria Math" w:eastAsiaTheme="minorEastAsia" w:hAnsi="Cambria Math" w:cs="Arial"/>
                <w:i/>
              </w:rPr>
            </m:ctrlPr>
          </m:dPr>
          <m:e>
            <m:r>
              <w:rPr>
                <w:rFonts w:ascii="Cambria Math" w:eastAsiaTheme="minorEastAsia" w:hAnsi="Cambria Math" w:cs="Arial"/>
              </w:rPr>
              <m:t>r</m:t>
            </m:r>
          </m:e>
        </m:d>
        <m:r>
          <w:rPr>
            <w:rFonts w:ascii="Cambria Math" w:eastAsiaTheme="minorEastAsia" w:hAnsi="Cambria Math" w:cs="Arial"/>
          </w:rPr>
          <m:t>)-0.0747</m:t>
        </m:r>
      </m:oMath>
      <w:r>
        <w:rPr>
          <w:rFonts w:ascii="Arial" w:eastAsiaTheme="minorEastAsia" w:hAnsi="Arial" w:cs="Arial"/>
        </w:rPr>
        <w:t xml:space="preserve">    </w:t>
      </w:r>
      <w:r>
        <w:rPr>
          <w:rFonts w:ascii="Arial" w:eastAsiaTheme="minorEastAsia" w:hAnsi="Arial" w:cs="Arial"/>
        </w:rPr>
        <w:tab/>
        <w:t xml:space="preserve"> </w:t>
      </w:r>
      <w:r>
        <w:rPr>
          <w:rFonts w:ascii="Arial" w:eastAsiaTheme="minorEastAsia" w:hAnsi="Arial" w:cs="Arial"/>
        </w:rPr>
        <w:tab/>
        <w:t>Eq. (A.7)</w:t>
      </w:r>
    </w:p>
    <w:p w:rsidR="004D79C3" w:rsidRPr="00373A7B" w:rsidRDefault="004D79C3" w:rsidP="004D79C3">
      <w:pPr>
        <w:rPr>
          <w:rFonts w:ascii="Arial" w:eastAsiaTheme="minorEastAsia" w:hAnsi="Arial" w:cs="Arial"/>
          <w:sz w:val="20"/>
        </w:rPr>
      </w:pPr>
      <m:oMath>
        <m:r>
          <m:rPr>
            <m:sty m:val="p"/>
          </m:rPr>
          <w:rPr>
            <w:rFonts w:ascii="Cambria Math" w:eastAsiaTheme="minorEastAsia" w:hAnsi="Cambria Math" w:cs="Arial"/>
          </w:rPr>
          <m:t>% obese</m:t>
        </m:r>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0.0045.BMI</m:t>
            </m:r>
            <m:sSup>
              <m:sSupPr>
                <m:ctrlPr>
                  <w:rPr>
                    <w:rFonts w:ascii="Cambria Math" w:eastAsiaTheme="minorEastAsia" w:hAnsi="Cambria Math" w:cs="Arial"/>
                    <w:i/>
                  </w:rPr>
                </m:ctrlPr>
              </m:sSupPr>
              <m:e>
                <m:d>
                  <m:dPr>
                    <m:ctrlPr>
                      <w:rPr>
                        <w:rFonts w:ascii="Cambria Math" w:eastAsiaTheme="minorEastAsia" w:hAnsi="Cambria Math" w:cs="Arial"/>
                        <w:i/>
                      </w:rPr>
                    </m:ctrlPr>
                  </m:dPr>
                  <m:e>
                    <m:r>
                      <w:rPr>
                        <w:rFonts w:ascii="Cambria Math" w:eastAsiaTheme="minorEastAsia" w:hAnsi="Cambria Math" w:cs="Arial"/>
                      </w:rPr>
                      <m:t>r</m:t>
                    </m:r>
                  </m:e>
                </m:d>
              </m:e>
              <m:sup>
                <m:r>
                  <w:rPr>
                    <w:rFonts w:ascii="Cambria Math" w:eastAsiaTheme="minorEastAsia" w:hAnsi="Cambria Math" w:cs="Arial"/>
                  </w:rPr>
                  <m:t>2</m:t>
                </m:r>
              </m:sup>
            </m:sSup>
          </m:e>
        </m:d>
        <m:r>
          <w:rPr>
            <w:rFonts w:ascii="Cambria Math" w:eastAsiaTheme="minorEastAsia" w:hAnsi="Cambria Math" w:cs="Arial"/>
          </w:rPr>
          <m:t>-(0.1755.BMI</m:t>
        </m:r>
        <m:d>
          <m:dPr>
            <m:ctrlPr>
              <w:rPr>
                <w:rFonts w:ascii="Cambria Math" w:eastAsiaTheme="minorEastAsia" w:hAnsi="Cambria Math" w:cs="Arial"/>
                <w:i/>
              </w:rPr>
            </m:ctrlPr>
          </m:dPr>
          <m:e>
            <m:r>
              <w:rPr>
                <w:rFonts w:ascii="Cambria Math" w:eastAsiaTheme="minorEastAsia" w:hAnsi="Cambria Math" w:cs="Arial"/>
              </w:rPr>
              <m:t>r</m:t>
            </m:r>
          </m:e>
        </m:d>
        <m:r>
          <w:rPr>
            <w:rFonts w:ascii="Cambria Math" w:eastAsiaTheme="minorEastAsia" w:hAnsi="Cambria Math" w:cs="Arial"/>
          </w:rPr>
          <m:t>)-1.7356</m:t>
        </m:r>
      </m:oMath>
      <w:r>
        <w:rPr>
          <w:rFonts w:ascii="Arial" w:eastAsiaTheme="minorEastAsia" w:hAnsi="Arial" w:cs="Arial"/>
        </w:rPr>
        <w:t xml:space="preserve"> </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sidRPr="00373A7B">
        <w:rPr>
          <w:rFonts w:ascii="Arial" w:eastAsiaTheme="minorEastAsia" w:hAnsi="Arial" w:cs="Arial"/>
        </w:rPr>
        <w:t>Eq. (A.8)</w:t>
      </w:r>
    </w:p>
    <w:p w:rsidR="004D79C3" w:rsidRDefault="004D79C3" w:rsidP="004D79C3">
      <w:pPr>
        <w:rPr>
          <w:rFonts w:ascii="Arial" w:eastAsiaTheme="minorEastAsia" w:hAnsi="Arial" w:cs="Arial"/>
          <w:sz w:val="20"/>
        </w:rPr>
      </w:pPr>
    </w:p>
    <w:p w:rsidR="004D79C3" w:rsidRPr="008D2AA0" w:rsidRDefault="004D79C3" w:rsidP="004D79C3">
      <w:pPr>
        <w:rPr>
          <w:rFonts w:ascii="Arial" w:hAnsi="Arial" w:cs="Arial"/>
        </w:rPr>
      </w:pPr>
      <w:r w:rsidRPr="008D2AA0">
        <w:rPr>
          <w:rFonts w:ascii="Arial" w:hAnsi="Arial" w:cs="Arial"/>
        </w:rPr>
        <w:t>For each risk category, PAFs were then calculated by</w:t>
      </w:r>
      <w:r>
        <w:rPr>
          <w:rFonts w:ascii="Arial" w:hAnsi="Arial" w:cs="Arial"/>
        </w:rPr>
        <w:t xml:space="preserve"> Eq. (A.9)</w:t>
      </w:r>
      <w:r w:rsidRPr="008D2AA0">
        <w:rPr>
          <w:rFonts w:ascii="Arial" w:hAnsi="Arial" w:cs="Arial"/>
        </w:rPr>
        <w:t>:</w:t>
      </w:r>
    </w:p>
    <w:p w:rsidR="004D79C3" w:rsidRDefault="004D79C3" w:rsidP="004D79C3">
      <w:pPr>
        <w:ind w:left="1440" w:firstLine="720"/>
        <w:rPr>
          <w:rFonts w:ascii="Arial" w:eastAsiaTheme="minorEastAsia" w:hAnsi="Arial" w:cs="Arial"/>
        </w:rPr>
      </w:pPr>
      <m:oMath>
        <m:r>
          <w:rPr>
            <w:rFonts w:ascii="Cambria Math" w:eastAsiaTheme="minorEastAsia" w:hAnsi="Cambria Math" w:cs="Arial"/>
            <w:sz w:val="24"/>
          </w:rPr>
          <m:t>PAFw=RRw.PPw. P</m:t>
        </m:r>
      </m:oMath>
      <w:r>
        <w:rPr>
          <w:rFonts w:ascii="Arial" w:eastAsiaTheme="minorEastAsia" w:hAnsi="Arial" w:cs="Arial"/>
          <w:sz w:val="24"/>
        </w:rPr>
        <w:t xml:space="preserve"> </w:t>
      </w:r>
      <w:r>
        <w:rPr>
          <w:rFonts w:ascii="Arial" w:eastAsiaTheme="minorEastAsia" w:hAnsi="Arial" w:cs="Arial"/>
          <w:sz w:val="24"/>
        </w:rPr>
        <w:tab/>
      </w:r>
      <w:r w:rsidRPr="00373A7B">
        <w:rPr>
          <w:rFonts w:ascii="Arial" w:eastAsiaTheme="minorEastAsia" w:hAnsi="Arial" w:cs="Arial"/>
        </w:rPr>
        <w:t>Eq. (A.9)</w:t>
      </w:r>
    </w:p>
    <w:p w:rsidR="004D79C3" w:rsidRDefault="004D79C3" w:rsidP="004D79C3">
      <w:pPr>
        <w:ind w:left="1440" w:firstLine="720"/>
        <w:rPr>
          <w:rFonts w:ascii="Arial" w:eastAsiaTheme="minorEastAsia" w:hAnsi="Arial" w:cs="Arial"/>
          <w:sz w:val="24"/>
        </w:rPr>
      </w:pPr>
    </w:p>
    <w:p w:rsidR="004D79C3" w:rsidRPr="008D2AA0" w:rsidRDefault="004D79C3" w:rsidP="004D79C3">
      <w:pPr>
        <w:spacing w:line="480" w:lineRule="auto"/>
        <w:rPr>
          <w:rFonts w:ascii="Arial" w:hAnsi="Arial" w:cs="Arial"/>
        </w:rPr>
      </w:pPr>
      <w:r w:rsidRPr="008D2AA0">
        <w:rPr>
          <w:rFonts w:ascii="Arial" w:hAnsi="Arial" w:cs="Arial"/>
        </w:rPr>
        <w:t xml:space="preserve">Where </w:t>
      </w:r>
      <w:proofErr w:type="spellStart"/>
      <w:r w:rsidRPr="008D2AA0">
        <w:rPr>
          <w:rFonts w:ascii="Arial" w:hAnsi="Arial" w:cs="Arial"/>
        </w:rPr>
        <w:t>PPw</w:t>
      </w:r>
      <w:proofErr w:type="spellEnd"/>
      <w:r w:rsidRPr="008D2AA0">
        <w:rPr>
          <w:rFonts w:ascii="Arial" w:hAnsi="Arial" w:cs="Arial"/>
        </w:rPr>
        <w:t xml:space="preserve"> is the percentage of the population in the overweight-obese or obese categorisation; and P is the individuals in a given population.</w:t>
      </w:r>
    </w:p>
    <w:p w:rsidR="004D79C3" w:rsidRPr="008D2AA0" w:rsidRDefault="004D79C3" w:rsidP="004D79C3">
      <w:pPr>
        <w:rPr>
          <w:rFonts w:ascii="Arial" w:hAnsi="Arial" w:cs="Arial"/>
        </w:rPr>
      </w:pPr>
    </w:p>
    <w:p w:rsidR="004D79C3" w:rsidRDefault="004D79C3" w:rsidP="004D79C3">
      <w:pPr>
        <w:rPr>
          <w:rFonts w:ascii="Arial" w:eastAsiaTheme="minorEastAsia" w:hAnsi="Arial" w:cs="Arial"/>
          <w:b/>
        </w:rPr>
      </w:pPr>
    </w:p>
    <w:p w:rsidR="004D79C3" w:rsidRDefault="004D79C3" w:rsidP="004D79C3">
      <w:pPr>
        <w:outlineLvl w:val="0"/>
        <w:rPr>
          <w:rFonts w:ascii="Arial" w:eastAsiaTheme="minorEastAsia" w:hAnsi="Arial" w:cs="Arial"/>
          <w:b/>
        </w:rPr>
      </w:pPr>
      <w:r w:rsidRPr="00F917B2">
        <w:rPr>
          <w:rFonts w:ascii="Arial" w:eastAsiaTheme="minorEastAsia" w:hAnsi="Arial" w:cs="Arial"/>
          <w:b/>
        </w:rPr>
        <w:lastRenderedPageBreak/>
        <w:t>Changes in mortality</w:t>
      </w:r>
    </w:p>
    <w:p w:rsidR="004D79C3" w:rsidRPr="008D2AA0" w:rsidRDefault="004D79C3" w:rsidP="004D79C3">
      <w:pPr>
        <w:spacing w:line="480" w:lineRule="auto"/>
        <w:rPr>
          <w:rFonts w:ascii="Arial" w:hAnsi="Arial" w:cs="Arial"/>
        </w:rPr>
      </w:pPr>
      <w:r w:rsidRPr="008D2AA0">
        <w:rPr>
          <w:rFonts w:ascii="Arial" w:hAnsi="Arial" w:cs="Arial"/>
        </w:rPr>
        <w:t xml:space="preserve">To derive the number of premature deaths avoided, </w:t>
      </w:r>
      <w:proofErr w:type="spellStart"/>
      <w:r w:rsidRPr="008D2AA0">
        <w:rPr>
          <w:rFonts w:ascii="Arial" w:hAnsi="Arial" w:cs="Arial"/>
        </w:rPr>
        <w:t>Δdeaths</w:t>
      </w:r>
      <w:proofErr w:type="spellEnd"/>
      <w:r w:rsidRPr="008D2AA0">
        <w:rPr>
          <w:rFonts w:ascii="Arial" w:hAnsi="Arial" w:cs="Arial"/>
        </w:rPr>
        <w:t xml:space="preserve"> was calculated independently for each of the risk factors, then combined to given the total</w:t>
      </w:r>
      <w:r>
        <w:rPr>
          <w:rFonts w:ascii="Arial" w:hAnsi="Arial" w:cs="Arial"/>
        </w:rPr>
        <w:t xml:space="preserve"> number of deaths avoided (Eq. (A.10))</w:t>
      </w:r>
      <w:r w:rsidRPr="008D2AA0">
        <w:rPr>
          <w:rFonts w:ascii="Arial" w:hAnsi="Arial" w:cs="Arial"/>
        </w:rPr>
        <w:t>:</w:t>
      </w:r>
    </w:p>
    <w:p w:rsidR="004D79C3" w:rsidRDefault="004D79C3" w:rsidP="004D79C3">
      <w:pPr>
        <w:ind w:left="720" w:firstLine="720"/>
        <w:rPr>
          <w:rFonts w:ascii="Arial" w:eastAsiaTheme="minorEastAsia" w:hAnsi="Arial" w:cs="Arial"/>
          <w:sz w:val="24"/>
        </w:rPr>
      </w:pPr>
      <m:oMath>
        <m:r>
          <w:rPr>
            <w:rFonts w:ascii="Cambria Math" w:hAnsi="Cambria Math" w:cs="Arial"/>
            <w:sz w:val="24"/>
          </w:rPr>
          <m:t xml:space="preserve">∆deaths </m:t>
        </m:r>
        <m:d>
          <m:dPr>
            <m:ctrlPr>
              <w:rPr>
                <w:rFonts w:ascii="Cambria Math" w:hAnsi="Cambria Math" w:cs="Arial"/>
                <w:i/>
                <w:sz w:val="24"/>
              </w:rPr>
            </m:ctrlPr>
          </m:dPr>
          <m:e>
            <m:r>
              <w:rPr>
                <w:rFonts w:ascii="Cambria Math" w:hAnsi="Cambria Math" w:cs="Arial"/>
                <w:sz w:val="24"/>
              </w:rPr>
              <m:t>i,w</m:t>
            </m:r>
          </m:e>
        </m:d>
        <m:r>
          <w:rPr>
            <w:rFonts w:ascii="Cambria Math" w:hAnsi="Cambria Math" w:cs="Arial"/>
            <w:sz w:val="24"/>
          </w:rPr>
          <m:t>=PAF</m:t>
        </m:r>
        <m:d>
          <m:dPr>
            <m:ctrlPr>
              <w:rPr>
                <w:rFonts w:ascii="Cambria Math" w:hAnsi="Cambria Math" w:cs="Arial"/>
                <w:i/>
                <w:sz w:val="24"/>
              </w:rPr>
            </m:ctrlPr>
          </m:dPr>
          <m:e>
            <m:r>
              <w:rPr>
                <w:rFonts w:ascii="Cambria Math" w:hAnsi="Cambria Math" w:cs="Arial"/>
                <w:sz w:val="24"/>
              </w:rPr>
              <m:t>i,w</m:t>
            </m:r>
          </m:e>
        </m:d>
        <m:r>
          <w:rPr>
            <w:rFonts w:ascii="Cambria Math" w:hAnsi="Cambria Math" w:cs="Arial"/>
            <w:sz w:val="24"/>
          </w:rPr>
          <m:t xml:space="preserve"> .  DR . P</m:t>
        </m:r>
      </m:oMath>
      <w:r>
        <w:rPr>
          <w:rFonts w:ascii="Arial" w:eastAsiaTheme="minorEastAsia" w:hAnsi="Arial" w:cs="Arial"/>
          <w:sz w:val="24"/>
        </w:rPr>
        <w:t xml:space="preserve"> </w:t>
      </w:r>
      <w:r>
        <w:rPr>
          <w:rFonts w:ascii="Arial" w:eastAsiaTheme="minorEastAsia" w:hAnsi="Arial" w:cs="Arial"/>
          <w:sz w:val="24"/>
        </w:rPr>
        <w:tab/>
      </w:r>
      <w:r w:rsidRPr="00373A7B">
        <w:rPr>
          <w:rFonts w:ascii="Arial" w:eastAsiaTheme="minorEastAsia" w:hAnsi="Arial" w:cs="Arial"/>
        </w:rPr>
        <w:t>Eq. (A.10)</w:t>
      </w:r>
    </w:p>
    <w:p w:rsidR="004D79C3" w:rsidRDefault="004D79C3" w:rsidP="004D79C3">
      <w:pPr>
        <w:rPr>
          <w:rFonts w:ascii="Arial" w:eastAsiaTheme="minorEastAsia" w:hAnsi="Arial" w:cs="Arial"/>
          <w:b/>
        </w:rPr>
      </w:pPr>
    </w:p>
    <w:p w:rsidR="004D79C3" w:rsidRDefault="004D79C3" w:rsidP="004D79C3">
      <w:pPr>
        <w:outlineLvl w:val="0"/>
        <w:rPr>
          <w:rFonts w:ascii="Arial" w:eastAsiaTheme="minorEastAsia" w:hAnsi="Arial" w:cs="Arial"/>
          <w:b/>
        </w:rPr>
      </w:pPr>
      <w:r w:rsidRPr="00F917B2">
        <w:rPr>
          <w:rFonts w:ascii="Arial" w:eastAsiaTheme="minorEastAsia" w:hAnsi="Arial" w:cs="Arial"/>
          <w:b/>
        </w:rPr>
        <w:t>Relative Risk Factors</w:t>
      </w:r>
    </w:p>
    <w:p w:rsidR="004D79C3" w:rsidRPr="008D2AA0" w:rsidRDefault="004D79C3" w:rsidP="004D79C3">
      <w:pPr>
        <w:spacing w:line="480" w:lineRule="auto"/>
        <w:rPr>
          <w:rFonts w:ascii="Arial" w:hAnsi="Arial" w:cs="Arial"/>
        </w:rPr>
      </w:pPr>
      <w:r w:rsidRPr="008D2AA0">
        <w:rPr>
          <w:rFonts w:ascii="Arial" w:hAnsi="Arial" w:cs="Arial"/>
        </w:rPr>
        <w:t>The relative risk factors (RR) used for calculation of PAF values by disease were derived based on pooled analyses of cohort studies</w:t>
      </w:r>
      <w:r>
        <w:rPr>
          <w:rFonts w:ascii="Arial" w:hAnsi="Arial" w:cs="Arial"/>
        </w:rPr>
        <w:t xml:space="preserve"> </w:t>
      </w:r>
      <w:r w:rsidRPr="008D2AA0">
        <w:rPr>
          <w:rFonts w:ascii="Arial" w:hAnsi="Arial" w:cs="Arial"/>
        </w:rPr>
        <w:fldChar w:fldCharType="begin" w:fldLock="1"/>
      </w:r>
      <w:r>
        <w:rPr>
          <w:rFonts w:ascii="Arial" w:hAnsi="Arial" w:cs="Arial"/>
        </w:rPr>
        <w:instrText>ADDIN CSL_CITATION { "citationItems" : [ { "id" : "ITEM-1", "itemData" : { "DOI" : "10.1016/S0140-6736(09)60318-4", "ISBN" : "1474-547X (Electronic)\\r0140-6736 (Linking)", "ISSN" : "01406736", "PMID" : "19299006", "abstract" : "Background The main associations of body-mass index (BMI) with overall and cause-specific mortality can best be assessed by long-term prospective follow-up of large numbers of people. The Prospective Studies Collaboration aimed to investigate these associations by sharing data from many studies. Methods Collaborative analyses were undertaken of baseline BMI versus mortality in 57 prospective studies with 894 576 participants, mostly in western Europe and North America (61% [n=541 452] male, mean recruitment age 46 [SD 11] years, median recruitment year 1979 [IQR 1975-85], mean BMI 25 [SD 4] kg/m2). The analyses were adjusted for age, sex, smoking status, and study. To limit reverse causality, the first 5 years of follow-up were excluded, leaving 66 552 deaths of known cause during a mean of 8 (SD 6) further years of follow-up (mean age at death 67 [SD 10] years): 30 416 vascular; 2070 diabetic, renal or hepatic; 22 592 neoplastic; 3770 respiratory; 7704 other. Findings In both sexes, mortality was lowest at about 22??5-25 kg/m2. Above this range, positive associations were recorded for several specific causes and inverse associations for none, the absolute excess risks for higher BMI and smoking were roughly additive, and each 5 kg/m2 higher BMI was on average associated with about 30% higher overall mortality (hazard ratio per 5 kg/m2 [HR] 1??29 [95% CI 1??27-1??32]): 40% for vascular mortality (HR 1??41 [1??37-1??45]); 60-120% for diabetic, renal, and hepatic mortality (HRs 2??16 [1??89-2??46], 1??59 [1??27-1??99], and 1??82 [1??59-2??09], respectively); 10% for neoplastic mortality (HR 1??10 [1??06-1??15]); and 20% for respiratory and for all other mortality (HRs 1??20 [1??07-1??34] and 1??20 [1??16-1??25], respectively). Below the range 22??5-25 kg/m2, BMI was associated inversely with overall mortality, mainly because of strong inverse associations with respiratory disease and lung cancer. These inverse associations were much stronger for smokers than for non-smokers, despite cigarette consumption per smoker varying little with BMI. Interpretation Although other anthropometric measures (eg, waist circumference, waist-to-hip ratio) could well add extra information to BMI, and BMI to them, BMI is in itself a strong predictor of overall mortality both above and below the apparent optimum of about 22??5-25 kg/m2. The progressive excess mortality above this range is due mainly to vascular disease and is probably largely causal. At 30-35 kg/m2, median su\u2026", "author" : [ { "dropping-particle" : "", "family" : "Prospective Studies Collaboration et al.", "given" : "", "non-dropping-particle" : "", "parse-names" : false, "suffix" : "" } ], "container-title" : "The Lancet", "id" : "ITEM-1", "issue" : "9669", "issued" : { "date-parts" : [ [ "2009" ] ] }, "page" : "1083-1096", "publisher" : "Elsevier Ltd", "title" : "Body-mass index and cause-specific mortality in 900 000 adults: Collaborative analyses of 57 prospective studies", "type" : "article-journal", "volume" : "373" }, "uris" : [ "http://www.mendeley.com/documents/?uuid=7baaf676-7703-4ffd-8f1a-35095569c70b" ] } ], "mendeley" : { "formattedCitation" : "(Prospective Studies Collaboration et al., 2009)", "plainTextFormattedCitation" : "(Prospective Studies Collaboration et al., 2009)", "previouslyFormattedCitation" : "(Prospective Studies Collaboration et al., 2009)" }, "properties" : {  }, "schema" : "https://github.com/citation-style-language/schema/raw/master/csl-citation.json" }</w:instrText>
      </w:r>
      <w:r w:rsidRPr="008D2AA0">
        <w:rPr>
          <w:rFonts w:ascii="Arial" w:hAnsi="Arial" w:cs="Arial"/>
        </w:rPr>
        <w:fldChar w:fldCharType="separate"/>
      </w:r>
      <w:r w:rsidRPr="005A298F">
        <w:rPr>
          <w:rFonts w:ascii="Arial" w:hAnsi="Arial" w:cs="Arial"/>
          <w:noProof/>
        </w:rPr>
        <w:t>(Prospective Studies Collaboration et al., 2009)</w:t>
      </w:r>
      <w:r w:rsidRPr="008D2AA0">
        <w:rPr>
          <w:rFonts w:ascii="Arial" w:hAnsi="Arial" w:cs="Arial"/>
        </w:rPr>
        <w:fldChar w:fldCharType="end"/>
      </w:r>
      <w:r w:rsidRPr="008D2AA0">
        <w:rPr>
          <w:rFonts w:ascii="Arial" w:hAnsi="Arial" w:cs="Arial"/>
        </w:rPr>
        <w:t xml:space="preserve"> and meta-analysis of cohort and case-control studies</w:t>
      </w:r>
      <w:r>
        <w:rPr>
          <w:rFonts w:ascii="Arial" w:hAnsi="Arial" w:cs="Arial"/>
        </w:rPr>
        <w:t xml:space="preserve"> </w:t>
      </w:r>
      <w:r w:rsidRPr="008D2AA0">
        <w:rPr>
          <w:rFonts w:ascii="Arial" w:hAnsi="Arial" w:cs="Arial"/>
        </w:rPr>
        <w:fldChar w:fldCharType="begin" w:fldLock="1"/>
      </w:r>
      <w:r>
        <w:rPr>
          <w:rFonts w:ascii="Arial" w:hAnsi="Arial" w:cs="Arial"/>
        </w:rPr>
        <w:instrText>ADDIN CSL_CITATION { "citationItems" : [ { "id" : "ITEM-1", "itemData" : { "DOI" : "10.1161/CIRCULATIONAHA.109.924977.Red", "author" : [ { "dropping-particle" : "", "family" : "Micha", "given" : "Renata", "non-dropping-particle" : "", "parse-names" : false, "suffix" : "" }, { "dropping-particle" : "", "family" : "Wallace", "given" : "Sarah", "non-dropping-particle" : "", "parse-names" : false, "suffix" : "" }, { "dropping-particle" : "", "family" : "Mozaffarian", "given" : "Dariush", "non-dropping-particle" : "", "parse-names" : false, "suffix" : "" } ], "container-title" : "Circulation", "id" : "ITEM-1", "issue" : "21", "issued" : { "date-parts" : [ [ "2010" ] ] }, "page" : "2271-2283", "title" : "Red and processed meat consumption and risk of incident coronary heart disease, stroke, and diabetes mellitus a systematic review and meta-analysis", "type" : "article-journal", "volume" : "121" }, "uris" : [ "http://www.mendeley.com/documents/?uuid=e126b225-cdd9-4e00-8527-c9e4092d2b03" ] }, { "id" : "ITEM-2", "itemData" : { "DOI" : "10.1038/ejcn.2012.180", "ISBN" : "1476-5640 (Electronic)\\r0954-3007 (Linking)", "ISSN" : "1476-5640", "PMID" : "23169473", "abstract" : "BACKGROUND/OBJECTIVES: Epidemiological evidence is suggestive, but inconclusive, for an association between consumption of red and processed meat and risk of stroke. We aimed to assess this association by conducting a meta-analysis of prospective cohort studies.\\n\\nSUBJECTS/METHODS: We performed a literature search on PubMed database through June 2012 to identify prospective cohort studies of red and processed meat intake in relation to risk of stroke. Reference lists of the retrieved articles were also reviewed. Both fixed-effects and random-effects model were assumed to compute the summary risk estimates.\\n\\nRESULTS: Five large independent prospective cohort studies were identified. These studies contained a total of 2 39 251 subjects and 9593 stroke events. Comparing the highest category of consumption with lowest category, the pooled relative risks (RRs) of total stroke were 1.15 (95% confidence interval (CI), 1.05-1.25) for total meat (red and processed meat combined) (n=4), 1.09 (95% CI, 1.01-1.18) for red meat (n=5) and 1.14 (95% CI, 1.05-1.25) for processed meat (n=5); the corresponding RRs of ischemic stroke (highest vs lowest quintile) were 1.15 (95% CI, 1.04-1.28), 1.13(95% CI, 1.01-1.25) and 1.19 (95% CI, 1.08-1.31). Consumption of red and/or processed meat was not associated with hemorrhagic stroke. In the dose-response analysis, the risk of stroke increased significantly by 10% and 13% for each 100 g per day increment in total and red meat consumption, respectively, and by 11% for each 50 g per day increment in processed meat consumption.\\n\\nCONCLUSION: Findings from this meta-analysis indicate that consumption of red and/or processed meat increase risk of stroke, in particular, ischemic stroke.", "author" : [ { "dropping-particle" : "", "family" : "Chen", "given" : "G.C", "non-dropping-particle" : "", "parse-names" : false, "suffix" : "" }, { "dropping-particle" : "", "family" : "Lv", "given" : "D.B.", "non-dropping-particle" : "", "parse-names" : false, "suffix" : "" }, { "dropping-particle" : "", "family" : "Pang", "given" : "Z.", "non-dropping-particle" : "", "parse-names" : false, "suffix" : "" }, { "dropping-particle" : "", "family" : "Liu", "given" : "Q.F.", "non-dropping-particle" : "", "parse-names" : false, "suffix" : "" } ], "container-title" : "European Journal of Clinical Nutrition", "id" : "ITEM-2", "issued" : { "date-parts" : [ [ "2013" ] ] }, "page" : "91-95", "title" : "Red and processed meat consumption and risk of stroke: A meta-analysis of prospective cohort studies.", "type" : "article-journal", "volume" : "67" }, "uris" : [ "http://www.mendeley.com/documents/?uuid=4ad46a09-487d-4316-9069-39d40b57c099" ] }, { "id" : "ITEM-3", "itemData" : { "DOI" : "978-0-9722522-2-5", "ISBN" : "9780972252225", "ISSN" : "0070-4067", "PMID" : "70120", "abstract" : "This Report has a number of inter-related general purposes. One is to explore the extent to which food, nutrition, physical activity, and body composition modify the risk of cancer, and to specify which factors are most important. To the extent that environmental factors such as food, nutrition, and physical activity influence the risk of cancer, it is a preventable disease. The Report specifies recommendations based on solid evidence which, when followed, will be expected to reduce the incidence of cancer.", "author" : [ { "dropping-particle" : "", "family" : "World Cancer Research Fund", "given" : "", "non-dropping-particle" : "", "parse-names" : false, "suffix" : "" } ], "container-title" : "Cancer Research", "id" : "ITEM-3", "issued" : { "date-parts" : [ [ "2007" ] ] }, "publisher-place" : "Washington D.C.", "title" : "Food, Nutrition, Physical Activity, and the Prevention of Cancer: a Global Perspective", "type" : "article" }, "uris" : [ "http://www.mendeley.com/documents/?uuid=4417bd57-8cc7-4245-9c60-4d263b85fb9d" ] } ], "mendeley" : { "formattedCitation" : "(Chen et al., 2013; Micha et al., 2010; World Cancer Research Fund, 2007)", "plainTextFormattedCitation" : "(Chen et al., 2013; Micha et al., 2010; World Cancer Research Fund, 2007)", "previouslyFormattedCitation" : "(Chen et al., 2013; Micha et al., 2010; World Cancer Research Fund, 2007)" }, "properties" : {  }, "schema" : "https://github.com/citation-style-language/schema/raw/master/csl-citation.json" }</w:instrText>
      </w:r>
      <w:r w:rsidRPr="008D2AA0">
        <w:rPr>
          <w:rFonts w:ascii="Arial" w:hAnsi="Arial" w:cs="Arial"/>
        </w:rPr>
        <w:fldChar w:fldCharType="separate"/>
      </w:r>
      <w:r w:rsidRPr="005A298F">
        <w:rPr>
          <w:rFonts w:ascii="Arial" w:hAnsi="Arial" w:cs="Arial"/>
          <w:noProof/>
        </w:rPr>
        <w:t>(Chen et al., 2013; Micha et al., 2010; World Cancer Research Fund, 2007)</w:t>
      </w:r>
      <w:r w:rsidRPr="008D2AA0">
        <w:rPr>
          <w:rFonts w:ascii="Arial" w:hAnsi="Arial" w:cs="Arial"/>
        </w:rPr>
        <w:fldChar w:fldCharType="end"/>
      </w:r>
      <w:r w:rsidRPr="008D2AA0">
        <w:rPr>
          <w:rFonts w:ascii="Arial" w:hAnsi="Arial" w:cs="Arial"/>
        </w:rPr>
        <w:t xml:space="preserve"> utilised in </w:t>
      </w:r>
      <w:proofErr w:type="spellStart"/>
      <w:r w:rsidRPr="008D2AA0">
        <w:rPr>
          <w:rFonts w:ascii="Arial" w:hAnsi="Arial" w:cs="Arial"/>
        </w:rPr>
        <w:t>Springmann</w:t>
      </w:r>
      <w:proofErr w:type="spellEnd"/>
      <w:r w:rsidRPr="008D2AA0">
        <w:rPr>
          <w:rFonts w:ascii="Arial" w:hAnsi="Arial" w:cs="Arial"/>
        </w:rPr>
        <w:t xml:space="preserve"> et al.’s “Mitigation potential and global health impacts from emissions pricing of food commodities”</w:t>
      </w:r>
      <w:r>
        <w:rPr>
          <w:rFonts w:ascii="Arial" w:hAnsi="Arial" w:cs="Arial"/>
        </w:rPr>
        <w:t xml:space="preserve"> </w:t>
      </w:r>
      <w:r w:rsidRPr="008D2AA0">
        <w:rPr>
          <w:rFonts w:ascii="Arial" w:hAnsi="Arial" w:cs="Arial"/>
        </w:rPr>
        <w:fldChar w:fldCharType="begin" w:fldLock="1"/>
      </w:r>
      <w:r>
        <w:rPr>
          <w:rFonts w:ascii="Arial" w:hAnsi="Arial" w:cs="Arial"/>
        </w:rPr>
        <w:instrText>ADDIN CSL_CITATION { "citationItems" : [ { "id" : "ITEM-1", "itemData" : { "DOI" : "10.1038/nclimate3155", "ISSN" : "1758-678X", "author" : [ { "dropping-particle" : "", "family" : "Springmann", "given" : "Marco", "non-dropping-particle" : "", "parse-names" : false, "suffix" : "" }, { "dropping-particle" : "", "family" : "Mason-D\u2019Croz", "given" : "Daniel", "non-dropping-particle" : "", "parse-names" : false, "suffix" : "" }, { "dropping-particle" : "", "family" : "Robinson", "given" : "Sherman", "non-dropping-particle" : "", "parse-names" : false, "suffix" : "" }, { "dropping-particle" : "", "family" : "Wiebe", "given" : "Keith", "non-dropping-particle" : "", "parse-names" : false, "suffix" : "" }, { "dropping-particle" : "", "family" : "Godfray", "given" : "H. Charles J.", "non-dropping-particle" : "", "parse-names" : false, "suffix" : "" }, { "dropping-particle" : "", "family" : "Rayner", "given" : "Mike", "non-dropping-particle" : "", "parse-names" : false, "suffix" : "" }, { "dropping-particle" : "", "family" : "Scarborough", "given" : "Peter", "non-dropping-particle" : "", "parse-names" : false, "suffix" : "" } ], "container-title" : "Nature Climate Change", "id" : "ITEM-1", "issued" : { "date-parts" : [ [ "2016" ] ] }, "page" : "1-54", "title" : "Mitigation potential and global health impacts from emissions pricing of food commodities", "type" : "article-journal" }, "uris" : [ "http://www.mendeley.com/documents/?uuid=86c30a7f-2f58-4103-ad99-d38248622b9b" ] } ], "mendeley" : { "formattedCitation" : "(Springmann, Mason-D\u2019Croz, Robinson, Wiebe, et al., 2016)", "manualFormatting" : "(Springmann et al., 2016)", "plainTextFormattedCitation" : "(Springmann, Mason-D\u2019Croz, Robinson, Wiebe, et al., 2016)", "previouslyFormattedCitation" : "(Springmann, Mason-D\u2019Croz, Robinson, Wiebe, et al., 2016)" }, "properties" : {  }, "schema" : "https://github.com/citation-style-language/schema/raw/master/csl-citation.json" }</w:instrText>
      </w:r>
      <w:r w:rsidRPr="008D2AA0">
        <w:rPr>
          <w:rFonts w:ascii="Arial" w:hAnsi="Arial" w:cs="Arial"/>
        </w:rPr>
        <w:fldChar w:fldCharType="separate"/>
      </w:r>
      <w:r w:rsidRPr="00505EA4">
        <w:rPr>
          <w:rFonts w:ascii="Arial" w:hAnsi="Arial" w:cs="Arial"/>
          <w:noProof/>
        </w:rPr>
        <w:t>(Springmann et al., 2016)</w:t>
      </w:r>
      <w:r w:rsidRPr="008D2AA0">
        <w:rPr>
          <w:rFonts w:ascii="Arial" w:hAnsi="Arial" w:cs="Arial"/>
        </w:rPr>
        <w:fldChar w:fldCharType="end"/>
      </w:r>
      <w:r w:rsidRPr="008D2AA0">
        <w:rPr>
          <w:rFonts w:ascii="Arial" w:hAnsi="Arial" w:cs="Arial"/>
        </w:rPr>
        <w:t xml:space="preserve">. The RR factors applied in this analysis are summarised in Table </w:t>
      </w:r>
      <w:r>
        <w:rPr>
          <w:rFonts w:ascii="Arial" w:hAnsi="Arial" w:cs="Arial"/>
        </w:rPr>
        <w:t>A</w:t>
      </w:r>
      <w:r w:rsidRPr="008D2AA0">
        <w:rPr>
          <w:rFonts w:ascii="Arial" w:hAnsi="Arial" w:cs="Arial"/>
        </w:rPr>
        <w:t>4.</w:t>
      </w:r>
    </w:p>
    <w:p w:rsidR="004D79C3" w:rsidRDefault="004D79C3" w:rsidP="004D79C3">
      <w:pPr>
        <w:rPr>
          <w:rFonts w:ascii="Arial" w:hAnsi="Arial" w:cs="Arial"/>
        </w:rPr>
      </w:pPr>
      <w:r w:rsidRPr="008D2AA0">
        <w:rPr>
          <w:rFonts w:ascii="Arial" w:hAnsi="Arial" w:cs="Arial"/>
        </w:rPr>
        <w:br w:type="page"/>
      </w:r>
    </w:p>
    <w:p w:rsidR="004D79C3" w:rsidRDefault="004D79C3" w:rsidP="004D79C3">
      <w:pPr>
        <w:outlineLvl w:val="0"/>
        <w:rPr>
          <w:rFonts w:ascii="Arial" w:hAnsi="Arial" w:cs="Arial"/>
          <w:b/>
          <w:sz w:val="28"/>
        </w:rPr>
      </w:pPr>
      <w:r>
        <w:rPr>
          <w:rFonts w:ascii="Arial" w:hAnsi="Arial" w:cs="Arial"/>
          <w:b/>
          <w:sz w:val="28"/>
        </w:rPr>
        <w:lastRenderedPageBreak/>
        <w:t xml:space="preserve">Appendix </w:t>
      </w:r>
      <w:r w:rsidRPr="00482DCF">
        <w:rPr>
          <w:rFonts w:ascii="Arial" w:hAnsi="Arial" w:cs="Arial"/>
          <w:b/>
          <w:sz w:val="28"/>
        </w:rPr>
        <w:t>B</w:t>
      </w:r>
      <w:r>
        <w:rPr>
          <w:rFonts w:ascii="Arial" w:hAnsi="Arial" w:cs="Arial"/>
          <w:b/>
          <w:sz w:val="28"/>
        </w:rPr>
        <w:t>: Supplementary Tables</w:t>
      </w:r>
    </w:p>
    <w:p w:rsidR="004D79C3" w:rsidRDefault="004D79C3" w:rsidP="004D79C3">
      <w:pPr>
        <w:rPr>
          <w:rFonts w:ascii="Arial" w:hAnsi="Arial" w:cs="Arial"/>
        </w:rPr>
      </w:pPr>
    </w:p>
    <w:p w:rsidR="004D79C3" w:rsidRPr="00373A7B" w:rsidRDefault="004D79C3" w:rsidP="004D79C3">
      <w:pPr>
        <w:rPr>
          <w:rFonts w:ascii="Arial" w:hAnsi="Arial" w:cs="Arial"/>
        </w:rPr>
      </w:pPr>
      <w:r>
        <w:rPr>
          <w:noProof/>
          <w:lang w:val="en-US"/>
        </w:rPr>
        <mc:AlternateContent>
          <mc:Choice Requires="wps">
            <w:drawing>
              <wp:anchor distT="45720" distB="45720" distL="114300" distR="114300" simplePos="0" relativeHeight="251661312" behindDoc="0" locked="0" layoutInCell="1" allowOverlap="1" wp14:anchorId="063F7D58" wp14:editId="4CB852D0">
                <wp:simplePos x="0" y="0"/>
                <wp:positionH relativeFrom="margin">
                  <wp:posOffset>-666667</wp:posOffset>
                </wp:positionH>
                <wp:positionV relativeFrom="paragraph">
                  <wp:posOffset>7209293</wp:posOffset>
                </wp:positionV>
                <wp:extent cx="7237730" cy="962025"/>
                <wp:effectExtent l="0" t="0" r="1270"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730" cy="962025"/>
                        </a:xfrm>
                        <a:prstGeom prst="rect">
                          <a:avLst/>
                        </a:prstGeom>
                        <a:solidFill>
                          <a:srgbClr val="FFFFFF"/>
                        </a:solidFill>
                        <a:ln w="9525">
                          <a:noFill/>
                          <a:miter lim="800000"/>
                          <a:headEnd/>
                          <a:tailEnd/>
                        </a:ln>
                      </wps:spPr>
                      <wps:txbx>
                        <w:txbxContent>
                          <w:p w:rsidR="004D79C3" w:rsidRPr="004454B2" w:rsidRDefault="004D79C3" w:rsidP="004D79C3">
                            <w:pPr>
                              <w:rPr>
                                <w:rFonts w:ascii="Arial" w:hAnsi="Arial" w:cs="Arial"/>
                              </w:rPr>
                            </w:pPr>
                          </w:p>
                          <w:p w:rsidR="004D79C3" w:rsidRPr="004454B2" w:rsidRDefault="004D79C3" w:rsidP="004D79C3">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3F7D58" id="_x0000_t202" coordsize="21600,21600" o:spt="202" path="m,l,21600r21600,l21600,xe">
                <v:stroke joinstyle="miter"/>
                <v:path gradientshapeok="t" o:connecttype="rect"/>
              </v:shapetype>
              <v:shape id="Text Box 2" o:spid="_x0000_s1026" type="#_x0000_t202" style="position:absolute;margin-left:-52.5pt;margin-top:567.65pt;width:569.9pt;height:75.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" stroked="f">
                <v:textbox>
                  <w:txbxContent>
                    <w:p w:rsidR="004D79C3" w:rsidRPr="004454B2" w:rsidRDefault="004D79C3" w:rsidP="004D79C3">
                      <w:pPr>
                        <w:rPr>
                          <w:rFonts w:ascii="Arial" w:hAnsi="Arial" w:cs="Arial"/>
                        </w:rPr>
                      </w:pPr>
                    </w:p>
                    <w:p w:rsidR="004D79C3" w:rsidRPr="004454B2" w:rsidRDefault="004D79C3" w:rsidP="004D79C3">
                      <w:pPr>
                        <w:rPr>
                          <w:rFonts w:ascii="Arial" w:hAnsi="Arial" w:cs="Arial"/>
                        </w:rPr>
                      </w:pPr>
                    </w:p>
                  </w:txbxContent>
                </v:textbox>
                <w10:wrap type="square" anchorx="margin"/>
              </v:shape>
            </w:pict>
          </mc:Fallback>
        </mc:AlternateContent>
      </w:r>
      <w:r>
        <w:rPr>
          <w:noProof/>
          <w:lang w:val="en-US"/>
        </w:rPr>
        <mc:AlternateContent>
          <mc:Choice Requires="wps">
            <w:drawing>
              <wp:anchor distT="45720" distB="45720" distL="114300" distR="114300" simplePos="0" relativeHeight="251659264" behindDoc="0" locked="0" layoutInCell="1" allowOverlap="1" wp14:anchorId="564DD818" wp14:editId="0367E518">
                <wp:simplePos x="0" y="0"/>
                <wp:positionH relativeFrom="margin">
                  <wp:posOffset>-715617</wp:posOffset>
                </wp:positionH>
                <wp:positionV relativeFrom="paragraph">
                  <wp:posOffset>3365500</wp:posOffset>
                </wp:positionV>
                <wp:extent cx="7237730" cy="1200150"/>
                <wp:effectExtent l="0" t="0" r="127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730" cy="1200150"/>
                        </a:xfrm>
                        <a:prstGeom prst="rect">
                          <a:avLst/>
                        </a:prstGeom>
                        <a:solidFill>
                          <a:srgbClr val="FFFFFF"/>
                        </a:solidFill>
                        <a:ln w="9525">
                          <a:noFill/>
                          <a:miter lim="800000"/>
                          <a:headEnd/>
                          <a:tailEnd/>
                        </a:ln>
                      </wps:spPr>
                      <wps:txbx>
                        <w:txbxContent>
                          <w:p w:rsidR="004D79C3" w:rsidRPr="0073113B" w:rsidRDefault="004D79C3" w:rsidP="004D79C3">
                            <w:pPr>
                              <w:spacing w:line="480" w:lineRule="auto"/>
                              <w:rPr>
                                <w:rFonts w:ascii="Arial" w:hAnsi="Arial" w:cs="Arial"/>
                                <w:sz w:val="20"/>
                              </w:rPr>
                            </w:pPr>
                            <w:r w:rsidRPr="0073113B">
                              <w:rPr>
                                <w:rFonts w:ascii="Arial" w:hAnsi="Arial" w:cs="Arial"/>
                                <w:b/>
                                <w:sz w:val="20"/>
                              </w:rPr>
                              <w:t xml:space="preserve">Table </w:t>
                            </w:r>
                            <w:r>
                              <w:rPr>
                                <w:rFonts w:ascii="Arial" w:hAnsi="Arial" w:cs="Arial"/>
                                <w:b/>
                                <w:sz w:val="20"/>
                              </w:rPr>
                              <w:t>B</w:t>
                            </w:r>
                            <w:r w:rsidRPr="0073113B">
                              <w:rPr>
                                <w:rFonts w:ascii="Arial" w:hAnsi="Arial" w:cs="Arial"/>
                                <w:b/>
                                <w:sz w:val="20"/>
                              </w:rPr>
                              <w:t xml:space="preserve">1: Population and estimated 2020 meat consumption patterns within the 40 countries included in this analysis. </w:t>
                            </w:r>
                            <w:r w:rsidRPr="0073113B">
                              <w:rPr>
                                <w:rFonts w:ascii="Arial" w:hAnsi="Arial" w:cs="Arial"/>
                                <w:sz w:val="20"/>
                              </w:rPr>
                              <w:t>Population figures have been attained from the UN Population Division</w:t>
                            </w:r>
                            <w:r>
                              <w:rPr>
                                <w:rFonts w:ascii="Arial" w:hAnsi="Arial" w:cs="Arial"/>
                                <w:sz w:val="20"/>
                              </w:rPr>
                              <w:t xml:space="preserve"> </w:t>
                            </w:r>
                            <w:r w:rsidRPr="0073113B">
                              <w:rPr>
                                <w:rFonts w:ascii="Arial" w:hAnsi="Arial" w:cs="Arial"/>
                                <w:sz w:val="20"/>
                              </w:rPr>
                              <w:fldChar w:fldCharType="begin" w:fldLock="1"/>
                            </w:r>
                            <w:r>
                              <w:rPr>
                                <w:rFonts w:ascii="Arial" w:hAnsi="Arial" w:cs="Arial"/>
                                <w:sz w:val="20"/>
                              </w:rPr>
                              <w:instrText>ADDIN CSL_CITATION { "citationItems" : [ { "id" : "ITEM-1", "itemData" : { "URL" : "http://esa.un.org/unpd/wpp/", "accessed" : { "date-parts" : [ [ "2016", "2", "6" ] ] }, "author" : [ { "dropping-particle" : "", "family" : "United Nations", "given" : "", "non-dropping-particle" : "", "parse-names" : false, "suffix" : "" } ], "id" : "ITEM-1", "issued" : { "date-parts" : [ [ "2015" ] ] }, "title" : "UN Population Prospects", "type" : "webpage" }, "uris" : [ "http://www.mendeley.com/documents/?uuid=23d2cf2c-d5d4-46e4-9fda-72330d496ec8" ] } ], "mendeley" : { "formattedCitation" : "(United Nations, 2015)", "plainTextFormattedCitation" : "(United Nations, 2015)", "previouslyFormattedCitation" : "(United Nations, 2015)" }, "properties" : {  }, "schema" : "https://github.com/citation-style-language/schema/raw/master/csl-citation.json" }</w:instrText>
                            </w:r>
                            <w:r w:rsidRPr="0073113B">
                              <w:rPr>
                                <w:rFonts w:ascii="Arial" w:hAnsi="Arial" w:cs="Arial"/>
                                <w:sz w:val="20"/>
                              </w:rPr>
                              <w:fldChar w:fldCharType="separate"/>
                            </w:r>
                            <w:r w:rsidRPr="005A298F">
                              <w:rPr>
                                <w:rFonts w:ascii="Arial" w:hAnsi="Arial" w:cs="Arial"/>
                                <w:noProof/>
                                <w:sz w:val="20"/>
                              </w:rPr>
                              <w:t>(United Nations, 2015)</w:t>
                            </w:r>
                            <w:r w:rsidRPr="0073113B">
                              <w:rPr>
                                <w:rFonts w:ascii="Arial" w:hAnsi="Arial" w:cs="Arial"/>
                                <w:sz w:val="20"/>
                              </w:rPr>
                              <w:fldChar w:fldCharType="end"/>
                            </w:r>
                            <w:r w:rsidRPr="0073113B">
                              <w:rPr>
                                <w:rFonts w:ascii="Arial" w:hAnsi="Arial" w:cs="Arial"/>
                                <w:sz w:val="20"/>
                              </w:rPr>
                              <w:t xml:space="preserve"> and meat consumption projections from the OECD-FAO Agricultural Outlook</w:t>
                            </w:r>
                            <w:r w:rsidRPr="0073113B">
                              <w:rPr>
                                <w:rFonts w:ascii="Arial" w:hAnsi="Arial" w:cs="Arial"/>
                                <w:sz w:val="20"/>
                              </w:rPr>
                              <w:fldChar w:fldCharType="begin" w:fldLock="1"/>
                            </w:r>
                            <w:r>
                              <w:rPr>
                                <w:rFonts w:ascii="Arial" w:hAnsi="Arial" w:cs="Arial"/>
                                <w:sz w:val="20"/>
                              </w:rPr>
                              <w:instrText>ADDIN CSL_CITATION { "citationItems" : [ { "id" : "ITEM-1", "itemData" : { "URL" : "http://www.oecd-ilibrary.org/agriculture-and-food/data/oecd-agriculture-statistics_agr-data-en", "accessed" : { "date-parts" : [ [ "2017", "1", "23" ] ] }, "author" : [ { "dropping-particle" : "", "family" : "OECD", "given" : "", "non-dropping-particle" : "", "parse-names" : false, "suffix" : "" } ], "id" : "ITEM-1", "issued" : { "date-parts" : [ [ "2016" ] ] }, "title" : "OECD-FAO Agricultural Outlook 2016-2025", "type" : "webpage" }, "uris" : [ "http://www.mendeley.com/documents/?uuid=e0217cb5-5197-4169-952b-1318fe5ef1a6" ] } ], "mendeley" : { "formattedCitation" : "(OECD, 2016)", "manualFormatting" : " (OECD, 2016)", "plainTextFormattedCitation" : "(OECD, 2016)", "previouslyFormattedCitation" : "(OECD, 2016)" }, "properties" : {  }, "schema" : "https://github.com/citation-style-language/schema/raw/master/csl-citation.json" }</w:instrText>
                            </w:r>
                            <w:r w:rsidRPr="0073113B">
                              <w:rPr>
                                <w:rFonts w:ascii="Arial" w:hAnsi="Arial" w:cs="Arial"/>
                                <w:sz w:val="20"/>
                              </w:rPr>
                              <w:fldChar w:fldCharType="separate"/>
                            </w:r>
                            <w:r>
                              <w:rPr>
                                <w:rFonts w:ascii="Arial" w:hAnsi="Arial" w:cs="Arial"/>
                                <w:noProof/>
                                <w:sz w:val="20"/>
                              </w:rPr>
                              <w:t xml:space="preserve"> </w:t>
                            </w:r>
                            <w:r w:rsidRPr="001B0928">
                              <w:rPr>
                                <w:rFonts w:ascii="Arial" w:hAnsi="Arial" w:cs="Arial"/>
                                <w:noProof/>
                                <w:sz w:val="20"/>
                              </w:rPr>
                              <w:t>(OECD, 2016)</w:t>
                            </w:r>
                            <w:r w:rsidRPr="0073113B">
                              <w:rPr>
                                <w:rFonts w:ascii="Arial" w:hAnsi="Arial" w:cs="Arial"/>
                                <w:sz w:val="20"/>
                              </w:rPr>
                              <w:fldChar w:fldCharType="end"/>
                            </w:r>
                            <w:r w:rsidRPr="0073113B">
                              <w:rPr>
                                <w:rFonts w:ascii="Arial" w:hAnsi="Arial" w:cs="Arial"/>
                                <w:sz w:val="20"/>
                              </w:rPr>
                              <w:t xml:space="preserve"> for 2020.</w:t>
                            </w:r>
                            <w:r w:rsidRPr="0073113B">
                              <w:rPr>
                                <w:rFonts w:ascii="Arial" w:hAnsi="Arial" w:cs="Arial"/>
                                <w:b/>
                                <w:sz w:val="20"/>
                              </w:rPr>
                              <w:t xml:space="preserve"> </w:t>
                            </w:r>
                          </w:p>
                          <w:p w:rsidR="004D79C3" w:rsidRPr="004454B2" w:rsidRDefault="004D79C3" w:rsidP="004D79C3">
                            <w:pPr>
                              <w:rPr>
                                <w:rFonts w:ascii="Arial" w:hAnsi="Arial" w:cs="Arial"/>
                              </w:rPr>
                            </w:pPr>
                          </w:p>
                          <w:p w:rsidR="004D79C3" w:rsidRPr="004454B2" w:rsidRDefault="004D79C3" w:rsidP="004D79C3">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DD818" id="_x0000_s1027" type="#_x0000_t202" style="position:absolute;margin-left:-56.35pt;margin-top:265pt;width:569.9pt;height:9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" stroked="f">
                <v:textbox>
                  <w:txbxContent>
                    <w:p w:rsidR="004D79C3" w:rsidRPr="0073113B" w:rsidRDefault="004D79C3" w:rsidP="004D79C3">
                      <w:pPr>
                        <w:spacing w:line="480" w:lineRule="auto"/>
                        <w:rPr>
                          <w:rFonts w:ascii="Arial" w:hAnsi="Arial" w:cs="Arial"/>
                          <w:sz w:val="20"/>
                        </w:rPr>
                      </w:pPr>
                      <w:r w:rsidRPr="0073113B">
                        <w:rPr>
                          <w:rFonts w:ascii="Arial" w:hAnsi="Arial" w:cs="Arial"/>
                          <w:b/>
                          <w:sz w:val="20"/>
                        </w:rPr>
                        <w:t xml:space="preserve">Table </w:t>
                      </w:r>
                      <w:r>
                        <w:rPr>
                          <w:rFonts w:ascii="Arial" w:hAnsi="Arial" w:cs="Arial"/>
                          <w:b/>
                          <w:sz w:val="20"/>
                        </w:rPr>
                        <w:t>B</w:t>
                      </w:r>
                      <w:r w:rsidRPr="0073113B">
                        <w:rPr>
                          <w:rFonts w:ascii="Arial" w:hAnsi="Arial" w:cs="Arial"/>
                          <w:b/>
                          <w:sz w:val="20"/>
                        </w:rPr>
                        <w:t xml:space="preserve">1: Population and estimated 2020 meat consumption patterns within the 40 countries included in this analysis. </w:t>
                      </w:r>
                      <w:r w:rsidRPr="0073113B">
                        <w:rPr>
                          <w:rFonts w:ascii="Arial" w:hAnsi="Arial" w:cs="Arial"/>
                          <w:sz w:val="20"/>
                        </w:rPr>
                        <w:t>Population figures have been attained from the UN Population Division</w:t>
                      </w:r>
                      <w:r>
                        <w:rPr>
                          <w:rFonts w:ascii="Arial" w:hAnsi="Arial" w:cs="Arial"/>
                          <w:sz w:val="20"/>
                        </w:rPr>
                        <w:t xml:space="preserve"> </w:t>
                      </w:r>
                      <w:r w:rsidRPr="0073113B">
                        <w:rPr>
                          <w:rFonts w:ascii="Arial" w:hAnsi="Arial" w:cs="Arial"/>
                          <w:sz w:val="20"/>
                        </w:rPr>
                        <w:fldChar w:fldCharType="begin" w:fldLock="1"/>
                      </w:r>
                      <w:r>
                        <w:rPr>
                          <w:rFonts w:ascii="Arial" w:hAnsi="Arial" w:cs="Arial"/>
                          <w:sz w:val="20"/>
                        </w:rPr>
                        <w:instrText>ADDIN CSL_CITATION { "citationItems" : [ { "id" : "ITEM-1", "itemData" : { "URL" : "http://esa.un.org/unpd/wpp/", "accessed" : { "date-parts" : [ [ "2016", "2", "6" ] ] }, "author" : [ { "dropping-particle" : "", "family" : "United Nations", "given" : "", "non-dropping-particle" : "", "parse-names" : false, "suffix" : "" } ], "id" : "ITEM-1", "issued" : { "date-parts" : [ [ "2015" ] ] }, "title" : "UN Population Prospects", "type" : "webpage" }, "uris" : [ "http://www.mendeley.com/documents/?uuid=23d2cf2c-d5d4-46e4-9fda-72330d496ec8" ] } ], "mendeley" : { "formattedCitation" : "(United Nations, 2015)", "plainTextFormattedCitation" : "(United Nations, 2015)", "previouslyFormattedCitation" : "(United Nations, 2015)" }, "properties" : {  }, "schema" : "https://github.com/citation-style-language/schema/raw/master/csl-citation.json" }</w:instrText>
                      </w:r>
                      <w:r w:rsidRPr="0073113B">
                        <w:rPr>
                          <w:rFonts w:ascii="Arial" w:hAnsi="Arial" w:cs="Arial"/>
                          <w:sz w:val="20"/>
                        </w:rPr>
                        <w:fldChar w:fldCharType="separate"/>
                      </w:r>
                      <w:r w:rsidRPr="005A298F">
                        <w:rPr>
                          <w:rFonts w:ascii="Arial" w:hAnsi="Arial" w:cs="Arial"/>
                          <w:noProof/>
                          <w:sz w:val="20"/>
                        </w:rPr>
                        <w:t>(United Nations, 2015)</w:t>
                      </w:r>
                      <w:r w:rsidRPr="0073113B">
                        <w:rPr>
                          <w:rFonts w:ascii="Arial" w:hAnsi="Arial" w:cs="Arial"/>
                          <w:sz w:val="20"/>
                        </w:rPr>
                        <w:fldChar w:fldCharType="end"/>
                      </w:r>
                      <w:r w:rsidRPr="0073113B">
                        <w:rPr>
                          <w:rFonts w:ascii="Arial" w:hAnsi="Arial" w:cs="Arial"/>
                          <w:sz w:val="20"/>
                        </w:rPr>
                        <w:t xml:space="preserve"> and meat consumption projections from the OECD-FAO Agricultural Outlook</w:t>
                      </w:r>
                      <w:r w:rsidRPr="0073113B">
                        <w:rPr>
                          <w:rFonts w:ascii="Arial" w:hAnsi="Arial" w:cs="Arial"/>
                          <w:sz w:val="20"/>
                        </w:rPr>
                        <w:fldChar w:fldCharType="begin" w:fldLock="1"/>
                      </w:r>
                      <w:r>
                        <w:rPr>
                          <w:rFonts w:ascii="Arial" w:hAnsi="Arial" w:cs="Arial"/>
                          <w:sz w:val="20"/>
                        </w:rPr>
                        <w:instrText>ADDIN CSL_CITATION { "citationItems" : [ { "id" : "ITEM-1", "itemData" : { "URL" : "http://www.oecd-ilibrary.org/agriculture-and-food/data/oecd-agriculture-statistics_agr-data-en", "accessed" : { "date-parts" : [ [ "2017", "1", "23" ] ] }, "author" : [ { "dropping-particle" : "", "family" : "OECD", "given" : "", "non-dropping-particle" : "", "parse-names" : false, "suffix" : "" } ], "id" : "ITEM-1", "issued" : { "date-parts" : [ [ "2016" ] ] }, "title" : "OECD-FAO Agricultural Outlook 2016-2025", "type" : "webpage" }, "uris" : [ "http://www.mendeley.com/documents/?uuid=e0217cb5-5197-4169-952b-1318fe5ef1a6" ] } ], "mendeley" : { "formattedCitation" : "(OECD, 2016)", "manualFormatting" : " (OECD, 2016)", "plainTextFormattedCitation" : "(OECD, 2016)", "previouslyFormattedCitation" : "(OECD, 2016)" }, "properties" : {  }, "schema" : "https://github.com/citation-style-language/schema/raw/master/csl-citation.json" }</w:instrText>
                      </w:r>
                      <w:r w:rsidRPr="0073113B">
                        <w:rPr>
                          <w:rFonts w:ascii="Arial" w:hAnsi="Arial" w:cs="Arial"/>
                          <w:sz w:val="20"/>
                        </w:rPr>
                        <w:fldChar w:fldCharType="separate"/>
                      </w:r>
                      <w:r>
                        <w:rPr>
                          <w:rFonts w:ascii="Arial" w:hAnsi="Arial" w:cs="Arial"/>
                          <w:noProof/>
                          <w:sz w:val="20"/>
                        </w:rPr>
                        <w:t xml:space="preserve"> </w:t>
                      </w:r>
                      <w:r w:rsidRPr="001B0928">
                        <w:rPr>
                          <w:rFonts w:ascii="Arial" w:hAnsi="Arial" w:cs="Arial"/>
                          <w:noProof/>
                          <w:sz w:val="20"/>
                        </w:rPr>
                        <w:t>(OECD, 2016)</w:t>
                      </w:r>
                      <w:r w:rsidRPr="0073113B">
                        <w:rPr>
                          <w:rFonts w:ascii="Arial" w:hAnsi="Arial" w:cs="Arial"/>
                          <w:sz w:val="20"/>
                        </w:rPr>
                        <w:fldChar w:fldCharType="end"/>
                      </w:r>
                      <w:r w:rsidRPr="0073113B">
                        <w:rPr>
                          <w:rFonts w:ascii="Arial" w:hAnsi="Arial" w:cs="Arial"/>
                          <w:sz w:val="20"/>
                        </w:rPr>
                        <w:t xml:space="preserve"> for 2020.</w:t>
                      </w:r>
                      <w:r w:rsidRPr="0073113B">
                        <w:rPr>
                          <w:rFonts w:ascii="Arial" w:hAnsi="Arial" w:cs="Arial"/>
                          <w:b/>
                          <w:sz w:val="20"/>
                        </w:rPr>
                        <w:t xml:space="preserve"> </w:t>
                      </w:r>
                    </w:p>
                    <w:p w:rsidR="004D79C3" w:rsidRPr="004454B2" w:rsidRDefault="004D79C3" w:rsidP="004D79C3">
                      <w:pPr>
                        <w:rPr>
                          <w:rFonts w:ascii="Arial" w:hAnsi="Arial" w:cs="Arial"/>
                        </w:rPr>
                      </w:pPr>
                    </w:p>
                    <w:p w:rsidR="004D79C3" w:rsidRPr="004454B2" w:rsidRDefault="004D79C3" w:rsidP="004D79C3">
                      <w:pPr>
                        <w:rPr>
                          <w:rFonts w:ascii="Arial" w:hAnsi="Arial" w:cs="Arial"/>
                        </w:rPr>
                      </w:pPr>
                    </w:p>
                  </w:txbxContent>
                </v:textbox>
                <w10:wrap type="square" anchorx="margin"/>
              </v:shape>
            </w:pict>
          </mc:Fallback>
        </mc:AlternateContent>
      </w:r>
      <w:r w:rsidRPr="00E67ADD">
        <w:rPr>
          <w:rFonts w:ascii="Calibri" w:eastAsia="Times New Roman" w:hAnsi="Calibri" w:cs="Times New Roman"/>
          <w:b/>
          <w:bCs/>
          <w:noProof/>
          <w:color w:val="000000"/>
          <w:lang w:val="en-US"/>
        </w:rPr>
        <mc:AlternateContent>
          <mc:Choice Requires="wps">
            <w:drawing>
              <wp:anchor distT="45720" distB="45720" distL="114300" distR="114300" simplePos="0" relativeHeight="251660288" behindDoc="0" locked="0" layoutInCell="1" allowOverlap="1" wp14:anchorId="43CC6B10" wp14:editId="14341823">
                <wp:simplePos x="0" y="0"/>
                <wp:positionH relativeFrom="margin">
                  <wp:posOffset>3126905</wp:posOffset>
                </wp:positionH>
                <wp:positionV relativeFrom="paragraph">
                  <wp:posOffset>3810</wp:posOffset>
                </wp:positionV>
                <wp:extent cx="3505200" cy="28448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84480"/>
                        </a:xfrm>
                        <a:prstGeom prst="rect">
                          <a:avLst/>
                        </a:prstGeom>
                        <a:solidFill>
                          <a:srgbClr val="FFFFFF"/>
                        </a:solidFill>
                        <a:ln w="9525">
                          <a:noFill/>
                          <a:miter lim="800000"/>
                          <a:headEnd/>
                          <a:tailEnd/>
                        </a:ln>
                      </wps:spPr>
                      <wps:txbx>
                        <w:txbxContent>
                          <w:p w:rsidR="004D79C3" w:rsidRPr="00893A71" w:rsidRDefault="004D79C3" w:rsidP="004D79C3">
                            <w:pPr>
                              <w:rPr>
                                <w:rFonts w:ascii="Arial" w:hAnsi="Arial" w:cs="Arial"/>
                                <w:b/>
                              </w:rPr>
                            </w:pPr>
                            <w:r w:rsidRPr="00893A71">
                              <w:rPr>
                                <w:rFonts w:ascii="Arial" w:hAnsi="Arial" w:cs="Arial"/>
                                <w:b/>
                              </w:rPr>
                              <w:t>Average per capita consumption (kgyear</w:t>
                            </w:r>
                            <w:r w:rsidRPr="00893A71">
                              <w:rPr>
                                <w:rFonts w:ascii="Arial" w:hAnsi="Arial" w:cs="Arial"/>
                                <w:b/>
                                <w:vertAlign w:val="superscript"/>
                              </w:rPr>
                              <w:t>-1</w:t>
                            </w:r>
                            <w:r w:rsidRPr="00893A71">
                              <w:rPr>
                                <w:rFonts w:ascii="Arial" w:hAnsi="Arial" w:cs="Arial"/>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C6B10" id="_x0000_s1028" type="#_x0000_t202" style="position:absolute;margin-left:246.2pt;margin-top:.3pt;width:276pt;height:22.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" stroked="f">
                <v:textbox>
                  <w:txbxContent>
                    <w:p w:rsidR="004D79C3" w:rsidRPr="00893A71" w:rsidRDefault="004D79C3" w:rsidP="004D79C3">
                      <w:pPr>
                        <w:rPr>
                          <w:rFonts w:ascii="Arial" w:hAnsi="Arial" w:cs="Arial"/>
                          <w:b/>
                        </w:rPr>
                      </w:pPr>
                      <w:r w:rsidRPr="00893A71">
                        <w:rPr>
                          <w:rFonts w:ascii="Arial" w:hAnsi="Arial" w:cs="Arial"/>
                          <w:b/>
                        </w:rPr>
                        <w:t>Average per capita consumption (kgyear</w:t>
                      </w:r>
                      <w:r w:rsidRPr="00893A71">
                        <w:rPr>
                          <w:rFonts w:ascii="Arial" w:hAnsi="Arial" w:cs="Arial"/>
                          <w:b/>
                          <w:vertAlign w:val="superscript"/>
                        </w:rPr>
                        <w:t>-1</w:t>
                      </w:r>
                      <w:r w:rsidRPr="00893A71">
                        <w:rPr>
                          <w:rFonts w:ascii="Arial" w:hAnsi="Arial" w:cs="Arial"/>
                          <w:b/>
                        </w:rPr>
                        <w:t>)</w:t>
                      </w:r>
                    </w:p>
                  </w:txbxContent>
                </v:textbox>
                <w10:wrap type="square" anchorx="margin"/>
              </v:shape>
            </w:pict>
          </mc:Fallback>
        </mc:AlternateContent>
      </w:r>
    </w:p>
    <w:tbl>
      <w:tblPr>
        <w:tblpPr w:leftFromText="180" w:rightFromText="180" w:vertAnchor="text" w:tblpX="-709" w:tblpY="1"/>
        <w:tblOverlap w:val="never"/>
        <w:tblW w:w="9396" w:type="dxa"/>
        <w:tblLook w:val="04A0" w:firstRow="1" w:lastRow="0" w:firstColumn="1" w:lastColumn="0" w:noHBand="0" w:noVBand="1"/>
      </w:tblPr>
      <w:tblGrid>
        <w:gridCol w:w="1985"/>
        <w:gridCol w:w="1417"/>
        <w:gridCol w:w="416"/>
        <w:gridCol w:w="851"/>
        <w:gridCol w:w="717"/>
        <w:gridCol w:w="336"/>
        <w:gridCol w:w="515"/>
        <w:gridCol w:w="538"/>
        <w:gridCol w:w="515"/>
        <w:gridCol w:w="538"/>
        <w:gridCol w:w="515"/>
        <w:gridCol w:w="1053"/>
      </w:tblGrid>
      <w:tr w:rsidR="004D79C3" w:rsidRPr="002B5B88" w:rsidTr="000C1C3F">
        <w:trPr>
          <w:trHeight w:val="300"/>
        </w:trPr>
        <w:tc>
          <w:tcPr>
            <w:tcW w:w="3402"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rPr>
                <w:rFonts w:ascii="Arial" w:eastAsia="Times New Roman" w:hAnsi="Arial" w:cs="Arial"/>
                <w:b/>
                <w:bCs/>
                <w:iCs/>
                <w:color w:val="000000"/>
                <w:lang w:eastAsia="en-GB"/>
              </w:rPr>
            </w:pPr>
          </w:p>
          <w:p w:rsidR="004D79C3" w:rsidRPr="00893A71" w:rsidRDefault="004D79C3" w:rsidP="000C1C3F">
            <w:pPr>
              <w:spacing w:after="0" w:line="240" w:lineRule="auto"/>
              <w:rPr>
                <w:rFonts w:ascii="Arial" w:eastAsia="Times New Roman" w:hAnsi="Arial" w:cs="Arial"/>
                <w:b/>
                <w:bCs/>
                <w:iCs/>
                <w:color w:val="000000"/>
                <w:lang w:eastAsia="en-GB"/>
              </w:rPr>
            </w:pPr>
            <w:r w:rsidRPr="00893A71">
              <w:rPr>
                <w:rFonts w:ascii="Arial" w:eastAsia="Times New Roman" w:hAnsi="Arial" w:cs="Arial"/>
                <w:b/>
                <w:bCs/>
                <w:iCs/>
                <w:color w:val="000000"/>
                <w:lang w:eastAsia="en-GB"/>
              </w:rPr>
              <w:t>Country</w:t>
            </w:r>
          </w:p>
        </w:tc>
        <w:tc>
          <w:tcPr>
            <w:tcW w:w="1984" w:type="dxa"/>
            <w:gridSpan w:val="3"/>
            <w:tcBorders>
              <w:top w:val="nil"/>
              <w:left w:val="nil"/>
              <w:bottom w:val="nil"/>
              <w:right w:val="nil"/>
            </w:tcBorders>
            <w:shd w:val="clear" w:color="auto" w:fill="auto"/>
            <w:noWrap/>
            <w:vAlign w:val="bottom"/>
            <w:hideMark/>
          </w:tcPr>
          <w:p w:rsidR="004D79C3" w:rsidRPr="00893A71" w:rsidRDefault="004D79C3" w:rsidP="000C1C3F">
            <w:pPr>
              <w:spacing w:after="0" w:line="240" w:lineRule="auto"/>
              <w:rPr>
                <w:rFonts w:ascii="Arial" w:eastAsia="Times New Roman" w:hAnsi="Arial" w:cs="Arial"/>
                <w:b/>
                <w:bCs/>
                <w:iCs/>
                <w:color w:val="000000"/>
                <w:lang w:eastAsia="en-GB"/>
              </w:rPr>
            </w:pPr>
            <w:r w:rsidRPr="00893A71">
              <w:rPr>
                <w:rFonts w:ascii="Arial" w:eastAsia="Times New Roman" w:hAnsi="Arial" w:cs="Arial"/>
                <w:b/>
                <w:bCs/>
                <w:iCs/>
                <w:color w:val="000000"/>
                <w:lang w:eastAsia="en-GB"/>
              </w:rPr>
              <w:t>2020 Population (thousands)</w:t>
            </w:r>
          </w:p>
        </w:tc>
        <w:tc>
          <w:tcPr>
            <w:tcW w:w="851"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rPr>
                <w:rFonts w:ascii="Arial" w:eastAsia="Times New Roman" w:hAnsi="Arial" w:cs="Arial"/>
                <w:b/>
                <w:bCs/>
                <w:color w:val="000000"/>
                <w:lang w:eastAsia="en-GB"/>
              </w:rPr>
            </w:pPr>
            <w:r w:rsidRPr="00893A71">
              <w:rPr>
                <w:rFonts w:ascii="Arial" w:eastAsia="Times New Roman" w:hAnsi="Arial" w:cs="Arial"/>
                <w:b/>
                <w:bCs/>
                <w:color w:val="000000"/>
                <w:lang w:eastAsia="en-GB"/>
              </w:rPr>
              <w:t>Beef</w:t>
            </w:r>
          </w:p>
        </w:tc>
        <w:tc>
          <w:tcPr>
            <w:tcW w:w="1053"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rPr>
                <w:rFonts w:ascii="Arial" w:eastAsia="Times New Roman" w:hAnsi="Arial" w:cs="Arial"/>
                <w:b/>
                <w:bCs/>
                <w:color w:val="000000"/>
                <w:lang w:eastAsia="en-GB"/>
              </w:rPr>
            </w:pPr>
            <w:r w:rsidRPr="00893A71">
              <w:rPr>
                <w:rFonts w:ascii="Arial" w:eastAsia="Times New Roman" w:hAnsi="Arial" w:cs="Arial"/>
                <w:b/>
                <w:bCs/>
                <w:color w:val="000000"/>
                <w:lang w:eastAsia="en-GB"/>
              </w:rPr>
              <w:t>Pig</w:t>
            </w:r>
          </w:p>
        </w:tc>
        <w:tc>
          <w:tcPr>
            <w:tcW w:w="1053"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rPr>
                <w:rFonts w:ascii="Arial" w:eastAsia="Times New Roman" w:hAnsi="Arial" w:cs="Arial"/>
                <w:b/>
                <w:bCs/>
                <w:color w:val="000000"/>
                <w:lang w:eastAsia="en-GB"/>
              </w:rPr>
            </w:pPr>
            <w:r w:rsidRPr="00893A71">
              <w:rPr>
                <w:rFonts w:ascii="Arial" w:eastAsia="Times New Roman" w:hAnsi="Arial" w:cs="Arial"/>
                <w:b/>
                <w:bCs/>
                <w:color w:val="000000"/>
                <w:lang w:eastAsia="en-GB"/>
              </w:rPr>
              <w:t>Poultry</w:t>
            </w:r>
          </w:p>
        </w:tc>
        <w:tc>
          <w:tcPr>
            <w:tcW w:w="1053" w:type="dxa"/>
            <w:tcBorders>
              <w:top w:val="nil"/>
              <w:left w:val="nil"/>
              <w:bottom w:val="nil"/>
              <w:right w:val="nil"/>
            </w:tcBorders>
            <w:shd w:val="clear" w:color="auto" w:fill="auto"/>
            <w:noWrap/>
            <w:vAlign w:val="bottom"/>
            <w:hideMark/>
          </w:tcPr>
          <w:p w:rsidR="004D79C3" w:rsidRPr="00893A71" w:rsidRDefault="004D79C3" w:rsidP="000C1C3F">
            <w:pPr>
              <w:spacing w:after="0" w:line="240" w:lineRule="auto"/>
              <w:rPr>
                <w:rFonts w:ascii="Arial" w:eastAsia="Times New Roman" w:hAnsi="Arial" w:cs="Arial"/>
                <w:b/>
                <w:bCs/>
                <w:color w:val="000000"/>
                <w:lang w:eastAsia="en-GB"/>
              </w:rPr>
            </w:pPr>
            <w:r w:rsidRPr="00893A71">
              <w:rPr>
                <w:rFonts w:ascii="Arial" w:eastAsia="Times New Roman" w:hAnsi="Arial" w:cs="Arial"/>
                <w:b/>
                <w:bCs/>
                <w:color w:val="000000"/>
                <w:lang w:eastAsia="en-GB"/>
              </w:rPr>
              <w:t>Sheep</w:t>
            </w:r>
          </w:p>
        </w:tc>
      </w:tr>
      <w:tr w:rsidR="004D79C3" w:rsidRPr="002B5B88" w:rsidTr="000C1C3F">
        <w:trPr>
          <w:trHeight w:val="300"/>
        </w:trPr>
        <w:tc>
          <w:tcPr>
            <w:tcW w:w="3402"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rPr>
                <w:rFonts w:ascii="Arial" w:eastAsia="Times New Roman" w:hAnsi="Arial" w:cs="Arial"/>
                <w:color w:val="000000"/>
                <w:lang w:eastAsia="en-GB"/>
              </w:rPr>
            </w:pPr>
            <w:r w:rsidRPr="00893A71">
              <w:rPr>
                <w:rFonts w:ascii="Arial" w:eastAsia="Times New Roman" w:hAnsi="Arial" w:cs="Arial"/>
                <w:color w:val="000000"/>
                <w:lang w:eastAsia="en-GB"/>
              </w:rPr>
              <w:t>Australia</w:t>
            </w:r>
          </w:p>
        </w:tc>
        <w:tc>
          <w:tcPr>
            <w:tcW w:w="1984" w:type="dxa"/>
            <w:gridSpan w:val="3"/>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25598</w:t>
            </w:r>
          </w:p>
        </w:tc>
        <w:tc>
          <w:tcPr>
            <w:tcW w:w="851"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22.1</w:t>
            </w:r>
          </w:p>
        </w:tc>
        <w:tc>
          <w:tcPr>
            <w:tcW w:w="1053"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20.6</w:t>
            </w:r>
          </w:p>
        </w:tc>
        <w:tc>
          <w:tcPr>
            <w:tcW w:w="1053"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43.5</w:t>
            </w:r>
          </w:p>
        </w:tc>
        <w:tc>
          <w:tcPr>
            <w:tcW w:w="1053" w:type="dxa"/>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7.1</w:t>
            </w:r>
          </w:p>
        </w:tc>
      </w:tr>
      <w:tr w:rsidR="004D79C3" w:rsidRPr="002B5B88" w:rsidTr="000C1C3F">
        <w:trPr>
          <w:trHeight w:val="300"/>
        </w:trPr>
        <w:tc>
          <w:tcPr>
            <w:tcW w:w="3402"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rPr>
                <w:rFonts w:ascii="Arial" w:eastAsia="Times New Roman" w:hAnsi="Arial" w:cs="Arial"/>
                <w:color w:val="000000"/>
                <w:lang w:eastAsia="en-GB"/>
              </w:rPr>
            </w:pPr>
            <w:r w:rsidRPr="00893A71">
              <w:rPr>
                <w:rFonts w:ascii="Arial" w:eastAsia="Times New Roman" w:hAnsi="Arial" w:cs="Arial"/>
                <w:color w:val="000000"/>
                <w:lang w:eastAsia="en-GB"/>
              </w:rPr>
              <w:t>Canada</w:t>
            </w:r>
          </w:p>
        </w:tc>
        <w:tc>
          <w:tcPr>
            <w:tcW w:w="1984" w:type="dxa"/>
            <w:gridSpan w:val="3"/>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37600</w:t>
            </w:r>
          </w:p>
        </w:tc>
        <w:tc>
          <w:tcPr>
            <w:tcW w:w="851"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17.5</w:t>
            </w:r>
          </w:p>
        </w:tc>
        <w:tc>
          <w:tcPr>
            <w:tcW w:w="1053"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16.8</w:t>
            </w:r>
          </w:p>
        </w:tc>
        <w:tc>
          <w:tcPr>
            <w:tcW w:w="1053"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35.1</w:t>
            </w:r>
          </w:p>
        </w:tc>
        <w:tc>
          <w:tcPr>
            <w:tcW w:w="1053" w:type="dxa"/>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0.9</w:t>
            </w:r>
          </w:p>
        </w:tc>
      </w:tr>
      <w:tr w:rsidR="004D79C3" w:rsidRPr="002B5B88" w:rsidTr="000C1C3F">
        <w:trPr>
          <w:trHeight w:val="300"/>
        </w:trPr>
        <w:tc>
          <w:tcPr>
            <w:tcW w:w="3402"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rPr>
                <w:rFonts w:ascii="Arial" w:eastAsia="Times New Roman" w:hAnsi="Arial" w:cs="Arial"/>
                <w:color w:val="000000"/>
                <w:lang w:eastAsia="en-GB"/>
              </w:rPr>
            </w:pPr>
            <w:r w:rsidRPr="00893A71">
              <w:rPr>
                <w:rFonts w:ascii="Arial" w:eastAsia="Times New Roman" w:hAnsi="Arial" w:cs="Arial"/>
                <w:color w:val="000000"/>
                <w:lang w:eastAsia="en-GB"/>
              </w:rPr>
              <w:t>Israel</w:t>
            </w:r>
          </w:p>
        </w:tc>
        <w:tc>
          <w:tcPr>
            <w:tcW w:w="1984" w:type="dxa"/>
            <w:gridSpan w:val="3"/>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8718</w:t>
            </w:r>
          </w:p>
        </w:tc>
        <w:tc>
          <w:tcPr>
            <w:tcW w:w="851"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20.4</w:t>
            </w:r>
          </w:p>
        </w:tc>
        <w:tc>
          <w:tcPr>
            <w:tcW w:w="1053"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1.5</w:t>
            </w:r>
          </w:p>
        </w:tc>
        <w:tc>
          <w:tcPr>
            <w:tcW w:w="1053"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57.6</w:t>
            </w:r>
          </w:p>
        </w:tc>
        <w:tc>
          <w:tcPr>
            <w:tcW w:w="1053" w:type="dxa"/>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1.8</w:t>
            </w:r>
          </w:p>
        </w:tc>
      </w:tr>
      <w:tr w:rsidR="004D79C3" w:rsidRPr="002B5B88" w:rsidTr="000C1C3F">
        <w:trPr>
          <w:trHeight w:val="300"/>
        </w:trPr>
        <w:tc>
          <w:tcPr>
            <w:tcW w:w="3402"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rPr>
                <w:rFonts w:ascii="Arial" w:eastAsia="Times New Roman" w:hAnsi="Arial" w:cs="Arial"/>
                <w:color w:val="000000"/>
                <w:lang w:eastAsia="en-GB"/>
              </w:rPr>
            </w:pPr>
            <w:r w:rsidRPr="00893A71">
              <w:rPr>
                <w:rFonts w:ascii="Arial" w:eastAsia="Times New Roman" w:hAnsi="Arial" w:cs="Arial"/>
                <w:color w:val="000000"/>
                <w:lang w:eastAsia="en-GB"/>
              </w:rPr>
              <w:t>Japan</w:t>
            </w:r>
          </w:p>
        </w:tc>
        <w:tc>
          <w:tcPr>
            <w:tcW w:w="1984" w:type="dxa"/>
            <w:gridSpan w:val="3"/>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125039</w:t>
            </w:r>
          </w:p>
        </w:tc>
        <w:tc>
          <w:tcPr>
            <w:tcW w:w="851"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6.8</w:t>
            </w:r>
          </w:p>
        </w:tc>
        <w:tc>
          <w:tcPr>
            <w:tcW w:w="1053"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15.2</w:t>
            </w:r>
          </w:p>
        </w:tc>
        <w:tc>
          <w:tcPr>
            <w:tcW w:w="1053"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13.9</w:t>
            </w:r>
          </w:p>
        </w:tc>
        <w:tc>
          <w:tcPr>
            <w:tcW w:w="1053" w:type="dxa"/>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0.1</w:t>
            </w:r>
          </w:p>
        </w:tc>
      </w:tr>
      <w:tr w:rsidR="004D79C3" w:rsidRPr="002B5B88" w:rsidTr="000C1C3F">
        <w:trPr>
          <w:trHeight w:val="300"/>
        </w:trPr>
        <w:tc>
          <w:tcPr>
            <w:tcW w:w="3402"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rPr>
                <w:rFonts w:ascii="Arial" w:eastAsia="Times New Roman" w:hAnsi="Arial" w:cs="Arial"/>
                <w:color w:val="000000"/>
                <w:lang w:eastAsia="en-GB"/>
              </w:rPr>
            </w:pPr>
            <w:r w:rsidRPr="00893A71">
              <w:rPr>
                <w:rFonts w:ascii="Arial" w:eastAsia="Times New Roman" w:hAnsi="Arial" w:cs="Arial"/>
                <w:color w:val="000000"/>
                <w:lang w:eastAsia="en-GB"/>
              </w:rPr>
              <w:t>New Zealand</w:t>
            </w:r>
          </w:p>
        </w:tc>
        <w:tc>
          <w:tcPr>
            <w:tcW w:w="1984" w:type="dxa"/>
            <w:gridSpan w:val="3"/>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4730</w:t>
            </w:r>
          </w:p>
        </w:tc>
        <w:tc>
          <w:tcPr>
            <w:tcW w:w="851"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13.9</w:t>
            </w:r>
          </w:p>
        </w:tc>
        <w:tc>
          <w:tcPr>
            <w:tcW w:w="1053"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18.1</w:t>
            </w:r>
          </w:p>
        </w:tc>
        <w:tc>
          <w:tcPr>
            <w:tcW w:w="1053"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39.5</w:t>
            </w:r>
          </w:p>
        </w:tc>
        <w:tc>
          <w:tcPr>
            <w:tcW w:w="1053" w:type="dxa"/>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2.2</w:t>
            </w:r>
          </w:p>
        </w:tc>
      </w:tr>
      <w:tr w:rsidR="004D79C3" w:rsidRPr="002B5B88" w:rsidTr="000C1C3F">
        <w:trPr>
          <w:trHeight w:val="300"/>
        </w:trPr>
        <w:tc>
          <w:tcPr>
            <w:tcW w:w="3402"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rPr>
                <w:rFonts w:ascii="Arial" w:eastAsia="Times New Roman" w:hAnsi="Arial" w:cs="Arial"/>
                <w:color w:val="000000"/>
                <w:lang w:eastAsia="en-GB"/>
              </w:rPr>
            </w:pPr>
            <w:r w:rsidRPr="00893A71">
              <w:rPr>
                <w:rFonts w:ascii="Arial" w:eastAsia="Times New Roman" w:hAnsi="Arial" w:cs="Arial"/>
                <w:color w:val="000000"/>
                <w:lang w:eastAsia="en-GB"/>
              </w:rPr>
              <w:t>Russian Federation</w:t>
            </w:r>
          </w:p>
        </w:tc>
        <w:tc>
          <w:tcPr>
            <w:tcW w:w="1984" w:type="dxa"/>
            <w:gridSpan w:val="3"/>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142898</w:t>
            </w:r>
          </w:p>
        </w:tc>
        <w:tc>
          <w:tcPr>
            <w:tcW w:w="851"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11.5</w:t>
            </w:r>
          </w:p>
        </w:tc>
        <w:tc>
          <w:tcPr>
            <w:tcW w:w="1053"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21.4</w:t>
            </w:r>
          </w:p>
        </w:tc>
        <w:tc>
          <w:tcPr>
            <w:tcW w:w="1053"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27.9</w:t>
            </w:r>
          </w:p>
        </w:tc>
        <w:tc>
          <w:tcPr>
            <w:tcW w:w="1053" w:type="dxa"/>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1.2</w:t>
            </w:r>
          </w:p>
        </w:tc>
      </w:tr>
      <w:tr w:rsidR="004D79C3" w:rsidRPr="002B5B88" w:rsidTr="000C1C3F">
        <w:trPr>
          <w:trHeight w:val="300"/>
        </w:trPr>
        <w:tc>
          <w:tcPr>
            <w:tcW w:w="3402"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rPr>
                <w:rFonts w:ascii="Arial" w:eastAsia="Times New Roman" w:hAnsi="Arial" w:cs="Arial"/>
                <w:color w:val="000000"/>
                <w:lang w:eastAsia="en-GB"/>
              </w:rPr>
            </w:pPr>
            <w:r w:rsidRPr="00893A71">
              <w:rPr>
                <w:rFonts w:ascii="Arial" w:eastAsia="Times New Roman" w:hAnsi="Arial" w:cs="Arial"/>
                <w:color w:val="000000"/>
                <w:lang w:eastAsia="en-GB"/>
              </w:rPr>
              <w:t>South Africa</w:t>
            </w:r>
          </w:p>
        </w:tc>
        <w:tc>
          <w:tcPr>
            <w:tcW w:w="1984" w:type="dxa"/>
            <w:gridSpan w:val="3"/>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56669</w:t>
            </w:r>
          </w:p>
        </w:tc>
        <w:tc>
          <w:tcPr>
            <w:tcW w:w="851"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10.7</w:t>
            </w:r>
          </w:p>
        </w:tc>
        <w:tc>
          <w:tcPr>
            <w:tcW w:w="1053"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3.4</w:t>
            </w:r>
          </w:p>
        </w:tc>
        <w:tc>
          <w:tcPr>
            <w:tcW w:w="1053"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32.9</w:t>
            </w:r>
          </w:p>
        </w:tc>
        <w:tc>
          <w:tcPr>
            <w:tcW w:w="1053" w:type="dxa"/>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3.1</w:t>
            </w:r>
          </w:p>
        </w:tc>
      </w:tr>
      <w:tr w:rsidR="004D79C3" w:rsidRPr="002B5B88" w:rsidTr="000C1C3F">
        <w:trPr>
          <w:trHeight w:val="300"/>
        </w:trPr>
        <w:tc>
          <w:tcPr>
            <w:tcW w:w="3402"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rPr>
                <w:rFonts w:ascii="Arial" w:eastAsia="Times New Roman" w:hAnsi="Arial" w:cs="Arial"/>
                <w:color w:val="000000"/>
                <w:lang w:eastAsia="en-GB"/>
              </w:rPr>
            </w:pPr>
            <w:r w:rsidRPr="00893A71">
              <w:rPr>
                <w:rFonts w:ascii="Arial" w:eastAsia="Times New Roman" w:hAnsi="Arial" w:cs="Arial"/>
                <w:color w:val="000000"/>
                <w:lang w:eastAsia="en-GB"/>
              </w:rPr>
              <w:t>United States of America (USA)</w:t>
            </w:r>
          </w:p>
        </w:tc>
        <w:tc>
          <w:tcPr>
            <w:tcW w:w="1984" w:type="dxa"/>
            <w:gridSpan w:val="3"/>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333546</w:t>
            </w:r>
          </w:p>
        </w:tc>
        <w:tc>
          <w:tcPr>
            <w:tcW w:w="851"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25.5</w:t>
            </w:r>
          </w:p>
        </w:tc>
        <w:tc>
          <w:tcPr>
            <w:tcW w:w="1053"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23.4</w:t>
            </w:r>
          </w:p>
        </w:tc>
        <w:tc>
          <w:tcPr>
            <w:tcW w:w="1053"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49.4</w:t>
            </w:r>
          </w:p>
        </w:tc>
        <w:tc>
          <w:tcPr>
            <w:tcW w:w="1053" w:type="dxa"/>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0.3</w:t>
            </w:r>
          </w:p>
        </w:tc>
      </w:tr>
      <w:tr w:rsidR="004D79C3" w:rsidRPr="002B5B88" w:rsidTr="000C1C3F">
        <w:trPr>
          <w:trHeight w:val="300"/>
        </w:trPr>
        <w:tc>
          <w:tcPr>
            <w:tcW w:w="3402"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rPr>
                <w:rFonts w:ascii="Arial" w:eastAsia="Times New Roman" w:hAnsi="Arial" w:cs="Arial"/>
                <w:color w:val="000000"/>
                <w:lang w:eastAsia="en-GB"/>
              </w:rPr>
            </w:pPr>
            <w:r w:rsidRPr="00893A71">
              <w:rPr>
                <w:rFonts w:ascii="Arial" w:eastAsia="Times New Roman" w:hAnsi="Arial" w:cs="Arial"/>
                <w:color w:val="000000"/>
                <w:lang w:eastAsia="en-GB"/>
              </w:rPr>
              <w:t>Norway</w:t>
            </w:r>
          </w:p>
        </w:tc>
        <w:tc>
          <w:tcPr>
            <w:tcW w:w="1984" w:type="dxa"/>
            <w:gridSpan w:val="3"/>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5494</w:t>
            </w:r>
          </w:p>
        </w:tc>
        <w:tc>
          <w:tcPr>
            <w:tcW w:w="851"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16.4</w:t>
            </w:r>
          </w:p>
        </w:tc>
        <w:tc>
          <w:tcPr>
            <w:tcW w:w="1053"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23.9</w:t>
            </w:r>
          </w:p>
        </w:tc>
        <w:tc>
          <w:tcPr>
            <w:tcW w:w="1053"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23.9</w:t>
            </w:r>
          </w:p>
        </w:tc>
        <w:tc>
          <w:tcPr>
            <w:tcW w:w="1053" w:type="dxa"/>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4.8</w:t>
            </w:r>
          </w:p>
        </w:tc>
      </w:tr>
      <w:tr w:rsidR="004D79C3" w:rsidRPr="002B5B88" w:rsidTr="000C1C3F">
        <w:trPr>
          <w:trHeight w:val="300"/>
        </w:trPr>
        <w:tc>
          <w:tcPr>
            <w:tcW w:w="3402"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rPr>
                <w:rFonts w:ascii="Arial" w:eastAsia="Times New Roman" w:hAnsi="Arial" w:cs="Arial"/>
                <w:color w:val="000000"/>
                <w:lang w:eastAsia="en-GB"/>
              </w:rPr>
            </w:pPr>
            <w:r w:rsidRPr="00893A71">
              <w:rPr>
                <w:rFonts w:ascii="Arial" w:eastAsia="Times New Roman" w:hAnsi="Arial" w:cs="Arial"/>
                <w:color w:val="000000"/>
                <w:lang w:eastAsia="en-GB"/>
              </w:rPr>
              <w:t>Switzerland</w:t>
            </w:r>
          </w:p>
        </w:tc>
        <w:tc>
          <w:tcPr>
            <w:tcW w:w="1984" w:type="dxa"/>
            <w:gridSpan w:val="3"/>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8654</w:t>
            </w:r>
          </w:p>
        </w:tc>
        <w:tc>
          <w:tcPr>
            <w:tcW w:w="851"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20.9</w:t>
            </w:r>
          </w:p>
        </w:tc>
        <w:tc>
          <w:tcPr>
            <w:tcW w:w="1053"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29.1</w:t>
            </w:r>
          </w:p>
        </w:tc>
        <w:tc>
          <w:tcPr>
            <w:tcW w:w="1053"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16.3</w:t>
            </w:r>
          </w:p>
        </w:tc>
        <w:tc>
          <w:tcPr>
            <w:tcW w:w="1053" w:type="dxa"/>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1.4</w:t>
            </w:r>
          </w:p>
        </w:tc>
      </w:tr>
      <w:tr w:rsidR="004D79C3" w:rsidRPr="002B5B88" w:rsidTr="000C1C3F">
        <w:trPr>
          <w:trHeight w:val="300"/>
        </w:trPr>
        <w:tc>
          <w:tcPr>
            <w:tcW w:w="3402"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rPr>
                <w:rFonts w:ascii="Arial" w:eastAsia="Times New Roman" w:hAnsi="Arial" w:cs="Arial"/>
                <w:color w:val="000000"/>
                <w:lang w:eastAsia="en-GB"/>
              </w:rPr>
            </w:pPr>
            <w:r w:rsidRPr="00893A71">
              <w:rPr>
                <w:rFonts w:ascii="Arial" w:eastAsia="Times New Roman" w:hAnsi="Arial" w:cs="Arial"/>
                <w:color w:val="000000"/>
                <w:lang w:eastAsia="en-GB"/>
              </w:rPr>
              <w:t>Iceland</w:t>
            </w:r>
          </w:p>
        </w:tc>
        <w:tc>
          <w:tcPr>
            <w:tcW w:w="1984" w:type="dxa"/>
            <w:gridSpan w:val="3"/>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342</w:t>
            </w:r>
          </w:p>
        </w:tc>
        <w:tc>
          <w:tcPr>
            <w:tcW w:w="851"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17.4</w:t>
            </w:r>
          </w:p>
        </w:tc>
        <w:tc>
          <w:tcPr>
            <w:tcW w:w="1053"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4.96</w:t>
            </w:r>
          </w:p>
        </w:tc>
        <w:tc>
          <w:tcPr>
            <w:tcW w:w="1053"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17.0</w:t>
            </w:r>
          </w:p>
        </w:tc>
        <w:tc>
          <w:tcPr>
            <w:tcW w:w="1053" w:type="dxa"/>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8.1</w:t>
            </w:r>
          </w:p>
        </w:tc>
      </w:tr>
      <w:tr w:rsidR="004D79C3" w:rsidRPr="002B5B88" w:rsidTr="000C1C3F">
        <w:trPr>
          <w:trHeight w:val="300"/>
        </w:trPr>
        <w:tc>
          <w:tcPr>
            <w:tcW w:w="3402"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rPr>
                <w:rFonts w:ascii="Arial" w:eastAsia="Times New Roman" w:hAnsi="Arial" w:cs="Arial"/>
                <w:color w:val="000000"/>
                <w:lang w:eastAsia="en-GB"/>
              </w:rPr>
            </w:pPr>
            <w:r w:rsidRPr="00893A71">
              <w:rPr>
                <w:rFonts w:ascii="Arial" w:eastAsia="Times New Roman" w:hAnsi="Arial" w:cs="Arial"/>
                <w:color w:val="000000"/>
                <w:lang w:eastAsia="en-GB"/>
              </w:rPr>
              <w:t>Ukraine</w:t>
            </w:r>
          </w:p>
        </w:tc>
        <w:tc>
          <w:tcPr>
            <w:tcW w:w="1984" w:type="dxa"/>
            <w:gridSpan w:val="3"/>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43679</w:t>
            </w:r>
          </w:p>
        </w:tc>
        <w:tc>
          <w:tcPr>
            <w:tcW w:w="851"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7.1</w:t>
            </w:r>
          </w:p>
        </w:tc>
        <w:tc>
          <w:tcPr>
            <w:tcW w:w="1053"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14.9</w:t>
            </w:r>
          </w:p>
        </w:tc>
        <w:tc>
          <w:tcPr>
            <w:tcW w:w="1053"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25.9</w:t>
            </w:r>
          </w:p>
        </w:tc>
        <w:tc>
          <w:tcPr>
            <w:tcW w:w="1053" w:type="dxa"/>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lang w:eastAsia="en-GB"/>
              </w:rPr>
            </w:pPr>
            <w:r w:rsidRPr="00893A71">
              <w:rPr>
                <w:rFonts w:ascii="Arial" w:eastAsia="Times New Roman" w:hAnsi="Arial" w:cs="Arial"/>
                <w:color w:val="000000"/>
                <w:lang w:eastAsia="en-GB"/>
              </w:rPr>
              <w:t>0.4</w:t>
            </w:r>
          </w:p>
        </w:tc>
      </w:tr>
      <w:tr w:rsidR="004D79C3" w:rsidRPr="002B5B88" w:rsidTr="000C1C3F">
        <w:trPr>
          <w:trHeight w:val="300"/>
        </w:trPr>
        <w:tc>
          <w:tcPr>
            <w:tcW w:w="3402"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rPr>
                <w:rFonts w:ascii="Arial" w:eastAsia="Times New Roman" w:hAnsi="Arial" w:cs="Arial"/>
                <w:color w:val="000000" w:themeColor="text1"/>
                <w:lang w:eastAsia="en-GB"/>
              </w:rPr>
            </w:pPr>
            <w:r w:rsidRPr="00893A71">
              <w:rPr>
                <w:rFonts w:ascii="Arial" w:eastAsia="Times New Roman" w:hAnsi="Arial" w:cs="Arial"/>
                <w:color w:val="000000" w:themeColor="text1"/>
                <w:lang w:eastAsia="en-GB"/>
              </w:rPr>
              <w:t>EU28</w:t>
            </w:r>
          </w:p>
        </w:tc>
        <w:tc>
          <w:tcPr>
            <w:tcW w:w="1984" w:type="dxa"/>
            <w:gridSpan w:val="3"/>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themeColor="text1"/>
                <w:lang w:eastAsia="en-GB"/>
              </w:rPr>
            </w:pPr>
            <w:r w:rsidRPr="00893A71">
              <w:rPr>
                <w:rFonts w:ascii="Arial" w:eastAsia="Times New Roman" w:hAnsi="Arial" w:cs="Arial"/>
                <w:color w:val="000000" w:themeColor="text1"/>
                <w:lang w:eastAsia="en-GB"/>
              </w:rPr>
              <w:t>507889</w:t>
            </w:r>
          </w:p>
        </w:tc>
        <w:tc>
          <w:tcPr>
            <w:tcW w:w="851"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themeColor="text1"/>
                <w:lang w:eastAsia="en-GB"/>
              </w:rPr>
            </w:pPr>
            <w:r w:rsidRPr="00893A71">
              <w:rPr>
                <w:rFonts w:ascii="Arial" w:eastAsia="Times New Roman" w:hAnsi="Arial" w:cs="Arial"/>
                <w:color w:val="000000" w:themeColor="text1"/>
                <w:lang w:eastAsia="en-GB"/>
              </w:rPr>
              <w:t>10.8</w:t>
            </w:r>
          </w:p>
        </w:tc>
        <w:tc>
          <w:tcPr>
            <w:tcW w:w="1053"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themeColor="text1"/>
                <w:lang w:eastAsia="en-GB"/>
              </w:rPr>
            </w:pPr>
            <w:r w:rsidRPr="00893A71">
              <w:rPr>
                <w:rFonts w:ascii="Arial" w:eastAsia="Times New Roman" w:hAnsi="Arial" w:cs="Arial"/>
                <w:color w:val="000000" w:themeColor="text1"/>
                <w:lang w:eastAsia="en-GB"/>
              </w:rPr>
              <w:t>32.6</w:t>
            </w:r>
          </w:p>
        </w:tc>
        <w:tc>
          <w:tcPr>
            <w:tcW w:w="1053" w:type="dxa"/>
            <w:gridSpan w:val="2"/>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themeColor="text1"/>
                <w:lang w:eastAsia="en-GB"/>
              </w:rPr>
            </w:pPr>
            <w:r w:rsidRPr="00893A71">
              <w:rPr>
                <w:rFonts w:ascii="Arial" w:eastAsia="Times New Roman" w:hAnsi="Arial" w:cs="Arial"/>
                <w:color w:val="000000" w:themeColor="text1"/>
                <w:lang w:eastAsia="en-GB"/>
              </w:rPr>
              <w:t>23.5</w:t>
            </w:r>
          </w:p>
        </w:tc>
        <w:tc>
          <w:tcPr>
            <w:tcW w:w="1053" w:type="dxa"/>
            <w:tcBorders>
              <w:top w:val="nil"/>
              <w:left w:val="nil"/>
              <w:bottom w:val="nil"/>
              <w:right w:val="nil"/>
            </w:tcBorders>
            <w:shd w:val="clear" w:color="auto" w:fill="auto"/>
            <w:noWrap/>
            <w:vAlign w:val="bottom"/>
            <w:hideMark/>
          </w:tcPr>
          <w:p w:rsidR="004D79C3" w:rsidRPr="00893A71" w:rsidRDefault="004D79C3" w:rsidP="000C1C3F">
            <w:pPr>
              <w:spacing w:after="0" w:line="240" w:lineRule="auto"/>
              <w:jc w:val="center"/>
              <w:rPr>
                <w:rFonts w:ascii="Arial" w:eastAsia="Times New Roman" w:hAnsi="Arial" w:cs="Arial"/>
                <w:color w:val="000000" w:themeColor="text1"/>
                <w:lang w:eastAsia="en-GB"/>
              </w:rPr>
            </w:pPr>
            <w:r w:rsidRPr="00893A71">
              <w:rPr>
                <w:rFonts w:ascii="Arial" w:eastAsia="Times New Roman" w:hAnsi="Arial" w:cs="Arial"/>
                <w:color w:val="000000" w:themeColor="text1"/>
                <w:lang w:eastAsia="en-GB"/>
              </w:rPr>
              <w:t>1.8</w:t>
            </w:r>
          </w:p>
        </w:tc>
      </w:tr>
      <w:tr w:rsidR="004D79C3" w:rsidRPr="002B5B88" w:rsidTr="000C1C3F">
        <w:trPr>
          <w:gridAfter w:val="2"/>
          <w:wAfter w:w="1568" w:type="dxa"/>
          <w:trHeight w:val="300"/>
        </w:trPr>
        <w:tc>
          <w:tcPr>
            <w:tcW w:w="1985" w:type="dxa"/>
            <w:tcBorders>
              <w:top w:val="nil"/>
              <w:left w:val="nil"/>
              <w:bottom w:val="nil"/>
              <w:right w:val="nil"/>
            </w:tcBorders>
            <w:shd w:val="clear" w:color="auto" w:fill="auto"/>
            <w:noWrap/>
            <w:vAlign w:val="bottom"/>
          </w:tcPr>
          <w:p w:rsidR="004D79C3" w:rsidRPr="002B5B88" w:rsidRDefault="004D79C3" w:rsidP="000C1C3F">
            <w:pPr>
              <w:spacing w:after="0" w:line="240" w:lineRule="auto"/>
              <w:rPr>
                <w:rFonts w:ascii="Arial" w:eastAsia="Times New Roman" w:hAnsi="Arial" w:cs="Arial"/>
                <w:i/>
                <w:color w:val="000000"/>
                <w:sz w:val="20"/>
                <w:lang w:eastAsia="en-GB"/>
              </w:rPr>
            </w:pPr>
          </w:p>
        </w:tc>
        <w:tc>
          <w:tcPr>
            <w:tcW w:w="1833" w:type="dxa"/>
            <w:gridSpan w:val="2"/>
            <w:tcBorders>
              <w:top w:val="nil"/>
              <w:left w:val="nil"/>
              <w:bottom w:val="nil"/>
              <w:right w:val="nil"/>
            </w:tcBorders>
            <w:shd w:val="clear" w:color="auto" w:fill="auto"/>
            <w:noWrap/>
            <w:vAlign w:val="bottom"/>
          </w:tcPr>
          <w:p w:rsidR="004D79C3" w:rsidRPr="002B5B88" w:rsidRDefault="004D79C3" w:rsidP="000C1C3F">
            <w:pPr>
              <w:spacing w:after="0" w:line="240" w:lineRule="auto"/>
              <w:jc w:val="center"/>
              <w:rPr>
                <w:rFonts w:ascii="Arial" w:eastAsia="Times New Roman" w:hAnsi="Arial" w:cs="Arial"/>
                <w:i/>
                <w:color w:val="000000"/>
                <w:sz w:val="20"/>
                <w:lang w:eastAsia="en-GB"/>
              </w:rPr>
            </w:pPr>
          </w:p>
        </w:tc>
        <w:tc>
          <w:tcPr>
            <w:tcW w:w="851" w:type="dxa"/>
            <w:tcBorders>
              <w:top w:val="nil"/>
              <w:left w:val="nil"/>
              <w:bottom w:val="nil"/>
              <w:right w:val="nil"/>
            </w:tcBorders>
            <w:shd w:val="clear" w:color="auto" w:fill="auto"/>
            <w:noWrap/>
            <w:vAlign w:val="bottom"/>
          </w:tcPr>
          <w:p w:rsidR="004D79C3" w:rsidRPr="002B5B88" w:rsidRDefault="004D79C3" w:rsidP="000C1C3F">
            <w:pPr>
              <w:spacing w:after="0" w:line="240" w:lineRule="auto"/>
              <w:jc w:val="right"/>
              <w:rPr>
                <w:rFonts w:ascii="Arial" w:eastAsia="Times New Roman" w:hAnsi="Arial" w:cs="Arial"/>
                <w:i/>
                <w:color w:val="000000"/>
                <w:sz w:val="20"/>
                <w:lang w:eastAsia="en-GB"/>
              </w:rPr>
            </w:pPr>
          </w:p>
        </w:tc>
        <w:tc>
          <w:tcPr>
            <w:tcW w:w="1053" w:type="dxa"/>
            <w:gridSpan w:val="2"/>
            <w:tcBorders>
              <w:top w:val="nil"/>
              <w:left w:val="nil"/>
              <w:bottom w:val="nil"/>
              <w:right w:val="nil"/>
            </w:tcBorders>
            <w:shd w:val="clear" w:color="auto" w:fill="auto"/>
            <w:noWrap/>
            <w:vAlign w:val="bottom"/>
          </w:tcPr>
          <w:p w:rsidR="004D79C3" w:rsidRPr="002B5B88" w:rsidRDefault="004D79C3" w:rsidP="000C1C3F">
            <w:pPr>
              <w:spacing w:after="0" w:line="240" w:lineRule="auto"/>
              <w:rPr>
                <w:rFonts w:ascii="Arial" w:eastAsia="Times New Roman" w:hAnsi="Arial" w:cs="Arial"/>
                <w:i/>
                <w:sz w:val="20"/>
                <w:szCs w:val="20"/>
                <w:lang w:eastAsia="en-GB"/>
              </w:rPr>
            </w:pPr>
          </w:p>
        </w:tc>
        <w:tc>
          <w:tcPr>
            <w:tcW w:w="1053" w:type="dxa"/>
            <w:gridSpan w:val="2"/>
            <w:tcBorders>
              <w:top w:val="nil"/>
              <w:left w:val="nil"/>
              <w:bottom w:val="nil"/>
              <w:right w:val="nil"/>
            </w:tcBorders>
            <w:shd w:val="clear" w:color="auto" w:fill="auto"/>
            <w:noWrap/>
            <w:vAlign w:val="bottom"/>
            <w:hideMark/>
          </w:tcPr>
          <w:p w:rsidR="004D79C3" w:rsidRPr="002B5B88" w:rsidRDefault="004D79C3" w:rsidP="000C1C3F">
            <w:pPr>
              <w:spacing w:after="0" w:line="240" w:lineRule="auto"/>
              <w:rPr>
                <w:rFonts w:ascii="Arial" w:eastAsia="Times New Roman" w:hAnsi="Arial" w:cs="Arial"/>
                <w:i/>
                <w:sz w:val="20"/>
                <w:szCs w:val="20"/>
                <w:lang w:eastAsia="en-GB"/>
              </w:rPr>
            </w:pPr>
          </w:p>
        </w:tc>
        <w:tc>
          <w:tcPr>
            <w:tcW w:w="1053" w:type="dxa"/>
            <w:gridSpan w:val="2"/>
            <w:tcBorders>
              <w:top w:val="nil"/>
              <w:left w:val="nil"/>
              <w:bottom w:val="nil"/>
              <w:right w:val="nil"/>
            </w:tcBorders>
            <w:shd w:val="clear" w:color="auto" w:fill="auto"/>
            <w:noWrap/>
            <w:vAlign w:val="bottom"/>
            <w:hideMark/>
          </w:tcPr>
          <w:p w:rsidR="004D79C3" w:rsidRPr="002B5B88" w:rsidRDefault="004D79C3" w:rsidP="000C1C3F">
            <w:pPr>
              <w:spacing w:after="0" w:line="240" w:lineRule="auto"/>
              <w:rPr>
                <w:rFonts w:ascii="Arial" w:eastAsia="Times New Roman" w:hAnsi="Arial" w:cs="Arial"/>
                <w:i/>
                <w:sz w:val="20"/>
                <w:szCs w:val="20"/>
                <w:lang w:eastAsia="en-GB"/>
              </w:rPr>
            </w:pPr>
          </w:p>
        </w:tc>
      </w:tr>
    </w:tbl>
    <w:p w:rsidR="004D79C3" w:rsidRDefault="004D79C3" w:rsidP="004D79C3">
      <w:pPr>
        <w:rPr>
          <w:rFonts w:ascii="Arial" w:hAnsi="Arial" w:cs="Arial"/>
          <w:b/>
          <w:sz w:val="28"/>
        </w:rPr>
      </w:pPr>
    </w:p>
    <w:tbl>
      <w:tblPr>
        <w:tblpPr w:leftFromText="180" w:rightFromText="180" w:vertAnchor="text" w:horzAnchor="margin" w:tblpY="-106"/>
        <w:tblW w:w="8601" w:type="dxa"/>
        <w:tblLook w:val="04A0" w:firstRow="1" w:lastRow="0" w:firstColumn="1" w:lastColumn="0" w:noHBand="0" w:noVBand="1"/>
      </w:tblPr>
      <w:tblGrid>
        <w:gridCol w:w="2410"/>
        <w:gridCol w:w="693"/>
        <w:gridCol w:w="1072"/>
        <w:gridCol w:w="976"/>
        <w:gridCol w:w="976"/>
        <w:gridCol w:w="2474"/>
      </w:tblGrid>
      <w:tr w:rsidR="004D79C3" w:rsidRPr="009A66C5" w:rsidTr="000C1C3F">
        <w:trPr>
          <w:trHeight w:val="300"/>
        </w:trPr>
        <w:tc>
          <w:tcPr>
            <w:tcW w:w="2410" w:type="dxa"/>
            <w:tcBorders>
              <w:top w:val="nil"/>
              <w:left w:val="nil"/>
              <w:bottom w:val="nil"/>
              <w:right w:val="nil"/>
            </w:tcBorders>
            <w:shd w:val="clear" w:color="auto" w:fill="auto"/>
            <w:noWrap/>
            <w:vAlign w:val="bottom"/>
            <w:hideMark/>
          </w:tcPr>
          <w:p w:rsidR="004D79C3" w:rsidRPr="009A66C5" w:rsidRDefault="004D79C3" w:rsidP="000C1C3F">
            <w:pPr>
              <w:spacing w:after="0" w:line="240" w:lineRule="auto"/>
              <w:rPr>
                <w:rFonts w:ascii="Arial" w:eastAsia="Times New Roman" w:hAnsi="Arial" w:cs="Arial"/>
                <w:b/>
                <w:sz w:val="24"/>
                <w:szCs w:val="24"/>
                <w:lang w:eastAsia="en-GB"/>
              </w:rPr>
            </w:pPr>
            <w:r w:rsidRPr="009A66C5">
              <w:rPr>
                <w:rFonts w:ascii="Arial" w:eastAsia="Times New Roman" w:hAnsi="Arial" w:cs="Arial"/>
                <w:b/>
                <w:szCs w:val="24"/>
                <w:lang w:eastAsia="en-GB"/>
              </w:rPr>
              <w:t>Per 100g product</w:t>
            </w:r>
          </w:p>
        </w:tc>
        <w:tc>
          <w:tcPr>
            <w:tcW w:w="693" w:type="dxa"/>
            <w:tcBorders>
              <w:top w:val="nil"/>
              <w:left w:val="nil"/>
              <w:bottom w:val="nil"/>
              <w:right w:val="nil"/>
            </w:tcBorders>
            <w:shd w:val="clear" w:color="auto" w:fill="auto"/>
            <w:noWrap/>
            <w:vAlign w:val="bottom"/>
            <w:hideMark/>
          </w:tcPr>
          <w:p w:rsidR="004D79C3" w:rsidRPr="009A66C5" w:rsidRDefault="004D79C3" w:rsidP="000C1C3F">
            <w:pPr>
              <w:spacing w:after="0" w:line="240" w:lineRule="auto"/>
              <w:rPr>
                <w:rFonts w:ascii="Arial" w:eastAsia="Times New Roman" w:hAnsi="Arial" w:cs="Arial"/>
                <w:b/>
                <w:bCs/>
                <w:iCs/>
                <w:color w:val="000000"/>
                <w:lang w:eastAsia="en-GB"/>
              </w:rPr>
            </w:pPr>
            <w:r w:rsidRPr="009A66C5">
              <w:rPr>
                <w:rFonts w:ascii="Arial" w:eastAsia="Times New Roman" w:hAnsi="Arial" w:cs="Arial"/>
                <w:b/>
                <w:bCs/>
                <w:iCs/>
                <w:color w:val="000000"/>
                <w:lang w:eastAsia="en-GB"/>
              </w:rPr>
              <w:t>Beef</w:t>
            </w:r>
          </w:p>
        </w:tc>
        <w:tc>
          <w:tcPr>
            <w:tcW w:w="1072" w:type="dxa"/>
            <w:tcBorders>
              <w:top w:val="nil"/>
              <w:left w:val="nil"/>
              <w:bottom w:val="nil"/>
              <w:right w:val="nil"/>
            </w:tcBorders>
            <w:shd w:val="clear" w:color="auto" w:fill="auto"/>
            <w:noWrap/>
            <w:vAlign w:val="bottom"/>
            <w:hideMark/>
          </w:tcPr>
          <w:p w:rsidR="004D79C3" w:rsidRPr="009A66C5" w:rsidRDefault="004D79C3" w:rsidP="000C1C3F">
            <w:pPr>
              <w:spacing w:after="0" w:line="240" w:lineRule="auto"/>
              <w:rPr>
                <w:rFonts w:ascii="Arial" w:eastAsia="Times New Roman" w:hAnsi="Arial" w:cs="Arial"/>
                <w:b/>
                <w:bCs/>
                <w:iCs/>
                <w:color w:val="000000"/>
                <w:lang w:eastAsia="en-GB"/>
              </w:rPr>
            </w:pPr>
            <w:proofErr w:type="spellStart"/>
            <w:r>
              <w:rPr>
                <w:rFonts w:ascii="Arial" w:eastAsia="Times New Roman" w:hAnsi="Arial" w:cs="Arial"/>
                <w:b/>
                <w:bCs/>
                <w:iCs/>
                <w:color w:val="000000"/>
                <w:lang w:eastAsia="en-GB"/>
              </w:rPr>
              <w:t>Pigmeat</w:t>
            </w:r>
            <w:proofErr w:type="spellEnd"/>
          </w:p>
        </w:tc>
        <w:tc>
          <w:tcPr>
            <w:tcW w:w="976" w:type="dxa"/>
            <w:tcBorders>
              <w:top w:val="nil"/>
              <w:left w:val="nil"/>
              <w:bottom w:val="nil"/>
              <w:right w:val="nil"/>
            </w:tcBorders>
            <w:shd w:val="clear" w:color="auto" w:fill="auto"/>
            <w:noWrap/>
            <w:vAlign w:val="bottom"/>
            <w:hideMark/>
          </w:tcPr>
          <w:p w:rsidR="004D79C3" w:rsidRPr="009A66C5" w:rsidRDefault="004D79C3" w:rsidP="000C1C3F">
            <w:pPr>
              <w:spacing w:after="0" w:line="240" w:lineRule="auto"/>
              <w:rPr>
                <w:rFonts w:ascii="Arial" w:eastAsia="Times New Roman" w:hAnsi="Arial" w:cs="Arial"/>
                <w:b/>
                <w:bCs/>
                <w:iCs/>
                <w:color w:val="000000"/>
                <w:lang w:eastAsia="en-GB"/>
              </w:rPr>
            </w:pPr>
            <w:r w:rsidRPr="009A66C5">
              <w:rPr>
                <w:rFonts w:ascii="Arial" w:eastAsia="Times New Roman" w:hAnsi="Arial" w:cs="Arial"/>
                <w:b/>
                <w:bCs/>
                <w:iCs/>
                <w:color w:val="000000"/>
                <w:lang w:eastAsia="en-GB"/>
              </w:rPr>
              <w:t>Poultry</w:t>
            </w:r>
          </w:p>
        </w:tc>
        <w:tc>
          <w:tcPr>
            <w:tcW w:w="976" w:type="dxa"/>
            <w:tcBorders>
              <w:top w:val="nil"/>
              <w:left w:val="nil"/>
              <w:bottom w:val="nil"/>
              <w:right w:val="nil"/>
            </w:tcBorders>
            <w:shd w:val="clear" w:color="auto" w:fill="auto"/>
            <w:noWrap/>
            <w:vAlign w:val="bottom"/>
            <w:hideMark/>
          </w:tcPr>
          <w:p w:rsidR="004D79C3" w:rsidRPr="009A66C5" w:rsidRDefault="004D79C3" w:rsidP="000C1C3F">
            <w:pPr>
              <w:spacing w:after="0" w:line="240" w:lineRule="auto"/>
              <w:rPr>
                <w:rFonts w:ascii="Arial" w:eastAsia="Times New Roman" w:hAnsi="Arial" w:cs="Arial"/>
                <w:b/>
                <w:bCs/>
                <w:iCs/>
                <w:color w:val="000000"/>
                <w:lang w:eastAsia="en-GB"/>
              </w:rPr>
            </w:pPr>
            <w:r w:rsidRPr="009A66C5">
              <w:rPr>
                <w:rFonts w:ascii="Arial" w:eastAsia="Times New Roman" w:hAnsi="Arial" w:cs="Arial"/>
                <w:b/>
                <w:bCs/>
                <w:iCs/>
                <w:color w:val="000000"/>
                <w:lang w:eastAsia="en-GB"/>
              </w:rPr>
              <w:t>Lamb</w:t>
            </w:r>
          </w:p>
        </w:tc>
        <w:tc>
          <w:tcPr>
            <w:tcW w:w="2474" w:type="dxa"/>
            <w:tcBorders>
              <w:top w:val="nil"/>
              <w:left w:val="nil"/>
              <w:bottom w:val="nil"/>
              <w:right w:val="nil"/>
            </w:tcBorders>
            <w:shd w:val="clear" w:color="auto" w:fill="auto"/>
            <w:noWrap/>
            <w:vAlign w:val="bottom"/>
            <w:hideMark/>
          </w:tcPr>
          <w:p w:rsidR="004D79C3" w:rsidRPr="009A66C5" w:rsidRDefault="004D79C3" w:rsidP="000C1C3F">
            <w:pPr>
              <w:spacing w:after="0" w:line="240" w:lineRule="auto"/>
              <w:rPr>
                <w:rFonts w:ascii="Arial" w:eastAsia="Times New Roman" w:hAnsi="Arial" w:cs="Arial"/>
                <w:b/>
                <w:bCs/>
                <w:iCs/>
                <w:color w:val="000000"/>
                <w:lang w:eastAsia="en-GB"/>
              </w:rPr>
            </w:pPr>
            <w:r w:rsidRPr="009F2F84">
              <w:rPr>
                <w:rFonts w:ascii="Arial" w:hAnsi="Arial" w:cs="Arial"/>
                <w:b/>
              </w:rPr>
              <w:t>Quorn™</w:t>
            </w:r>
            <w:r>
              <w:rPr>
                <w:rFonts w:ascii="Arial" w:hAnsi="Arial" w:cs="Arial"/>
                <w:b/>
              </w:rPr>
              <w:t xml:space="preserve"> </w:t>
            </w:r>
            <w:r w:rsidRPr="009A66C5">
              <w:rPr>
                <w:rFonts w:ascii="Arial" w:eastAsia="Times New Roman" w:hAnsi="Arial" w:cs="Arial"/>
                <w:b/>
                <w:bCs/>
                <w:iCs/>
                <w:color w:val="000000"/>
                <w:lang w:eastAsia="en-GB"/>
              </w:rPr>
              <w:t>Mycoprotein</w:t>
            </w:r>
          </w:p>
        </w:tc>
      </w:tr>
      <w:tr w:rsidR="004D79C3" w:rsidRPr="009A66C5" w:rsidTr="000C1C3F">
        <w:trPr>
          <w:trHeight w:val="300"/>
        </w:trPr>
        <w:tc>
          <w:tcPr>
            <w:tcW w:w="2410" w:type="dxa"/>
            <w:tcBorders>
              <w:top w:val="nil"/>
              <w:left w:val="nil"/>
              <w:bottom w:val="nil"/>
              <w:right w:val="nil"/>
            </w:tcBorders>
            <w:shd w:val="clear" w:color="auto" w:fill="auto"/>
            <w:noWrap/>
            <w:vAlign w:val="bottom"/>
            <w:hideMark/>
          </w:tcPr>
          <w:p w:rsidR="004D79C3" w:rsidRPr="009A66C5" w:rsidRDefault="004D79C3" w:rsidP="000C1C3F">
            <w:pPr>
              <w:spacing w:after="0" w:line="240" w:lineRule="auto"/>
              <w:rPr>
                <w:rFonts w:ascii="Arial" w:eastAsia="Times New Roman" w:hAnsi="Arial" w:cs="Arial"/>
                <w:color w:val="000000"/>
                <w:lang w:eastAsia="en-GB"/>
              </w:rPr>
            </w:pPr>
            <w:r w:rsidRPr="009A66C5">
              <w:rPr>
                <w:rFonts w:ascii="Arial" w:eastAsia="Times New Roman" w:hAnsi="Arial" w:cs="Arial"/>
                <w:color w:val="000000"/>
                <w:lang w:eastAsia="en-GB"/>
              </w:rPr>
              <w:t>Calories (kcal)</w:t>
            </w:r>
          </w:p>
        </w:tc>
        <w:tc>
          <w:tcPr>
            <w:tcW w:w="693" w:type="dxa"/>
            <w:tcBorders>
              <w:top w:val="nil"/>
              <w:left w:val="nil"/>
              <w:bottom w:val="nil"/>
              <w:right w:val="nil"/>
            </w:tcBorders>
            <w:shd w:val="clear" w:color="auto" w:fill="auto"/>
            <w:noWrap/>
            <w:vAlign w:val="bottom"/>
            <w:hideMark/>
          </w:tcPr>
          <w:p w:rsidR="004D79C3" w:rsidRPr="009A66C5" w:rsidRDefault="004D79C3" w:rsidP="000C1C3F">
            <w:pPr>
              <w:spacing w:after="0" w:line="240" w:lineRule="auto"/>
              <w:rPr>
                <w:rFonts w:ascii="Arial" w:eastAsia="Times New Roman" w:hAnsi="Arial" w:cs="Arial"/>
                <w:color w:val="000000"/>
                <w:lang w:eastAsia="en-GB"/>
              </w:rPr>
            </w:pPr>
            <w:r w:rsidRPr="009A66C5">
              <w:rPr>
                <w:rFonts w:ascii="Arial" w:eastAsia="Times New Roman" w:hAnsi="Arial" w:cs="Arial"/>
                <w:color w:val="000000"/>
                <w:lang w:eastAsia="en-GB"/>
              </w:rPr>
              <w:t>150</w:t>
            </w:r>
          </w:p>
        </w:tc>
        <w:tc>
          <w:tcPr>
            <w:tcW w:w="1072" w:type="dxa"/>
            <w:tcBorders>
              <w:top w:val="nil"/>
              <w:left w:val="nil"/>
              <w:bottom w:val="nil"/>
              <w:right w:val="nil"/>
            </w:tcBorders>
            <w:shd w:val="clear" w:color="auto" w:fill="auto"/>
            <w:noWrap/>
            <w:vAlign w:val="bottom"/>
            <w:hideMark/>
          </w:tcPr>
          <w:p w:rsidR="004D79C3" w:rsidRPr="009A66C5" w:rsidRDefault="004D79C3" w:rsidP="000C1C3F">
            <w:pPr>
              <w:spacing w:after="0" w:line="240" w:lineRule="auto"/>
              <w:rPr>
                <w:rFonts w:ascii="Arial" w:eastAsia="Times New Roman" w:hAnsi="Arial" w:cs="Arial"/>
                <w:color w:val="000000"/>
                <w:lang w:eastAsia="en-GB"/>
              </w:rPr>
            </w:pPr>
            <w:r w:rsidRPr="009A66C5">
              <w:rPr>
                <w:rFonts w:ascii="Arial" w:eastAsia="Times New Roman" w:hAnsi="Arial" w:cs="Arial"/>
                <w:color w:val="000000"/>
                <w:lang w:eastAsia="en-GB"/>
              </w:rPr>
              <w:t>326</w:t>
            </w:r>
          </w:p>
        </w:tc>
        <w:tc>
          <w:tcPr>
            <w:tcW w:w="976" w:type="dxa"/>
            <w:tcBorders>
              <w:top w:val="nil"/>
              <w:left w:val="nil"/>
              <w:bottom w:val="nil"/>
              <w:right w:val="nil"/>
            </w:tcBorders>
            <w:shd w:val="clear" w:color="auto" w:fill="auto"/>
            <w:noWrap/>
            <w:vAlign w:val="bottom"/>
            <w:hideMark/>
          </w:tcPr>
          <w:p w:rsidR="004D79C3" w:rsidRPr="009A66C5" w:rsidRDefault="004D79C3" w:rsidP="000C1C3F">
            <w:pPr>
              <w:spacing w:after="0" w:line="240" w:lineRule="auto"/>
              <w:rPr>
                <w:rFonts w:ascii="Arial" w:eastAsia="Times New Roman" w:hAnsi="Arial" w:cs="Arial"/>
                <w:color w:val="000000"/>
                <w:lang w:eastAsia="en-GB"/>
              </w:rPr>
            </w:pPr>
            <w:r w:rsidRPr="009A66C5">
              <w:rPr>
                <w:rFonts w:ascii="Arial" w:eastAsia="Times New Roman" w:hAnsi="Arial" w:cs="Arial"/>
                <w:color w:val="000000"/>
                <w:lang w:eastAsia="en-GB"/>
              </w:rPr>
              <w:t>122</w:t>
            </w:r>
          </w:p>
        </w:tc>
        <w:tc>
          <w:tcPr>
            <w:tcW w:w="976" w:type="dxa"/>
            <w:tcBorders>
              <w:top w:val="nil"/>
              <w:left w:val="nil"/>
              <w:bottom w:val="nil"/>
              <w:right w:val="nil"/>
            </w:tcBorders>
            <w:shd w:val="clear" w:color="auto" w:fill="auto"/>
            <w:noWrap/>
            <w:vAlign w:val="bottom"/>
            <w:hideMark/>
          </w:tcPr>
          <w:p w:rsidR="004D79C3" w:rsidRPr="009A66C5" w:rsidRDefault="004D79C3" w:rsidP="000C1C3F">
            <w:pPr>
              <w:spacing w:after="0" w:line="240" w:lineRule="auto"/>
              <w:rPr>
                <w:rFonts w:ascii="Arial" w:eastAsia="Times New Roman" w:hAnsi="Arial" w:cs="Arial"/>
                <w:color w:val="000000"/>
                <w:lang w:eastAsia="en-GB"/>
              </w:rPr>
            </w:pPr>
            <w:r w:rsidRPr="009A66C5">
              <w:rPr>
                <w:rFonts w:ascii="Arial" w:eastAsia="Times New Roman" w:hAnsi="Arial" w:cs="Arial"/>
                <w:color w:val="000000"/>
                <w:lang w:eastAsia="en-GB"/>
              </w:rPr>
              <w:t>263</w:t>
            </w:r>
          </w:p>
        </w:tc>
        <w:tc>
          <w:tcPr>
            <w:tcW w:w="2474" w:type="dxa"/>
            <w:tcBorders>
              <w:top w:val="nil"/>
              <w:left w:val="nil"/>
              <w:bottom w:val="nil"/>
              <w:right w:val="nil"/>
            </w:tcBorders>
            <w:shd w:val="clear" w:color="auto" w:fill="auto"/>
            <w:noWrap/>
            <w:vAlign w:val="bottom"/>
            <w:hideMark/>
          </w:tcPr>
          <w:p w:rsidR="004D79C3" w:rsidRPr="009A66C5" w:rsidRDefault="004D79C3" w:rsidP="000C1C3F">
            <w:pPr>
              <w:spacing w:after="0" w:line="240" w:lineRule="auto"/>
              <w:rPr>
                <w:rFonts w:ascii="Arial" w:eastAsia="Times New Roman" w:hAnsi="Arial" w:cs="Arial"/>
                <w:color w:val="000000"/>
                <w:lang w:eastAsia="en-GB"/>
              </w:rPr>
            </w:pPr>
            <w:r w:rsidRPr="009A66C5">
              <w:rPr>
                <w:rFonts w:ascii="Arial" w:eastAsia="Times New Roman" w:hAnsi="Arial" w:cs="Arial"/>
                <w:color w:val="000000"/>
                <w:lang w:eastAsia="en-GB"/>
              </w:rPr>
              <w:t>85</w:t>
            </w:r>
          </w:p>
        </w:tc>
      </w:tr>
      <w:tr w:rsidR="004D79C3" w:rsidRPr="009A66C5" w:rsidTr="000C1C3F">
        <w:trPr>
          <w:trHeight w:val="300"/>
        </w:trPr>
        <w:tc>
          <w:tcPr>
            <w:tcW w:w="2410" w:type="dxa"/>
            <w:tcBorders>
              <w:top w:val="nil"/>
              <w:left w:val="nil"/>
              <w:bottom w:val="nil"/>
              <w:right w:val="nil"/>
            </w:tcBorders>
            <w:shd w:val="clear" w:color="auto" w:fill="auto"/>
            <w:noWrap/>
            <w:vAlign w:val="bottom"/>
            <w:hideMark/>
          </w:tcPr>
          <w:p w:rsidR="004D79C3" w:rsidRPr="009A66C5" w:rsidRDefault="004D79C3" w:rsidP="000C1C3F">
            <w:pPr>
              <w:spacing w:after="0" w:line="240" w:lineRule="auto"/>
              <w:rPr>
                <w:rFonts w:ascii="Arial" w:eastAsia="Times New Roman" w:hAnsi="Arial" w:cs="Arial"/>
                <w:color w:val="000000"/>
                <w:lang w:eastAsia="en-GB"/>
              </w:rPr>
            </w:pPr>
            <w:r w:rsidRPr="009A66C5">
              <w:rPr>
                <w:rFonts w:ascii="Arial" w:eastAsia="Times New Roman" w:hAnsi="Arial" w:cs="Arial"/>
                <w:color w:val="000000"/>
                <w:lang w:eastAsia="en-GB"/>
              </w:rPr>
              <w:t>Protein (g)</w:t>
            </w:r>
          </w:p>
        </w:tc>
        <w:tc>
          <w:tcPr>
            <w:tcW w:w="693" w:type="dxa"/>
            <w:tcBorders>
              <w:top w:val="nil"/>
              <w:left w:val="nil"/>
              <w:bottom w:val="nil"/>
              <w:right w:val="nil"/>
            </w:tcBorders>
            <w:shd w:val="clear" w:color="auto" w:fill="auto"/>
            <w:noWrap/>
            <w:vAlign w:val="bottom"/>
            <w:hideMark/>
          </w:tcPr>
          <w:p w:rsidR="004D79C3" w:rsidRPr="009A66C5" w:rsidRDefault="004D79C3" w:rsidP="000C1C3F">
            <w:pPr>
              <w:spacing w:after="0" w:line="240" w:lineRule="auto"/>
              <w:rPr>
                <w:rFonts w:ascii="Arial" w:eastAsia="Times New Roman" w:hAnsi="Arial" w:cs="Arial"/>
                <w:color w:val="000000"/>
                <w:lang w:eastAsia="en-GB"/>
              </w:rPr>
            </w:pPr>
            <w:r w:rsidRPr="009A66C5">
              <w:rPr>
                <w:rFonts w:ascii="Arial" w:eastAsia="Times New Roman" w:hAnsi="Arial" w:cs="Arial"/>
                <w:color w:val="000000"/>
                <w:lang w:eastAsia="en-GB"/>
              </w:rPr>
              <w:t>18.5</w:t>
            </w:r>
          </w:p>
        </w:tc>
        <w:tc>
          <w:tcPr>
            <w:tcW w:w="1072" w:type="dxa"/>
            <w:tcBorders>
              <w:top w:val="nil"/>
              <w:left w:val="nil"/>
              <w:bottom w:val="nil"/>
              <w:right w:val="nil"/>
            </w:tcBorders>
            <w:shd w:val="clear" w:color="auto" w:fill="auto"/>
            <w:noWrap/>
            <w:vAlign w:val="bottom"/>
            <w:hideMark/>
          </w:tcPr>
          <w:p w:rsidR="004D79C3" w:rsidRPr="009A66C5" w:rsidRDefault="004D79C3" w:rsidP="000C1C3F">
            <w:pPr>
              <w:spacing w:after="0" w:line="240" w:lineRule="auto"/>
              <w:rPr>
                <w:rFonts w:ascii="Arial" w:eastAsia="Times New Roman" w:hAnsi="Arial" w:cs="Arial"/>
                <w:color w:val="000000"/>
                <w:lang w:eastAsia="en-GB"/>
              </w:rPr>
            </w:pPr>
            <w:r w:rsidRPr="009A66C5">
              <w:rPr>
                <w:rFonts w:ascii="Arial" w:eastAsia="Times New Roman" w:hAnsi="Arial" w:cs="Arial"/>
                <w:color w:val="000000"/>
                <w:lang w:eastAsia="en-GB"/>
              </w:rPr>
              <w:t>11</w:t>
            </w:r>
          </w:p>
        </w:tc>
        <w:tc>
          <w:tcPr>
            <w:tcW w:w="976" w:type="dxa"/>
            <w:tcBorders>
              <w:top w:val="nil"/>
              <w:left w:val="nil"/>
              <w:bottom w:val="nil"/>
              <w:right w:val="nil"/>
            </w:tcBorders>
            <w:shd w:val="clear" w:color="auto" w:fill="auto"/>
            <w:noWrap/>
            <w:vAlign w:val="bottom"/>
            <w:hideMark/>
          </w:tcPr>
          <w:p w:rsidR="004D79C3" w:rsidRPr="009A66C5" w:rsidRDefault="004D79C3" w:rsidP="000C1C3F">
            <w:pPr>
              <w:spacing w:after="0" w:line="240" w:lineRule="auto"/>
              <w:rPr>
                <w:rFonts w:ascii="Arial" w:eastAsia="Times New Roman" w:hAnsi="Arial" w:cs="Arial"/>
                <w:color w:val="000000"/>
                <w:lang w:eastAsia="en-GB"/>
              </w:rPr>
            </w:pPr>
            <w:r w:rsidRPr="009A66C5">
              <w:rPr>
                <w:rFonts w:ascii="Arial" w:eastAsia="Times New Roman" w:hAnsi="Arial" w:cs="Arial"/>
                <w:color w:val="000000"/>
                <w:lang w:eastAsia="en-GB"/>
              </w:rPr>
              <w:t>12.3</w:t>
            </w:r>
          </w:p>
        </w:tc>
        <w:tc>
          <w:tcPr>
            <w:tcW w:w="976" w:type="dxa"/>
            <w:tcBorders>
              <w:top w:val="nil"/>
              <w:left w:val="nil"/>
              <w:bottom w:val="nil"/>
              <w:right w:val="nil"/>
            </w:tcBorders>
            <w:shd w:val="clear" w:color="auto" w:fill="auto"/>
            <w:noWrap/>
            <w:vAlign w:val="bottom"/>
            <w:hideMark/>
          </w:tcPr>
          <w:p w:rsidR="004D79C3" w:rsidRPr="009A66C5" w:rsidRDefault="004D79C3" w:rsidP="000C1C3F">
            <w:pPr>
              <w:spacing w:after="0" w:line="240" w:lineRule="auto"/>
              <w:rPr>
                <w:rFonts w:ascii="Arial" w:eastAsia="Times New Roman" w:hAnsi="Arial" w:cs="Arial"/>
                <w:color w:val="000000"/>
                <w:lang w:eastAsia="en-GB"/>
              </w:rPr>
            </w:pPr>
            <w:r w:rsidRPr="009A66C5">
              <w:rPr>
                <w:rFonts w:ascii="Arial" w:eastAsia="Times New Roman" w:hAnsi="Arial" w:cs="Arial"/>
                <w:color w:val="000000"/>
                <w:lang w:eastAsia="en-GB"/>
              </w:rPr>
              <w:t>13.5</w:t>
            </w:r>
          </w:p>
        </w:tc>
        <w:tc>
          <w:tcPr>
            <w:tcW w:w="2474" w:type="dxa"/>
            <w:tcBorders>
              <w:top w:val="nil"/>
              <w:left w:val="nil"/>
              <w:bottom w:val="nil"/>
              <w:right w:val="nil"/>
            </w:tcBorders>
            <w:shd w:val="clear" w:color="auto" w:fill="auto"/>
            <w:noWrap/>
            <w:vAlign w:val="bottom"/>
            <w:hideMark/>
          </w:tcPr>
          <w:p w:rsidR="004D79C3" w:rsidRPr="009A66C5" w:rsidRDefault="004D79C3" w:rsidP="000C1C3F">
            <w:pPr>
              <w:spacing w:after="0" w:line="240" w:lineRule="auto"/>
              <w:rPr>
                <w:rFonts w:ascii="Arial" w:eastAsia="Times New Roman" w:hAnsi="Arial" w:cs="Arial"/>
                <w:color w:val="000000"/>
                <w:lang w:eastAsia="en-GB"/>
              </w:rPr>
            </w:pPr>
            <w:r w:rsidRPr="009A66C5">
              <w:rPr>
                <w:rFonts w:ascii="Arial" w:eastAsia="Times New Roman" w:hAnsi="Arial" w:cs="Arial"/>
                <w:color w:val="000000"/>
                <w:lang w:eastAsia="en-GB"/>
              </w:rPr>
              <w:t>11</w:t>
            </w:r>
          </w:p>
        </w:tc>
      </w:tr>
      <w:tr w:rsidR="004D79C3" w:rsidRPr="009A66C5" w:rsidTr="000C1C3F">
        <w:trPr>
          <w:trHeight w:val="300"/>
        </w:trPr>
        <w:tc>
          <w:tcPr>
            <w:tcW w:w="2410" w:type="dxa"/>
            <w:tcBorders>
              <w:top w:val="nil"/>
              <w:left w:val="nil"/>
              <w:bottom w:val="nil"/>
              <w:right w:val="nil"/>
            </w:tcBorders>
            <w:shd w:val="clear" w:color="auto" w:fill="auto"/>
            <w:noWrap/>
            <w:vAlign w:val="bottom"/>
            <w:hideMark/>
          </w:tcPr>
          <w:p w:rsidR="004D79C3" w:rsidRPr="009A66C5" w:rsidRDefault="004D79C3" w:rsidP="000C1C3F">
            <w:pPr>
              <w:spacing w:after="0" w:line="240" w:lineRule="auto"/>
              <w:rPr>
                <w:rFonts w:ascii="Arial" w:eastAsia="Times New Roman" w:hAnsi="Arial" w:cs="Arial"/>
                <w:color w:val="000000"/>
                <w:lang w:eastAsia="en-GB"/>
              </w:rPr>
            </w:pPr>
            <w:r w:rsidRPr="009A66C5">
              <w:rPr>
                <w:rFonts w:ascii="Arial" w:eastAsia="Times New Roman" w:hAnsi="Arial" w:cs="Arial"/>
                <w:color w:val="000000"/>
                <w:lang w:eastAsia="en-GB"/>
              </w:rPr>
              <w:t>Fat (g)</w:t>
            </w:r>
          </w:p>
        </w:tc>
        <w:tc>
          <w:tcPr>
            <w:tcW w:w="693" w:type="dxa"/>
            <w:tcBorders>
              <w:top w:val="nil"/>
              <w:left w:val="nil"/>
              <w:bottom w:val="nil"/>
              <w:right w:val="nil"/>
            </w:tcBorders>
            <w:shd w:val="clear" w:color="auto" w:fill="auto"/>
            <w:noWrap/>
            <w:vAlign w:val="bottom"/>
            <w:hideMark/>
          </w:tcPr>
          <w:p w:rsidR="004D79C3" w:rsidRPr="009A66C5" w:rsidRDefault="004D79C3" w:rsidP="000C1C3F">
            <w:pPr>
              <w:spacing w:after="0" w:line="240" w:lineRule="auto"/>
              <w:rPr>
                <w:rFonts w:ascii="Arial" w:eastAsia="Times New Roman" w:hAnsi="Arial" w:cs="Arial"/>
                <w:color w:val="000000"/>
                <w:lang w:eastAsia="en-GB"/>
              </w:rPr>
            </w:pPr>
            <w:r w:rsidRPr="009A66C5">
              <w:rPr>
                <w:rFonts w:ascii="Arial" w:eastAsia="Times New Roman" w:hAnsi="Arial" w:cs="Arial"/>
                <w:color w:val="000000"/>
                <w:lang w:eastAsia="en-GB"/>
              </w:rPr>
              <w:t>7.9</w:t>
            </w:r>
          </w:p>
        </w:tc>
        <w:tc>
          <w:tcPr>
            <w:tcW w:w="1072" w:type="dxa"/>
            <w:tcBorders>
              <w:top w:val="nil"/>
              <w:left w:val="nil"/>
              <w:bottom w:val="nil"/>
              <w:right w:val="nil"/>
            </w:tcBorders>
            <w:shd w:val="clear" w:color="auto" w:fill="auto"/>
            <w:noWrap/>
            <w:vAlign w:val="bottom"/>
            <w:hideMark/>
          </w:tcPr>
          <w:p w:rsidR="004D79C3" w:rsidRPr="009A66C5" w:rsidRDefault="004D79C3" w:rsidP="000C1C3F">
            <w:pPr>
              <w:spacing w:after="0" w:line="240" w:lineRule="auto"/>
              <w:rPr>
                <w:rFonts w:ascii="Arial" w:eastAsia="Times New Roman" w:hAnsi="Arial" w:cs="Arial"/>
                <w:color w:val="000000"/>
                <w:lang w:eastAsia="en-GB"/>
              </w:rPr>
            </w:pPr>
            <w:r w:rsidRPr="009A66C5">
              <w:rPr>
                <w:rFonts w:ascii="Arial" w:eastAsia="Times New Roman" w:hAnsi="Arial" w:cs="Arial"/>
                <w:color w:val="000000"/>
                <w:lang w:eastAsia="en-GB"/>
              </w:rPr>
              <w:t>31</w:t>
            </w:r>
          </w:p>
        </w:tc>
        <w:tc>
          <w:tcPr>
            <w:tcW w:w="976" w:type="dxa"/>
            <w:tcBorders>
              <w:top w:val="nil"/>
              <w:left w:val="nil"/>
              <w:bottom w:val="nil"/>
              <w:right w:val="nil"/>
            </w:tcBorders>
            <w:shd w:val="clear" w:color="auto" w:fill="auto"/>
            <w:noWrap/>
            <w:vAlign w:val="bottom"/>
            <w:hideMark/>
          </w:tcPr>
          <w:p w:rsidR="004D79C3" w:rsidRPr="009A66C5" w:rsidRDefault="004D79C3" w:rsidP="000C1C3F">
            <w:pPr>
              <w:spacing w:after="0" w:line="240" w:lineRule="auto"/>
              <w:rPr>
                <w:rFonts w:ascii="Arial" w:eastAsia="Times New Roman" w:hAnsi="Arial" w:cs="Arial"/>
                <w:color w:val="000000"/>
                <w:lang w:eastAsia="en-GB"/>
              </w:rPr>
            </w:pPr>
            <w:r w:rsidRPr="009A66C5">
              <w:rPr>
                <w:rFonts w:ascii="Arial" w:eastAsia="Times New Roman" w:hAnsi="Arial" w:cs="Arial"/>
                <w:color w:val="000000"/>
                <w:lang w:eastAsia="en-GB"/>
              </w:rPr>
              <w:t>7.7</w:t>
            </w:r>
          </w:p>
        </w:tc>
        <w:tc>
          <w:tcPr>
            <w:tcW w:w="976" w:type="dxa"/>
            <w:tcBorders>
              <w:top w:val="nil"/>
              <w:left w:val="nil"/>
              <w:bottom w:val="nil"/>
              <w:right w:val="nil"/>
            </w:tcBorders>
            <w:shd w:val="clear" w:color="auto" w:fill="auto"/>
            <w:noWrap/>
            <w:vAlign w:val="bottom"/>
            <w:hideMark/>
          </w:tcPr>
          <w:p w:rsidR="004D79C3" w:rsidRPr="009A66C5" w:rsidRDefault="004D79C3" w:rsidP="000C1C3F">
            <w:pPr>
              <w:spacing w:after="0" w:line="240" w:lineRule="auto"/>
              <w:rPr>
                <w:rFonts w:ascii="Arial" w:eastAsia="Times New Roman" w:hAnsi="Arial" w:cs="Arial"/>
                <w:color w:val="000000"/>
                <w:lang w:eastAsia="en-GB"/>
              </w:rPr>
            </w:pPr>
            <w:r w:rsidRPr="009A66C5">
              <w:rPr>
                <w:rFonts w:ascii="Arial" w:eastAsia="Times New Roman" w:hAnsi="Arial" w:cs="Arial"/>
                <w:color w:val="000000"/>
                <w:lang w:eastAsia="en-GB"/>
              </w:rPr>
              <w:t>22.8</w:t>
            </w:r>
          </w:p>
        </w:tc>
        <w:tc>
          <w:tcPr>
            <w:tcW w:w="2474" w:type="dxa"/>
            <w:tcBorders>
              <w:top w:val="nil"/>
              <w:left w:val="nil"/>
              <w:bottom w:val="nil"/>
              <w:right w:val="nil"/>
            </w:tcBorders>
            <w:shd w:val="clear" w:color="auto" w:fill="auto"/>
            <w:noWrap/>
            <w:vAlign w:val="bottom"/>
            <w:hideMark/>
          </w:tcPr>
          <w:p w:rsidR="004D79C3" w:rsidRPr="009A66C5" w:rsidRDefault="004D79C3" w:rsidP="000C1C3F">
            <w:pPr>
              <w:spacing w:after="0" w:line="240" w:lineRule="auto"/>
              <w:rPr>
                <w:rFonts w:ascii="Arial" w:eastAsia="Times New Roman" w:hAnsi="Arial" w:cs="Arial"/>
                <w:color w:val="000000"/>
                <w:lang w:eastAsia="en-GB"/>
              </w:rPr>
            </w:pPr>
            <w:r w:rsidRPr="009A66C5">
              <w:rPr>
                <w:rFonts w:ascii="Arial" w:eastAsia="Times New Roman" w:hAnsi="Arial" w:cs="Arial"/>
                <w:color w:val="000000"/>
                <w:lang w:eastAsia="en-GB"/>
              </w:rPr>
              <w:t>3</w:t>
            </w:r>
          </w:p>
        </w:tc>
      </w:tr>
      <w:tr w:rsidR="004D79C3" w:rsidRPr="009A66C5" w:rsidTr="000C1C3F">
        <w:trPr>
          <w:trHeight w:val="300"/>
        </w:trPr>
        <w:tc>
          <w:tcPr>
            <w:tcW w:w="2410" w:type="dxa"/>
            <w:tcBorders>
              <w:top w:val="nil"/>
              <w:left w:val="nil"/>
              <w:bottom w:val="nil"/>
              <w:right w:val="nil"/>
            </w:tcBorders>
            <w:shd w:val="clear" w:color="auto" w:fill="auto"/>
            <w:noWrap/>
            <w:vAlign w:val="bottom"/>
          </w:tcPr>
          <w:p w:rsidR="004D79C3" w:rsidRPr="009A66C5" w:rsidRDefault="004D79C3" w:rsidP="000C1C3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Fibre (g)</w:t>
            </w:r>
          </w:p>
        </w:tc>
        <w:tc>
          <w:tcPr>
            <w:tcW w:w="693" w:type="dxa"/>
            <w:tcBorders>
              <w:top w:val="nil"/>
              <w:left w:val="nil"/>
              <w:bottom w:val="nil"/>
              <w:right w:val="nil"/>
            </w:tcBorders>
            <w:shd w:val="clear" w:color="auto" w:fill="auto"/>
            <w:noWrap/>
            <w:vAlign w:val="bottom"/>
          </w:tcPr>
          <w:p w:rsidR="004D79C3" w:rsidRPr="009A66C5" w:rsidRDefault="004D79C3" w:rsidP="000C1C3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0</w:t>
            </w:r>
          </w:p>
        </w:tc>
        <w:tc>
          <w:tcPr>
            <w:tcW w:w="1072" w:type="dxa"/>
            <w:tcBorders>
              <w:top w:val="nil"/>
              <w:left w:val="nil"/>
              <w:bottom w:val="nil"/>
              <w:right w:val="nil"/>
            </w:tcBorders>
            <w:shd w:val="clear" w:color="auto" w:fill="auto"/>
            <w:noWrap/>
            <w:vAlign w:val="bottom"/>
          </w:tcPr>
          <w:p w:rsidR="004D79C3" w:rsidRPr="009A66C5" w:rsidRDefault="004D79C3" w:rsidP="000C1C3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0</w:t>
            </w:r>
          </w:p>
        </w:tc>
        <w:tc>
          <w:tcPr>
            <w:tcW w:w="976" w:type="dxa"/>
            <w:tcBorders>
              <w:top w:val="nil"/>
              <w:left w:val="nil"/>
              <w:bottom w:val="nil"/>
              <w:right w:val="nil"/>
            </w:tcBorders>
            <w:shd w:val="clear" w:color="auto" w:fill="auto"/>
            <w:noWrap/>
            <w:vAlign w:val="bottom"/>
          </w:tcPr>
          <w:p w:rsidR="004D79C3" w:rsidRPr="009A66C5" w:rsidRDefault="004D79C3" w:rsidP="000C1C3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0</w:t>
            </w:r>
          </w:p>
        </w:tc>
        <w:tc>
          <w:tcPr>
            <w:tcW w:w="976" w:type="dxa"/>
            <w:tcBorders>
              <w:top w:val="nil"/>
              <w:left w:val="nil"/>
              <w:bottom w:val="nil"/>
              <w:right w:val="nil"/>
            </w:tcBorders>
            <w:shd w:val="clear" w:color="auto" w:fill="auto"/>
            <w:noWrap/>
            <w:vAlign w:val="bottom"/>
          </w:tcPr>
          <w:p w:rsidR="004D79C3" w:rsidRPr="009A66C5" w:rsidRDefault="004D79C3" w:rsidP="000C1C3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0</w:t>
            </w:r>
          </w:p>
        </w:tc>
        <w:tc>
          <w:tcPr>
            <w:tcW w:w="2474" w:type="dxa"/>
            <w:tcBorders>
              <w:top w:val="nil"/>
              <w:left w:val="nil"/>
              <w:bottom w:val="nil"/>
              <w:right w:val="nil"/>
            </w:tcBorders>
            <w:shd w:val="clear" w:color="auto" w:fill="auto"/>
            <w:noWrap/>
            <w:vAlign w:val="bottom"/>
          </w:tcPr>
          <w:p w:rsidR="004D79C3" w:rsidRPr="009A66C5" w:rsidRDefault="004D79C3" w:rsidP="000C1C3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6</w:t>
            </w:r>
          </w:p>
        </w:tc>
      </w:tr>
      <w:tr w:rsidR="004D79C3" w:rsidRPr="009A66C5" w:rsidTr="000C1C3F">
        <w:trPr>
          <w:trHeight w:val="300"/>
        </w:trPr>
        <w:tc>
          <w:tcPr>
            <w:tcW w:w="2410" w:type="dxa"/>
            <w:tcBorders>
              <w:top w:val="nil"/>
              <w:left w:val="nil"/>
              <w:bottom w:val="nil"/>
              <w:right w:val="nil"/>
            </w:tcBorders>
            <w:shd w:val="clear" w:color="auto" w:fill="auto"/>
            <w:noWrap/>
            <w:vAlign w:val="bottom"/>
          </w:tcPr>
          <w:p w:rsidR="004D79C3" w:rsidRPr="009A66C5" w:rsidRDefault="004D79C3" w:rsidP="000C1C3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Zinc (mg)</w:t>
            </w:r>
          </w:p>
        </w:tc>
        <w:tc>
          <w:tcPr>
            <w:tcW w:w="693" w:type="dxa"/>
            <w:tcBorders>
              <w:top w:val="nil"/>
              <w:left w:val="nil"/>
              <w:bottom w:val="nil"/>
              <w:right w:val="nil"/>
            </w:tcBorders>
            <w:shd w:val="clear" w:color="auto" w:fill="auto"/>
            <w:noWrap/>
            <w:vAlign w:val="bottom"/>
          </w:tcPr>
          <w:p w:rsidR="004D79C3" w:rsidRPr="009A66C5" w:rsidRDefault="004D79C3" w:rsidP="000C1C3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4.1</w:t>
            </w:r>
          </w:p>
        </w:tc>
        <w:tc>
          <w:tcPr>
            <w:tcW w:w="1072" w:type="dxa"/>
            <w:tcBorders>
              <w:top w:val="nil"/>
              <w:left w:val="nil"/>
              <w:bottom w:val="nil"/>
              <w:right w:val="nil"/>
            </w:tcBorders>
            <w:shd w:val="clear" w:color="auto" w:fill="auto"/>
            <w:noWrap/>
            <w:vAlign w:val="bottom"/>
          </w:tcPr>
          <w:p w:rsidR="004D79C3" w:rsidRPr="009A66C5" w:rsidRDefault="004D79C3" w:rsidP="000C1C3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0.7</w:t>
            </w:r>
          </w:p>
        </w:tc>
        <w:tc>
          <w:tcPr>
            <w:tcW w:w="976" w:type="dxa"/>
            <w:tcBorders>
              <w:top w:val="nil"/>
              <w:left w:val="nil"/>
              <w:bottom w:val="nil"/>
              <w:right w:val="nil"/>
            </w:tcBorders>
            <w:shd w:val="clear" w:color="auto" w:fill="auto"/>
            <w:noWrap/>
            <w:vAlign w:val="bottom"/>
          </w:tcPr>
          <w:p w:rsidR="004D79C3" w:rsidRPr="009A66C5" w:rsidRDefault="004D79C3" w:rsidP="000C1C3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2.1</w:t>
            </w:r>
          </w:p>
        </w:tc>
        <w:tc>
          <w:tcPr>
            <w:tcW w:w="976" w:type="dxa"/>
            <w:tcBorders>
              <w:top w:val="nil"/>
              <w:left w:val="nil"/>
              <w:bottom w:val="nil"/>
              <w:right w:val="nil"/>
            </w:tcBorders>
            <w:shd w:val="clear" w:color="auto" w:fill="auto"/>
            <w:noWrap/>
            <w:vAlign w:val="bottom"/>
          </w:tcPr>
          <w:p w:rsidR="004D79C3" w:rsidRPr="009A66C5" w:rsidRDefault="004D79C3" w:rsidP="000C1C3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3.3</w:t>
            </w:r>
          </w:p>
        </w:tc>
        <w:tc>
          <w:tcPr>
            <w:tcW w:w="2474" w:type="dxa"/>
            <w:tcBorders>
              <w:top w:val="nil"/>
              <w:left w:val="nil"/>
              <w:bottom w:val="nil"/>
              <w:right w:val="nil"/>
            </w:tcBorders>
            <w:shd w:val="clear" w:color="auto" w:fill="auto"/>
            <w:noWrap/>
            <w:vAlign w:val="bottom"/>
          </w:tcPr>
          <w:p w:rsidR="004D79C3" w:rsidRPr="009A66C5" w:rsidRDefault="004D79C3" w:rsidP="000C1C3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9</w:t>
            </w:r>
          </w:p>
        </w:tc>
      </w:tr>
      <w:tr w:rsidR="004D79C3" w:rsidRPr="009A66C5" w:rsidTr="000C1C3F">
        <w:trPr>
          <w:trHeight w:val="300"/>
        </w:trPr>
        <w:tc>
          <w:tcPr>
            <w:tcW w:w="2410" w:type="dxa"/>
            <w:tcBorders>
              <w:top w:val="nil"/>
              <w:left w:val="nil"/>
              <w:bottom w:val="nil"/>
              <w:right w:val="nil"/>
            </w:tcBorders>
            <w:shd w:val="clear" w:color="auto" w:fill="auto"/>
            <w:noWrap/>
            <w:vAlign w:val="bottom"/>
          </w:tcPr>
          <w:p w:rsidR="004D79C3" w:rsidRPr="009A66C5" w:rsidRDefault="004D79C3" w:rsidP="000C1C3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Iron (mg)</w:t>
            </w:r>
          </w:p>
        </w:tc>
        <w:tc>
          <w:tcPr>
            <w:tcW w:w="693" w:type="dxa"/>
            <w:tcBorders>
              <w:top w:val="nil"/>
              <w:left w:val="nil"/>
              <w:bottom w:val="nil"/>
              <w:right w:val="nil"/>
            </w:tcBorders>
            <w:shd w:val="clear" w:color="auto" w:fill="auto"/>
            <w:noWrap/>
            <w:vAlign w:val="bottom"/>
          </w:tcPr>
          <w:p w:rsidR="004D79C3" w:rsidRPr="009A66C5" w:rsidRDefault="004D79C3" w:rsidP="000C1C3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2.7</w:t>
            </w:r>
          </w:p>
        </w:tc>
        <w:tc>
          <w:tcPr>
            <w:tcW w:w="1072" w:type="dxa"/>
            <w:tcBorders>
              <w:top w:val="nil"/>
              <w:left w:val="nil"/>
              <w:bottom w:val="nil"/>
              <w:right w:val="nil"/>
            </w:tcBorders>
            <w:shd w:val="clear" w:color="auto" w:fill="auto"/>
            <w:noWrap/>
            <w:vAlign w:val="bottom"/>
          </w:tcPr>
          <w:p w:rsidR="004D79C3" w:rsidRPr="009A66C5" w:rsidRDefault="004D79C3" w:rsidP="000C1C3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0.7</w:t>
            </w:r>
          </w:p>
        </w:tc>
        <w:tc>
          <w:tcPr>
            <w:tcW w:w="976" w:type="dxa"/>
            <w:tcBorders>
              <w:top w:val="nil"/>
              <w:left w:val="nil"/>
              <w:bottom w:val="nil"/>
              <w:right w:val="nil"/>
            </w:tcBorders>
            <w:shd w:val="clear" w:color="auto" w:fill="auto"/>
            <w:noWrap/>
            <w:vAlign w:val="bottom"/>
          </w:tcPr>
          <w:p w:rsidR="004D79C3" w:rsidRPr="009A66C5" w:rsidRDefault="004D79C3" w:rsidP="000C1C3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0.5</w:t>
            </w:r>
          </w:p>
        </w:tc>
        <w:tc>
          <w:tcPr>
            <w:tcW w:w="976" w:type="dxa"/>
            <w:tcBorders>
              <w:top w:val="nil"/>
              <w:left w:val="nil"/>
              <w:bottom w:val="nil"/>
              <w:right w:val="nil"/>
            </w:tcBorders>
            <w:shd w:val="clear" w:color="auto" w:fill="auto"/>
            <w:noWrap/>
            <w:vAlign w:val="bottom"/>
          </w:tcPr>
          <w:p w:rsidR="004D79C3" w:rsidRPr="009A66C5" w:rsidRDefault="004D79C3" w:rsidP="000C1C3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1.4</w:t>
            </w:r>
          </w:p>
        </w:tc>
        <w:tc>
          <w:tcPr>
            <w:tcW w:w="2474" w:type="dxa"/>
            <w:tcBorders>
              <w:top w:val="nil"/>
              <w:left w:val="nil"/>
              <w:bottom w:val="nil"/>
              <w:right w:val="nil"/>
            </w:tcBorders>
            <w:shd w:val="clear" w:color="auto" w:fill="auto"/>
            <w:noWrap/>
            <w:vAlign w:val="bottom"/>
          </w:tcPr>
          <w:p w:rsidR="004D79C3" w:rsidRPr="009A66C5" w:rsidRDefault="004D79C3" w:rsidP="000C1C3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0.5</w:t>
            </w:r>
          </w:p>
        </w:tc>
      </w:tr>
      <w:tr w:rsidR="004D79C3" w:rsidRPr="009A66C5" w:rsidTr="000C1C3F">
        <w:trPr>
          <w:trHeight w:val="300"/>
        </w:trPr>
        <w:tc>
          <w:tcPr>
            <w:tcW w:w="2410" w:type="dxa"/>
            <w:tcBorders>
              <w:top w:val="nil"/>
              <w:left w:val="nil"/>
              <w:bottom w:val="nil"/>
              <w:right w:val="nil"/>
            </w:tcBorders>
            <w:shd w:val="clear" w:color="auto" w:fill="auto"/>
            <w:noWrap/>
            <w:vAlign w:val="bottom"/>
          </w:tcPr>
          <w:p w:rsidR="004D79C3" w:rsidRPr="00A32765" w:rsidRDefault="004D79C3" w:rsidP="000C1C3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Vitamin B</w:t>
            </w:r>
            <w:r>
              <w:rPr>
                <w:rFonts w:ascii="Arial" w:eastAsia="Times New Roman" w:hAnsi="Arial" w:cs="Arial"/>
                <w:color w:val="000000"/>
                <w:vertAlign w:val="subscript"/>
                <w:lang w:eastAsia="en-GB"/>
              </w:rPr>
              <w:t>12</w:t>
            </w:r>
            <w:r>
              <w:rPr>
                <w:rFonts w:ascii="Arial" w:eastAsia="Times New Roman" w:hAnsi="Arial" w:cs="Arial"/>
                <w:color w:val="000000"/>
                <w:lang w:eastAsia="en-GB"/>
              </w:rPr>
              <w:t xml:space="preserve"> (</w:t>
            </w:r>
            <w:r>
              <w:rPr>
                <w:rFonts w:ascii="Arial" w:eastAsia="Times New Roman" w:hAnsi="Arial" w:cs="Arial"/>
                <w:color w:val="000000"/>
                <w:lang w:eastAsia="en-GB"/>
              </w:rPr>
              <w:sym w:font="Symbol" w:char="F06D"/>
            </w:r>
            <w:r>
              <w:rPr>
                <w:rFonts w:ascii="Arial" w:eastAsia="Times New Roman" w:hAnsi="Arial" w:cs="Arial"/>
                <w:color w:val="000000"/>
                <w:lang w:eastAsia="en-GB"/>
              </w:rPr>
              <w:t>g)</w:t>
            </w:r>
          </w:p>
        </w:tc>
        <w:tc>
          <w:tcPr>
            <w:tcW w:w="693" w:type="dxa"/>
            <w:tcBorders>
              <w:top w:val="nil"/>
              <w:left w:val="nil"/>
              <w:bottom w:val="nil"/>
              <w:right w:val="nil"/>
            </w:tcBorders>
            <w:shd w:val="clear" w:color="auto" w:fill="auto"/>
            <w:noWrap/>
            <w:vAlign w:val="bottom"/>
          </w:tcPr>
          <w:p w:rsidR="004D79C3" w:rsidRPr="009A66C5" w:rsidRDefault="004D79C3" w:rsidP="000C1C3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w:t>
            </w:r>
          </w:p>
        </w:tc>
        <w:tc>
          <w:tcPr>
            <w:tcW w:w="1072" w:type="dxa"/>
            <w:tcBorders>
              <w:top w:val="nil"/>
              <w:left w:val="nil"/>
              <w:bottom w:val="nil"/>
              <w:right w:val="nil"/>
            </w:tcBorders>
            <w:shd w:val="clear" w:color="auto" w:fill="auto"/>
            <w:noWrap/>
            <w:vAlign w:val="bottom"/>
          </w:tcPr>
          <w:p w:rsidR="004D79C3" w:rsidRPr="009A66C5" w:rsidRDefault="004D79C3" w:rsidP="000C1C3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w:t>
            </w:r>
          </w:p>
        </w:tc>
        <w:tc>
          <w:tcPr>
            <w:tcW w:w="976" w:type="dxa"/>
            <w:tcBorders>
              <w:top w:val="nil"/>
              <w:left w:val="nil"/>
              <w:bottom w:val="nil"/>
              <w:right w:val="nil"/>
            </w:tcBorders>
            <w:shd w:val="clear" w:color="auto" w:fill="auto"/>
            <w:noWrap/>
            <w:vAlign w:val="bottom"/>
          </w:tcPr>
          <w:p w:rsidR="004D79C3" w:rsidRPr="009A66C5" w:rsidRDefault="004D79C3" w:rsidP="000C1C3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Trace</w:t>
            </w:r>
          </w:p>
        </w:tc>
        <w:tc>
          <w:tcPr>
            <w:tcW w:w="976" w:type="dxa"/>
            <w:tcBorders>
              <w:top w:val="nil"/>
              <w:left w:val="nil"/>
              <w:bottom w:val="nil"/>
              <w:right w:val="nil"/>
            </w:tcBorders>
            <w:shd w:val="clear" w:color="auto" w:fill="auto"/>
            <w:noWrap/>
            <w:vAlign w:val="bottom"/>
          </w:tcPr>
          <w:p w:rsidR="004D79C3" w:rsidRPr="009A66C5" w:rsidRDefault="004D79C3" w:rsidP="000C1C3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w:t>
            </w:r>
          </w:p>
        </w:tc>
        <w:tc>
          <w:tcPr>
            <w:tcW w:w="2474" w:type="dxa"/>
            <w:tcBorders>
              <w:top w:val="nil"/>
              <w:left w:val="nil"/>
              <w:bottom w:val="nil"/>
              <w:right w:val="nil"/>
            </w:tcBorders>
            <w:shd w:val="clear" w:color="auto" w:fill="auto"/>
            <w:noWrap/>
            <w:vAlign w:val="bottom"/>
          </w:tcPr>
          <w:p w:rsidR="004D79C3" w:rsidRPr="009A66C5" w:rsidRDefault="004D79C3" w:rsidP="000C1C3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0</w:t>
            </w:r>
          </w:p>
        </w:tc>
      </w:tr>
      <w:tr w:rsidR="004D79C3" w:rsidRPr="009A66C5" w:rsidTr="000C1C3F">
        <w:trPr>
          <w:trHeight w:val="300"/>
        </w:trPr>
        <w:tc>
          <w:tcPr>
            <w:tcW w:w="2410" w:type="dxa"/>
            <w:tcBorders>
              <w:top w:val="nil"/>
              <w:left w:val="nil"/>
              <w:bottom w:val="nil"/>
              <w:right w:val="nil"/>
            </w:tcBorders>
            <w:shd w:val="clear" w:color="auto" w:fill="auto"/>
            <w:noWrap/>
            <w:vAlign w:val="bottom"/>
          </w:tcPr>
          <w:p w:rsidR="004D79C3" w:rsidRPr="00AB5ADC" w:rsidRDefault="004D79C3" w:rsidP="000C1C3F">
            <w:pPr>
              <w:spacing w:after="0" w:line="240" w:lineRule="auto"/>
              <w:rPr>
                <w:rFonts w:ascii="Arial" w:eastAsia="Times New Roman" w:hAnsi="Arial" w:cs="Arial"/>
                <w:color w:val="000000"/>
                <w:lang w:eastAsia="en-GB"/>
              </w:rPr>
            </w:pPr>
          </w:p>
        </w:tc>
        <w:tc>
          <w:tcPr>
            <w:tcW w:w="693" w:type="dxa"/>
            <w:tcBorders>
              <w:top w:val="nil"/>
              <w:left w:val="nil"/>
              <w:bottom w:val="nil"/>
              <w:right w:val="nil"/>
            </w:tcBorders>
            <w:shd w:val="clear" w:color="auto" w:fill="auto"/>
            <w:noWrap/>
            <w:vAlign w:val="bottom"/>
          </w:tcPr>
          <w:p w:rsidR="004D79C3" w:rsidRPr="009A66C5" w:rsidRDefault="004D79C3" w:rsidP="000C1C3F">
            <w:pPr>
              <w:spacing w:after="0" w:line="240" w:lineRule="auto"/>
              <w:rPr>
                <w:rFonts w:ascii="Arial" w:eastAsia="Times New Roman" w:hAnsi="Arial" w:cs="Arial"/>
                <w:color w:val="000000"/>
                <w:lang w:eastAsia="en-GB"/>
              </w:rPr>
            </w:pPr>
          </w:p>
        </w:tc>
        <w:tc>
          <w:tcPr>
            <w:tcW w:w="1072" w:type="dxa"/>
            <w:tcBorders>
              <w:top w:val="nil"/>
              <w:left w:val="nil"/>
              <w:bottom w:val="nil"/>
              <w:right w:val="nil"/>
            </w:tcBorders>
            <w:shd w:val="clear" w:color="auto" w:fill="auto"/>
            <w:noWrap/>
            <w:vAlign w:val="bottom"/>
          </w:tcPr>
          <w:p w:rsidR="004D79C3" w:rsidRPr="009A66C5" w:rsidRDefault="004D79C3" w:rsidP="000C1C3F">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tcPr>
          <w:p w:rsidR="004D79C3" w:rsidRPr="009A66C5" w:rsidRDefault="004D79C3" w:rsidP="000C1C3F">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tcPr>
          <w:p w:rsidR="004D79C3" w:rsidRPr="009A66C5" w:rsidRDefault="004D79C3" w:rsidP="000C1C3F">
            <w:pPr>
              <w:spacing w:after="0" w:line="240" w:lineRule="auto"/>
              <w:rPr>
                <w:rFonts w:ascii="Arial" w:eastAsia="Times New Roman" w:hAnsi="Arial" w:cs="Arial"/>
                <w:color w:val="000000"/>
                <w:lang w:eastAsia="en-GB"/>
              </w:rPr>
            </w:pPr>
          </w:p>
        </w:tc>
        <w:tc>
          <w:tcPr>
            <w:tcW w:w="2474" w:type="dxa"/>
            <w:tcBorders>
              <w:top w:val="nil"/>
              <w:left w:val="nil"/>
              <w:bottom w:val="nil"/>
              <w:right w:val="nil"/>
            </w:tcBorders>
            <w:shd w:val="clear" w:color="auto" w:fill="auto"/>
            <w:noWrap/>
            <w:vAlign w:val="bottom"/>
          </w:tcPr>
          <w:p w:rsidR="004D79C3" w:rsidRPr="009A66C5" w:rsidRDefault="004D79C3" w:rsidP="000C1C3F">
            <w:pPr>
              <w:spacing w:after="0" w:line="240" w:lineRule="auto"/>
              <w:rPr>
                <w:rFonts w:ascii="Arial" w:eastAsia="Times New Roman" w:hAnsi="Arial" w:cs="Arial"/>
                <w:color w:val="000000"/>
                <w:lang w:eastAsia="en-GB"/>
              </w:rPr>
            </w:pPr>
          </w:p>
        </w:tc>
      </w:tr>
    </w:tbl>
    <w:p w:rsidR="004D79C3" w:rsidRPr="004D79C3" w:rsidRDefault="004D79C3" w:rsidP="004D79C3">
      <w:pPr>
        <w:spacing w:line="480" w:lineRule="auto"/>
        <w:rPr>
          <w:rFonts w:ascii="Arial" w:hAnsi="Arial" w:cs="Arial"/>
          <w:b/>
          <w:sz w:val="28"/>
          <w:lang w:val="nl-NL"/>
        </w:rPr>
      </w:pPr>
      <w:r w:rsidRPr="0073113B">
        <w:rPr>
          <w:rFonts w:ascii="Arial" w:hAnsi="Arial" w:cs="Arial"/>
          <w:b/>
          <w:sz w:val="20"/>
        </w:rPr>
        <w:t xml:space="preserve">Table </w:t>
      </w:r>
      <w:r>
        <w:rPr>
          <w:rFonts w:ascii="Arial" w:hAnsi="Arial" w:cs="Arial"/>
          <w:b/>
          <w:sz w:val="20"/>
        </w:rPr>
        <w:t>B2</w:t>
      </w:r>
      <w:r w:rsidRPr="0073113B">
        <w:rPr>
          <w:rFonts w:ascii="Arial" w:hAnsi="Arial" w:cs="Arial"/>
          <w:b/>
          <w:sz w:val="20"/>
        </w:rPr>
        <w:t xml:space="preserve">: Nutritional composition of average meat commodities and Quorn™ mycoprotein products. </w:t>
      </w:r>
      <w:r w:rsidRPr="0073113B">
        <w:rPr>
          <w:rFonts w:ascii="Arial" w:hAnsi="Arial" w:cs="Arial"/>
          <w:sz w:val="20"/>
        </w:rPr>
        <w:t xml:space="preserve">Nutritional composition of meat commodities </w:t>
      </w:r>
      <w:r>
        <w:rPr>
          <w:rFonts w:ascii="Arial" w:hAnsi="Arial" w:cs="Arial"/>
          <w:sz w:val="20"/>
        </w:rPr>
        <w:t xml:space="preserve">and mycoprotein based on published </w:t>
      </w:r>
      <w:r>
        <w:rPr>
          <w:rFonts w:ascii="Arial" w:hAnsi="Arial" w:cs="Arial"/>
          <w:sz w:val="20"/>
        </w:rPr>
        <w:lastRenderedPageBreak/>
        <w:t xml:space="preserve">nutritional assessments </w:t>
      </w:r>
      <w:r w:rsidRPr="0073113B">
        <w:rPr>
          <w:rFonts w:ascii="Arial" w:hAnsi="Arial" w:cs="Arial"/>
          <w:sz w:val="20"/>
        </w:rPr>
        <w:fldChar w:fldCharType="begin" w:fldLock="1"/>
      </w:r>
      <w:r>
        <w:rPr>
          <w:rFonts w:ascii="Arial" w:hAnsi="Arial" w:cs="Arial"/>
          <w:sz w:val="20"/>
        </w:rPr>
        <w:instrText xml:space="preserve">ADDIN CSL_CITATION { "citationItems" : [ { "id" : "ITEM-1", "itemData" : { "author" : [ { "dropping-particle" : "", "family" : "FAO", "given" : "", "non-dropping-particle" : "", "parse-names" : false, "suffix" : "" } ], "container-title" : "FAOstats", "id" : "ITEM-1", "issued" : { "date-parts" : [ [ "2001" ] ] }, "publisher-place" : "Rome", "title" : "Food Balance Sheets Handbook", "type" : "report" }, "uris" : [ "http://www.mendeley.com/documents/?uuid=96bdf252-53e7-4f5a-a0f8-60c57d91481d" ] }, { "id" : "ITEM-2", "itemData" : { "abstract" : "There are growing calls for a paradigm shift in thinking and a 21st century food policy built around the new fundamentals of sustainability, health and security. HM Government have now (Jan 2010) published their strategy for food - Food 2030. This strategy is structured around 6 core issues for the food system which shows Quorn to be well aligned with at least three of these. This offers the opportunity to develop a strategy for growth that embraces these new fundamentals of food policy. This report summarises the drivers within the debate and goes on to recommend the Quorn R and D platforms that are needed in order to align with the core strategic principles of Food 2030. Central to this will be a the need for a deeper understanding of the role that mycoprotein can play in helping to address the public health concerns associated with diet and health and being part of the considerations of sustainability, by developing robust evidence to satisfy the current intuitive belief that Quorn is environmentallly more benign than the meat equivalent. Lifecycle analysis has demonstrated the enormous complexity involved in developing robust evidence, but tantalisingly suggest that quorn mince may be 5-10 times better in its embedded greenhous gas (GHG) content than meat, and that Quorn pieces may contain up to halft the embedded GHG of the poultry equivalent. Further analysis also suggests comparative advantage opposite water consumption. Analysis has revealed a surprisingly large contribution of embedded GHG that comes from the use of egg albumen in the production of Quorn foods. Removal of egg from Quorn would approximately halve the GHG. Energy consumption appears higher for the production of Quorn when compared with meal and this needs to be addresses, although there is some uncertainty about the data for meat and in fact there may be minor advantage for Quorn vs beef if the so-called cutting yield for meat is factored in. Overall, the Quorn advantage in embedded GHG content is derived more from the absence of lifecycle ruminant methans and the interaction of nitrogenous component in manure and fertiliser with the nitrogen cycle producing the potent GHG dinitrogen oxide during animal husbandry. More work is needed to develop the model and in particular to convert secondary data (literature values) to primary data (facts), as well as extending the system boundary beyond Slokesley factory gate and into a wider range of products. This should also include comparis\u2026", "author" : [ { "dropping-particle" : "", "family" : "Finnigan", "given" : "Tim JA", "non-dropping-particle" : "", "parse-names" : false, "suffix" : "" } ], "id" : "ITEM-2", "issued" : { "date-parts" : [ [ "2010" ] ] }, "number-of-pages" : "11", "title" : "Food 2030 Life Cycle Analysis and The Role of Quon Foods withing the New Fundamentals of Food Policy", "type" : "report" }, "uris" : [ "http://www.mendeley.com/documents/?uuid=0c0699f7-085e-4954-8a02-766c7895d74a" ] }, { "id" : "ITEM-3", "itemData" : { "DOI" : "10.1111/j.1467-3010.2008.00730.x", "ISBN" : "1471-9827", "ISSN" : "14719827", "abstract" : "Mycoprotein is a high protein, high fibre, low fat food ingredient derived from fermentation of the filamentous fungus Fusarium venenatum. Interest in the putative role of mycoprotein in lowering blood cholesterol concentrations, reducing energy intakes and controlling blood sugar levels has generated a small number of human studies investigating the effects of mycoprotein on cholesterol reduction, satiety and insulinaemia/glycaemia. In today's 'obesogenic' environment, in which there is an abundance of foods high in fat and/or sugar available to consumers, there is growing interest in foods that are both nutritious and satiating, but that are of low-energy density, and are low in saturates, salt and sugar. Mycoprotein has a favourable fatty acid profile (being relatively low in saturates), a fibre content that is comparable with other vegetarian protein sources, and a naturally low sodium content. Mycoprotein is a good source of zinc and selenium but the levels of iron and vitamin B12 in mycoprotein are low in comparison to red meat. A small number of studies investigating the cholesterol-lowering effects of mycoprotein have been carried out among normo- and hypercholesterolaemic adults. The published studies to date have a number of limitations (including small sample sizes and short study durations), but overall the studies report statistically significant reductions in total cholesterol amongst hypercholesterolaemic subjects (in the order of 4-14%). These results look promising in terms of the ability of mycoprotein to contribute modest but meaningful effects on blood cholesterol concentrations, as part of a varied and balanced diet. However, the exact amount of mycoprotein that would need to be consumed in free-living populations to have meaningful effects on cholesterol is a candidate for further confirmatory research. A number of studies have investigated the effects of mycoprotein in comparison with other protein sources on satiety. Several studies suggest that the effects of mycoprotein on satiety are greater than an equivalent amount of chicken but it is unclear what mechanism underlies this. The studies conducted so far are relatively small, and carried out under controlled conditions, so it is difficult to extrapolate the results to larger free-living populations. The promotion of mycoprotein could potentially be useful, alongside other strategies, in the management of obesity and type 2 diabetes, as it appears to show beneficial effects on \u2026", "author" : [ { "dropping-particle" : "", "family" : "Denny", "given" : "A.", "non-dropping-particle" : "", "parse-names" : false, "suffix" : "" }, { "dropping-particle" : "", "family" : "Aisbitt", "given" : "B.", "non-dropping-particle" : "", "parse-names" : false, "suffix" : "" }, { "dropping-particle" : "", "family" : "Lunn", "given" : "J.", "non-dropping-particle" : "", "parse-names" : false, "suffix" : "" } ], "container-title" : "Nutrition Bulletin", "id" : "ITEM-3", "issue" : "4", "issued" : { "date-parts" : [ [ "2008" ] ] }, "page" : "298-310", "title" : "Mycoprotein and health", "type" : "article-journal", "volume" : "33" }, "uris" : [ "http://www.mendeley.com/documents/?uuid=3990397c-fa18-463d-a9da-144130a69faf" ] }, { "id" : "ITEM-4", "itemData" : { "DOI" : "10.1017/S0029665110001400", "ISSN" : "0029-6651", "abstract" : "Mycoprotein is a food ingredient produced by the continuous fermentation of Fusarium venenatum on a carbohydrate substrate and whose RNA content has been reduced. Mycoprotein is the main ingredient in a range of foods sold under the Quorn2 brand and has been available in the United Kingdom since 1985. Many of these products can form the central part of a main meal, so the protein they provide is likely to be significant for some individuals, particularly for high consumers. Bioassays, such as NPU and PER, have indicated a protein quality similar to milk protein (1) and this was confirmed in a study involving healthy male subjects, where mycoprotein was shown to have a biological value equivalent to milk and superior to it when supplemented with methionine (2) . In this study, the apparent protein digestibility of 78 % was likely to have been an underestimate, because the fibre in mycoprotein contributes non-protein nitrogen from chitin (n-acetyl glucosamine). In a study at the Dunn Clinical Nutrition Centre, Cambridge, the digestibility of mycoprotein in the small bowel of 5 female ileostomy subjects was unaffected by steaming, baking, frying or microwaving. The results, including energy and minerals, are summarised below along with a brown bread control. N Ileal digestibility (%) Nitrogen SD Energy SD Calcium SD Magnesium SD Iron SD Zinc SD", "author" : [ { "dropping-particle" : "", "family" : "Edwards", "given" : "D.G.", "non-dropping-particle" : "", "parse-names" : false, "suffix" : "" }, { "dropping-particle" : "", "family" : "Cummings", "given" : "J.H.", "non-dropping-particle" : "", "parse-names" : false, "suffix" : "" } ], "container-title" : "Proceedings of the Nutrition Society", "id" : "ITEM-4", "issue" : "935", "issued" : { "date-parts" : [ [ "2010" ] ] }, "page" : "69", "title" : "The protein quality of mycoprotein", "type" : "article-journal", "volume" : "69" }, "uris" : [ "http://www.mendeley.com/documents/?uuid=8a077ef4-ba63-4c23-a8bf-607200a33bf9" ] }, { "id" : "ITEM-5", "itemData" : { "DOI" : "10.1016/B978-0-12-802778-3.00019-6", "ISBN" : "9780128027769", "abstract" : "Something is broken in the way we produce and consume our food. Our food and agriculture now contribute to 30% of global greenhouse gas emissions with half associated with the production of meat. Land and water use are reported to become the new oil in global politics as food security becomes a more pressing risk for a sustainable food future. Half the world's antibiotics are fed to industrially farmed animals, contributing to the rise of deadly superbugs, whilst cereals and crops that could be used to nourish the world's poorest are increasingly grown as animal fodder and a hugely inefficient conversion of protein and environmental damage. There seems no doubt that our desire for ever cheaper and more plentiful meat is at the heart of issues of food sustainability that threaten our very way of life. Indeed, we can no longer meaningfully separate our dietary choices from their impact on the health of our bodies and of the planet. We need to change the balance by eating less and better-quality meat and sometimes none at all. We need new ideas and new and healthy proteins with a low environmental impact to help us achieve this. Foods such as Quorn are already helping consumers transition away from an overdependence on meat-in short, we need a culture change. Mycoprotein is the world's first successful \"new\" protein source. From an idea conceived in the 1960s, mycoprotein is now at the heart of all Quorn foods sold in 16 countries worldwide. This chapter explains the origins and history as well as the manufacturing technology, underpinning science, and the process undertaken to establish a robust lifecycle analysis that shows a low environmental impact relative to meat of this technology based on fungal </w:instrText>
      </w:r>
      <w:r w:rsidRPr="004D79C3">
        <w:rPr>
          <w:rFonts w:ascii="Arial" w:hAnsi="Arial" w:cs="Arial"/>
          <w:sz w:val="20"/>
          <w:lang w:val="nl-NL"/>
        </w:rPr>
        <w:instrText>fermentation.", "author" : [ { "dropping-particle" : "", "family" : "Finnigan", "given" : "T.", "non-dropping-particle" : "", "parse-names" : false, "suffix" : "" }, { "dropping-particle" : "", "family" : "Needham", "given" : "L.", "non-dropping-particle" : "", "parse-names" : false, "suffix" : "" }, { "dropping-particle" : "", "family" : "Abbott", "given" : "C.", "non-dropping-particle" : "", "parse-names" : false, "suffix" : "" } ], "container-title" : "Sustainable Protein Sources", "id" : "ITEM-5", "issue" : "Ec 1997", "issued" : { "date-parts" : [ [ "2016" ] ] }, "number-of-pages" : "305-325", "publisher" : "Elsevier Inc.", "title" : "Mycoprotein: A Healthy New Protein With a Low Environmental Impact", "type" : "book" }, "uris" : [ "http://www.mendeley.com/documents/?uuid=6ff9b8fc-634a-4d3c-abc1-13da9ce98257" ] } ], "mendeley" : { "formattedCitation" : "(Denny et al., 2008; Edwards &amp; Cummings, 2010; FAO, 2001; T. J. Finnigan, 2010; T. Finnigan et al., 2016)", "manualFormatting" : "(Denny et al., 2008; Edwards &amp; Cummings, 2010; FAO, 2001; Finnigan, 2010; T. Finnigan et al., 2016)", "plainTextFormattedCitation" : "(Denny et al., 2008; Edwards &amp; Cummings, 2010; FAO, 2001; T. J. Finnigan, 2010; T. Finnigan et al., 2016)", "previouslyFormattedCitation" : "(Denny et al., 2008; Edwards &amp; Cummings, 2010; FAO, 2001; T. J. Finnigan, 2010; T. Finnigan et al., 2016)" }, "properties" : {  }, "schema" : "https://github.com/citation-style-language/schema/raw/master/csl-citation.json" }</w:instrText>
      </w:r>
      <w:r w:rsidRPr="0073113B">
        <w:rPr>
          <w:rFonts w:ascii="Arial" w:hAnsi="Arial" w:cs="Arial"/>
          <w:sz w:val="20"/>
        </w:rPr>
        <w:fldChar w:fldCharType="separate"/>
      </w:r>
      <w:r w:rsidRPr="004D79C3">
        <w:rPr>
          <w:rFonts w:ascii="Arial" w:hAnsi="Arial" w:cs="Arial"/>
          <w:noProof/>
          <w:sz w:val="20"/>
          <w:lang w:val="nl-NL"/>
        </w:rPr>
        <w:t>(Denny et al., 2008; Edwards &amp; Cummings, 2010; FAO, 2001; Finnigan, 2010; T. Finnigan et al., 2016)</w:t>
      </w:r>
      <w:r w:rsidRPr="0073113B">
        <w:rPr>
          <w:rFonts w:ascii="Arial" w:hAnsi="Arial" w:cs="Arial"/>
          <w:sz w:val="20"/>
        </w:rPr>
        <w:fldChar w:fldCharType="end"/>
      </w:r>
      <w:r w:rsidRPr="004D79C3">
        <w:rPr>
          <w:rFonts w:ascii="Arial" w:hAnsi="Arial" w:cs="Arial"/>
          <w:sz w:val="20"/>
          <w:lang w:val="nl-NL"/>
        </w:rPr>
        <w:t>.</w:t>
      </w:r>
    </w:p>
    <w:p w:rsidR="004D79C3" w:rsidRPr="004D79C3" w:rsidRDefault="004D79C3" w:rsidP="004D79C3">
      <w:pPr>
        <w:rPr>
          <w:rFonts w:ascii="Arial" w:hAnsi="Arial" w:cs="Arial"/>
          <w:b/>
          <w:sz w:val="28"/>
          <w:lang w:val="nl-NL"/>
        </w:rPr>
      </w:pPr>
    </w:p>
    <w:p w:rsidR="004D79C3" w:rsidRPr="004D79C3" w:rsidRDefault="004D79C3" w:rsidP="004D79C3">
      <w:pPr>
        <w:rPr>
          <w:rFonts w:ascii="Arial" w:hAnsi="Arial" w:cs="Arial"/>
          <w:b/>
          <w:sz w:val="28"/>
          <w:lang w:val="nl-NL"/>
        </w:rPr>
      </w:pPr>
      <w:r>
        <w:rPr>
          <w:noProof/>
          <w:lang w:val="en-US"/>
        </w:rPr>
        <mc:AlternateContent>
          <mc:Choice Requires="wps">
            <w:drawing>
              <wp:anchor distT="45720" distB="45720" distL="114300" distR="114300" simplePos="0" relativeHeight="251662336" behindDoc="0" locked="0" layoutInCell="1" allowOverlap="1" wp14:anchorId="2D8EA998" wp14:editId="550CEC82">
                <wp:simplePos x="0" y="0"/>
                <wp:positionH relativeFrom="page">
                  <wp:posOffset>203752</wp:posOffset>
                </wp:positionH>
                <wp:positionV relativeFrom="paragraph">
                  <wp:posOffset>1247278</wp:posOffset>
                </wp:positionV>
                <wp:extent cx="7409180" cy="1187450"/>
                <wp:effectExtent l="0" t="0" r="127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9180" cy="1187450"/>
                        </a:xfrm>
                        <a:prstGeom prst="rect">
                          <a:avLst/>
                        </a:prstGeom>
                        <a:solidFill>
                          <a:srgbClr val="FFFFFF"/>
                        </a:solidFill>
                        <a:ln w="9525">
                          <a:noFill/>
                          <a:miter lim="800000"/>
                          <a:headEnd/>
                          <a:tailEnd/>
                        </a:ln>
                      </wps:spPr>
                      <wps:txbx>
                        <w:txbxContent>
                          <w:p w:rsidR="004D79C3" w:rsidRPr="0073113B" w:rsidRDefault="004D79C3" w:rsidP="004D79C3">
                            <w:pPr>
                              <w:spacing w:line="480" w:lineRule="auto"/>
                              <w:rPr>
                                <w:rFonts w:ascii="Arial" w:hAnsi="Arial" w:cs="Arial"/>
                                <w:sz w:val="20"/>
                              </w:rPr>
                            </w:pPr>
                            <w:r w:rsidRPr="0073113B">
                              <w:rPr>
                                <w:rFonts w:ascii="Arial" w:hAnsi="Arial" w:cs="Arial"/>
                                <w:b/>
                                <w:sz w:val="20"/>
                              </w:rPr>
                              <w:t xml:space="preserve">Table </w:t>
                            </w:r>
                            <w:r>
                              <w:rPr>
                                <w:rFonts w:ascii="Arial" w:hAnsi="Arial" w:cs="Arial"/>
                                <w:b/>
                                <w:sz w:val="20"/>
                              </w:rPr>
                              <w:t>B</w:t>
                            </w:r>
                            <w:r w:rsidRPr="0073113B">
                              <w:rPr>
                                <w:rFonts w:ascii="Arial" w:hAnsi="Arial" w:cs="Arial"/>
                                <w:b/>
                                <w:sz w:val="20"/>
                              </w:rPr>
                              <w:t xml:space="preserve">3: Greenhouse gas (GHG) intensity of commodity production. </w:t>
                            </w:r>
                            <w:r w:rsidRPr="0073113B">
                              <w:rPr>
                                <w:rFonts w:ascii="Arial" w:hAnsi="Arial" w:cs="Arial"/>
                                <w:sz w:val="20"/>
                              </w:rPr>
                              <w:t>Average GHG intensity (kgCO</w:t>
                            </w:r>
                            <w:r w:rsidRPr="0073113B">
                              <w:rPr>
                                <w:rFonts w:ascii="Arial" w:hAnsi="Arial" w:cs="Arial"/>
                                <w:sz w:val="20"/>
                                <w:vertAlign w:val="subscript"/>
                              </w:rPr>
                              <w:t>2</w:t>
                            </w:r>
                            <w:r w:rsidRPr="0073113B">
                              <w:rPr>
                                <w:rFonts w:ascii="Arial" w:hAnsi="Arial" w:cs="Arial"/>
                                <w:sz w:val="20"/>
                              </w:rPr>
                              <w:t>ekg</w:t>
                            </w:r>
                            <w:r w:rsidRPr="0073113B">
                              <w:rPr>
                                <w:rFonts w:ascii="Arial" w:hAnsi="Arial" w:cs="Arial"/>
                                <w:sz w:val="20"/>
                                <w:vertAlign w:val="superscript"/>
                              </w:rPr>
                              <w:t>-1</w:t>
                            </w:r>
                            <w:r w:rsidRPr="0073113B">
                              <w:rPr>
                                <w:rFonts w:ascii="Arial" w:hAnsi="Arial" w:cs="Arial"/>
                                <w:sz w:val="20"/>
                              </w:rPr>
                              <w:t>) of meat and substitute production based on life-cycle analysis (LCA). Meat intensities were assumed based on global average values from FAO full value chain assessments</w:t>
                            </w:r>
                            <w:r>
                              <w:rPr>
                                <w:rFonts w:ascii="Arial" w:hAnsi="Arial" w:cs="Arial"/>
                                <w:sz w:val="20"/>
                              </w:rPr>
                              <w:t xml:space="preserve"> </w:t>
                            </w:r>
                            <w:r w:rsidRPr="0073113B">
                              <w:rPr>
                                <w:rFonts w:ascii="Arial" w:hAnsi="Arial" w:cs="Arial"/>
                                <w:sz w:val="20"/>
                              </w:rPr>
                              <w:fldChar w:fldCharType="begin" w:fldLock="1"/>
                            </w:r>
                            <w:r>
                              <w:rPr>
                                <w:rFonts w:ascii="Arial" w:hAnsi="Arial" w:cs="Arial"/>
                                <w:sz w:val="20"/>
                              </w:rPr>
                              <w:instrText>ADDIN CSL_CITATION { "citationItems" : [ { "id" : "ITEM-1", "itemData" : { "ISBN" : "9789251079201", "author" : [ { "dropping-particle" : "", "family" : "Gerber", "given" : "P.J", "non-dropping-particle" : "", "parse-names" : false, "suffix" : "" }, { "dropping-particle" : "", "family" : "Steinfeld", "given" : "H.", "non-dropping-particle" : "", "parse-names" : false, "suffix" : "" }, { "dropping-particle" : "", "family" : "Henderson", "given" : "B.", "non-dropping-particle" : "", "parse-names" : false, "suffix" : "" }, { "dropping-particle" : "", "family" : "Mottet", "given" : "A.", "non-dropping-particle" : "", "parse-names" : false, "suffix" : "" }, { "dropping-particle" : "", "family" : "Opio", "given" : "C.", "non-dropping-particle" : "", "parse-names" : false, "suffix" : "" }, { "dropping-particle" : "", "family" : "Dijkman", "given" : "J.", "non-dropping-particle" : "", "parse-names" : false, "suffix" : "" }, { "dropping-particle" : "", "family" : "Falcucci", "given" : "A.", "non-dropping-particle" : "", "parse-names" : false, "suffix" : "" }, { "dropping-particle" : "", "family" : "Tempio", "given" : "G.", "non-dropping-particle" : "", "parse-names" : false, "suffix" : "" } ], "id" : "ITEM-1", "issued" : { "date-parts" : [ [ "2013" ] ] }, "publisher-place" : "Rome", "title" : "Tackling Climate Change through Livestock: A Global Assessment of Emissions and Mitigation Opportunities", "type" : "report" }, "uris" : [ "http://www.mendeley.com/documents/?uuid=d0c014c3-23bf-4549-b0cc-281b5d9e33e2" ] } ], "mendeley" : { "formattedCitation" : "(Gerber et al., 2013)", "plainTextFormattedCitation" : "(Gerber et al., 2013)", "previouslyFormattedCitation" : "(Gerber et al., 2013)" }, "properties" : {  }, "schema" : "https://github.com/citation-style-language/schema/raw/master/csl-citation.json" }</w:instrText>
                            </w:r>
                            <w:r w:rsidRPr="0073113B">
                              <w:rPr>
                                <w:rFonts w:ascii="Arial" w:hAnsi="Arial" w:cs="Arial"/>
                                <w:sz w:val="20"/>
                              </w:rPr>
                              <w:fldChar w:fldCharType="separate"/>
                            </w:r>
                            <w:r w:rsidRPr="005A298F">
                              <w:rPr>
                                <w:rFonts w:ascii="Arial" w:hAnsi="Arial" w:cs="Arial"/>
                                <w:noProof/>
                                <w:sz w:val="20"/>
                              </w:rPr>
                              <w:t>(Gerber et al., 2013)</w:t>
                            </w:r>
                            <w:r w:rsidRPr="0073113B">
                              <w:rPr>
                                <w:rFonts w:ascii="Arial" w:hAnsi="Arial" w:cs="Arial"/>
                                <w:sz w:val="20"/>
                              </w:rPr>
                              <w:fldChar w:fldCharType="end"/>
                            </w:r>
                            <w:r w:rsidRPr="0073113B">
                              <w:rPr>
                                <w:rFonts w:ascii="Arial" w:hAnsi="Arial" w:cs="Arial"/>
                                <w:sz w:val="20"/>
                              </w:rPr>
                              <w:t>, and Quorn™ mycoprotein based on comparable LCA methodologies</w:t>
                            </w:r>
                            <w:r>
                              <w:rPr>
                                <w:rFonts w:ascii="Arial" w:hAnsi="Arial" w:cs="Arial"/>
                                <w:sz w:val="20"/>
                              </w:rPr>
                              <w:t xml:space="preserve"> </w:t>
                            </w:r>
                            <w:r w:rsidRPr="0073113B">
                              <w:rPr>
                                <w:rFonts w:ascii="Arial" w:hAnsi="Arial" w:cs="Arial"/>
                                <w:sz w:val="20"/>
                              </w:rPr>
                              <w:fldChar w:fldCharType="begin" w:fldLock="1"/>
                            </w:r>
                            <w:r>
                              <w:rPr>
                                <w:rFonts w:ascii="Arial" w:hAnsi="Arial" w:cs="Arial"/>
                                <w:sz w:val="20"/>
                              </w:rPr>
                              <w:instrText>ADDIN CSL_CITATION { "citationItems" : [ { "id" : "ITEM-1", "itemData" : { "abstract" : "There are growing calls for a paradigm shift in thinking and a 21st century food policy built around the new fundamentals of sustainability, health and security. HM Government have now (Jan 2010) published their strategy for food - Food 2030. This strategy is structured around 6 core issues for the food system which shows Quorn to be well aligned with at least three of these. This offers the opportunity to develop a strategy for growth that embraces these new fundamentals of food policy. This report summarises the drivers within the debate and goes on to recommend the Quorn R and D platforms that are needed in order to align with the core strategic principles of Food 2030. Central to this will be a the need for a deeper understanding of the role that mycoprotein can play in helping to address the public health concerns associated with diet and health and being part of the considerations of sustainability, by developing robust evidence to satisfy the current intuitive belief that Quorn is environmentallly more benign than the meat equivalent. Lifecycle analysis has demonstrated the enormous complexity involved in developing robust evidence, but tantalisingly suggest that quorn mince may be 5-10 times better in its embedded greenhous gas (GHG) content than meat, and that Quorn pieces may contain up to halft the embedded GHG of the poultry equivalent. Further analysis also suggests comparative advantage opposite water consumption. Analysis has revealed a surprisingly large contribution of embedded GHG that comes from the use of egg albumen in the production of Quorn foods. Removal of egg from Quorn would approximately halve the GHG. Energy consumption appears higher for the production of Quorn when compared with meal and this needs to be addresses, although there is some uncertainty about the data for meat and in fact there may be minor advantage for Quorn vs beef if the so-called cutting yield for meat is factored in. Overall, the Quorn advantage in embedded GHG content is derived more from the absence of lifecycle ruminant methans and the interaction of nitrogenous component in manure and fertiliser with the nitrogen cycle producing the potent GHG dinitrogen oxide during animal husbandry. More work is needed to develop the model and in particular to convert secondary data (literature values) to primary data (facts), as well as extending the system boundary beyond Slokesley factory gate and into a wider range of products. This should also include comparis\u2026", "author" : [ { "dropping-particle" : "", "family" : "Finnigan", "given" : "Tim JA", "non-dropping-particle" : "", "parse-names" : false, "suffix" : "" } ], "id" : "ITEM-1", "issued" : { "date-parts" : [ [ "2010" ] ] }, "number-of-pages" : "11", "title" : "Food 2030 Life Cycle Analysis and The Role of Quon Foods withing the New Fundamentals of Food Policy", "type" : "report" }, "uris" : [ "http://www.mendeley.com/documents/?uuid=0c0699f7-085e-4954-8a02-766c7895d74a" ] }, { "id" : "ITEM-2", "itemData" : { "DOI" : "10.1007/s11367-015-0931-6", "ISSN" : "0948-3349", "abstract" : "Purpose Food production is among the highest human environmental impacting activities. Agriculture itself accounts for 70\u201385%ofthewaterfootprintand30%ofworldgreenhouse gas emissions (2.5 times more than global transport). Food production\u2019s projected increase in 70 % by 2050 highlights theimportanceofenvironmentalimpactsconnectedwithmeat production.Theproductionofvariousmeatsubstitutes(plantbased, mycoprotein-based, dairy-based, and animal-based substitutes) aims to reduce the environmental impact caused by livestock. This article outlined the comparative analysis of meat substitutes\u2019 environmental performance in order to estimate the most promising options.", "author" : [ { "dropping-particle" : "", "family" : "Smetana", "given" : "Sergiy", "non-dropping-particle" : "", "parse-names" : false, "suffix" : "" }, { "dropping-particle" : "", "family" : "Mathys", "given" : "Alexander", "non-dropping-particle" : "", "parse-names" : false, "suffix" : "" }, { "dropping-particle" : "", "family" : "Knoch", "given" : "Achim", "non-dropping-particle" : "", "parse-names" : false, "suffix" : "" }, { "dropping-particle" : "", "family" : "Heinz", "given" : "Volker", "non-dropping-particle" : "", "parse-names" : false, "suffix" : "" } ], "container-title" : "The International Journal of Life Cycle Assessment", "id" : "ITEM-2", "issued" : { "date-parts" : [ [ "2015" ] ] }, "page" : "1254-1267", "title" : "Meat Alternatives \u2013 Life Cycle Assessment of Most Known Meat Substitutes", "type" : "article-journal", "volume" : "2050" }, "uris" : [ "http://www.mendeley.com/documents/?uuid=b6998900-c4ca-4924-bddc-2090f260e8b9" ] } ], "mendeley" : { "formattedCitation" : "(T. J. Finnigan, 2010; Smetana et al., 2015)", "manualFormatting" : "(Finnigan, 2010; Smetana et al., 2015)", "plainTextFormattedCitation" : "(T. J. Finnigan, 2010; Smetana et al., 2015)", "previouslyFormattedCitation" : "(T. J. Finnigan, 2010; Smetana et al., 2015)" }, "properties" : {  }, "schema" : "https://github.com/citation-style-language/schema/raw/master/csl-citation.json" }</w:instrText>
                            </w:r>
                            <w:r w:rsidRPr="0073113B">
                              <w:rPr>
                                <w:rFonts w:ascii="Arial" w:hAnsi="Arial" w:cs="Arial"/>
                                <w:sz w:val="20"/>
                              </w:rPr>
                              <w:fldChar w:fldCharType="separate"/>
                            </w:r>
                            <w:r w:rsidRPr="005A298F">
                              <w:rPr>
                                <w:rFonts w:ascii="Arial" w:hAnsi="Arial" w:cs="Arial"/>
                                <w:noProof/>
                                <w:sz w:val="20"/>
                              </w:rPr>
                              <w:t>(Finnigan, 2010; Smetana et al., 2015)</w:t>
                            </w:r>
                            <w:r w:rsidRPr="0073113B">
                              <w:rPr>
                                <w:rFonts w:ascii="Arial" w:hAnsi="Arial" w:cs="Arial"/>
                                <w:sz w:val="20"/>
                              </w:rPr>
                              <w:fldChar w:fldCharType="end"/>
                            </w:r>
                            <w:r w:rsidRPr="0073113B">
                              <w:rPr>
                                <w:rFonts w:ascii="Arial" w:hAnsi="Arial" w:cs="Arial"/>
                                <w:sz w:val="20"/>
                              </w:rPr>
                              <w:t>.</w:t>
                            </w:r>
                          </w:p>
                          <w:p w:rsidR="004D79C3" w:rsidRPr="004454B2" w:rsidRDefault="004D79C3" w:rsidP="004D79C3">
                            <w:pPr>
                              <w:rPr>
                                <w:rFonts w:ascii="Arial" w:hAnsi="Arial" w:cs="Arial"/>
                              </w:rPr>
                            </w:pPr>
                          </w:p>
                          <w:p w:rsidR="004D79C3" w:rsidRPr="004454B2" w:rsidRDefault="004D79C3" w:rsidP="004D79C3">
                            <w:pPr>
                              <w:rPr>
                                <w:rFonts w:ascii="Arial" w:hAnsi="Arial" w:cs="Arial"/>
                              </w:rPr>
                            </w:pPr>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EA998" id="Text Box 15" o:spid="_x0000_s1029" type="#_x0000_t202" style="position:absolute;margin-left:16.05pt;margin-top:98.2pt;width:583.4pt;height:93.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" stroked="f">
                <v:textbox>
                  <w:txbxContent>
                    <w:p w:rsidR="004D79C3" w:rsidRPr="0073113B" w:rsidRDefault="004D79C3" w:rsidP="004D79C3">
                      <w:pPr>
                        <w:spacing w:line="480" w:lineRule="auto"/>
                        <w:rPr>
                          <w:rFonts w:ascii="Arial" w:hAnsi="Arial" w:cs="Arial"/>
                          <w:sz w:val="20"/>
                        </w:rPr>
                      </w:pPr>
                      <w:r w:rsidRPr="0073113B">
                        <w:rPr>
                          <w:rFonts w:ascii="Arial" w:hAnsi="Arial" w:cs="Arial"/>
                          <w:b/>
                          <w:sz w:val="20"/>
                        </w:rPr>
                        <w:t xml:space="preserve">Table </w:t>
                      </w:r>
                      <w:r>
                        <w:rPr>
                          <w:rFonts w:ascii="Arial" w:hAnsi="Arial" w:cs="Arial"/>
                          <w:b/>
                          <w:sz w:val="20"/>
                        </w:rPr>
                        <w:t>B</w:t>
                      </w:r>
                      <w:r w:rsidRPr="0073113B">
                        <w:rPr>
                          <w:rFonts w:ascii="Arial" w:hAnsi="Arial" w:cs="Arial"/>
                          <w:b/>
                          <w:sz w:val="20"/>
                        </w:rPr>
                        <w:t xml:space="preserve">3: Greenhouse gas (GHG) intensity of commodity production. </w:t>
                      </w:r>
                      <w:r w:rsidRPr="0073113B">
                        <w:rPr>
                          <w:rFonts w:ascii="Arial" w:hAnsi="Arial" w:cs="Arial"/>
                          <w:sz w:val="20"/>
                        </w:rPr>
                        <w:t>Average GHG intensity (kgCO</w:t>
                      </w:r>
                      <w:r w:rsidRPr="0073113B">
                        <w:rPr>
                          <w:rFonts w:ascii="Arial" w:hAnsi="Arial" w:cs="Arial"/>
                          <w:sz w:val="20"/>
                          <w:vertAlign w:val="subscript"/>
                        </w:rPr>
                        <w:t>2</w:t>
                      </w:r>
                      <w:r w:rsidRPr="0073113B">
                        <w:rPr>
                          <w:rFonts w:ascii="Arial" w:hAnsi="Arial" w:cs="Arial"/>
                          <w:sz w:val="20"/>
                        </w:rPr>
                        <w:t>ekg</w:t>
                      </w:r>
                      <w:r w:rsidRPr="0073113B">
                        <w:rPr>
                          <w:rFonts w:ascii="Arial" w:hAnsi="Arial" w:cs="Arial"/>
                          <w:sz w:val="20"/>
                          <w:vertAlign w:val="superscript"/>
                        </w:rPr>
                        <w:t>-1</w:t>
                      </w:r>
                      <w:r w:rsidRPr="0073113B">
                        <w:rPr>
                          <w:rFonts w:ascii="Arial" w:hAnsi="Arial" w:cs="Arial"/>
                          <w:sz w:val="20"/>
                        </w:rPr>
                        <w:t>) of meat and substitute production based on life-cycle analysis (LCA). Meat intensities were assumed based on global average values from FAO full value chain assessments</w:t>
                      </w:r>
                      <w:r>
                        <w:rPr>
                          <w:rFonts w:ascii="Arial" w:hAnsi="Arial" w:cs="Arial"/>
                          <w:sz w:val="20"/>
                        </w:rPr>
                        <w:t xml:space="preserve"> </w:t>
                      </w:r>
                      <w:r w:rsidRPr="0073113B">
                        <w:rPr>
                          <w:rFonts w:ascii="Arial" w:hAnsi="Arial" w:cs="Arial"/>
                          <w:sz w:val="20"/>
                        </w:rPr>
                        <w:fldChar w:fldCharType="begin" w:fldLock="1"/>
                      </w:r>
                      <w:r>
                        <w:rPr>
                          <w:rFonts w:ascii="Arial" w:hAnsi="Arial" w:cs="Arial"/>
                          <w:sz w:val="20"/>
                        </w:rPr>
                        <w:instrText>ADDIN CSL_CITATION { "citationItems" : [ { "id" : "ITEM-1", "itemData" : { "ISBN" : "9789251079201", "author" : [ { "dropping-particle" : "", "family" : "Gerber", "given" : "P.J", "non-dropping-particle" : "", "parse-names" : false, "suffix" : "" }, { "dropping-particle" : "", "family" : "Steinfeld", "given" : "H.", "non-dropping-particle" : "", "parse-names" : false, "suffix" : "" }, { "dropping-particle" : "", "family" : "Henderson", "given" : "B.", "non-dropping-particle" : "", "parse-names" : false, "suffix" : "" }, { "dropping-particle" : "", "family" : "Mottet", "given" : "A.", "non-dropping-particle" : "", "parse-names" : false, "suffix" : "" }, { "dropping-particle" : "", "family" : "Opio", "given" : "C.", "non-dropping-particle" : "", "parse-names" : false, "suffix" : "" }, { "dropping-particle" : "", "family" : "Dijkman", "given" : "J.", "non-dropping-particle" : "", "parse-names" : false, "suffix" : "" }, { "dropping-particle" : "", "family" : "Falcucci", "given" : "A.", "non-dropping-particle" : "", "parse-names" : false, "suffix" : "" }, { "dropping-particle" : "", "family" : "Tempio", "given" : "G.", "non-dropping-particle" : "", "parse-names" : false, "suffix" : "" } ], "id" : "ITEM-1", "issued" : { "date-parts" : [ [ "2013" ] ] }, "publisher-place" : "Rome", "title" : "Tackling Climate Change through Livestock: A Global Assessment of Emissions and Mitigation Opportunities", "type" : "report" }, "uris" : [ "http://www.mendeley.com/documents/?uuid=d0c014c3-23bf-4549-b0cc-281b5d9e33e2" ] } ], "mendeley" : { "formattedCitation" : "(Gerber et al., 2013)", "plainTextFormattedCitation" : "(Gerber et al., 2013)", "previouslyFormattedCitation" : "(Gerber et al., 2013)" }, "properties" : {  }, "schema" : "https://github.com/citation-style-language/schema/raw/master/csl-citation.json" }</w:instrText>
                      </w:r>
                      <w:r w:rsidRPr="0073113B">
                        <w:rPr>
                          <w:rFonts w:ascii="Arial" w:hAnsi="Arial" w:cs="Arial"/>
                          <w:sz w:val="20"/>
                        </w:rPr>
                        <w:fldChar w:fldCharType="separate"/>
                      </w:r>
                      <w:r w:rsidRPr="005A298F">
                        <w:rPr>
                          <w:rFonts w:ascii="Arial" w:hAnsi="Arial" w:cs="Arial"/>
                          <w:noProof/>
                          <w:sz w:val="20"/>
                        </w:rPr>
                        <w:t>(Gerber et al., 2013)</w:t>
                      </w:r>
                      <w:r w:rsidRPr="0073113B">
                        <w:rPr>
                          <w:rFonts w:ascii="Arial" w:hAnsi="Arial" w:cs="Arial"/>
                          <w:sz w:val="20"/>
                        </w:rPr>
                        <w:fldChar w:fldCharType="end"/>
                      </w:r>
                      <w:r w:rsidRPr="0073113B">
                        <w:rPr>
                          <w:rFonts w:ascii="Arial" w:hAnsi="Arial" w:cs="Arial"/>
                          <w:sz w:val="20"/>
                        </w:rPr>
                        <w:t>, and Quorn™ mycoprotein based on comparable LCA methodologies</w:t>
                      </w:r>
                      <w:r>
                        <w:rPr>
                          <w:rFonts w:ascii="Arial" w:hAnsi="Arial" w:cs="Arial"/>
                          <w:sz w:val="20"/>
                        </w:rPr>
                        <w:t xml:space="preserve"> </w:t>
                      </w:r>
                      <w:r w:rsidRPr="0073113B">
                        <w:rPr>
                          <w:rFonts w:ascii="Arial" w:hAnsi="Arial" w:cs="Arial"/>
                          <w:sz w:val="20"/>
                        </w:rPr>
                        <w:fldChar w:fldCharType="begin" w:fldLock="1"/>
                      </w:r>
                      <w:r>
                        <w:rPr>
                          <w:rFonts w:ascii="Arial" w:hAnsi="Arial" w:cs="Arial"/>
                          <w:sz w:val="20"/>
                        </w:rPr>
                        <w:instrText>ADDIN CSL_CITATION { "citationItems" : [ { "id" : "ITEM-1", "itemData" : { "abstract" : "There are growing calls for a paradigm shift in thinking and a 21st century food policy built around the new fundamentals of sustainability, health and security. HM Government have now (Jan 2010) published their strategy for food - Food 2030. This strategy is structured around 6 core issues for the food system which shows Quorn to be well aligned with at least three of these. This offers the opportunity to develop a strategy for growth that embraces these new fundamentals of food policy. This report summarises the drivers within the debate and goes on to recommend the Quorn R and D platforms that are needed in order to align with the core strategic principles of Food 2030. Central to this will be a the need for a deeper understanding of the role that mycoprotein can play in helping to address the public health concerns associated with diet and health and being part of the considerations of sustainability, by developing robust evidence to satisfy the current intuitive belief that Quorn is environmentallly more benign than the meat equivalent. Lifecycle analysis has demonstrated the enormous complexity involved in developing robust evidence, but tantalisingly suggest that quorn mince may be 5-10 times better in its embedded greenhous gas (GHG) content than meat, and that Quorn pieces may contain up to halft the embedded GHG of the poultry equivalent. Further analysis also suggests comparative advantage opposite water consumption. Analysis has revealed a surprisingly large contribution of embedded GHG that comes from the use of egg albumen in the production of Quorn foods. Removal of egg from Quorn would approximately halve the GHG. Energy consumption appears higher for the production of Quorn when compared with meal and this needs to be addresses, although there is some uncertainty about the data for meat and in fact there may be minor advantage for Quorn vs beef if the so-called cutting yield for meat is factored in. Overall, the Quorn advantage in embedded GHG content is derived more from the absence of lifecycle ruminant methans and the interaction of nitrogenous component in manure and fertiliser with the nitrogen cycle producing the potent GHG dinitrogen oxide during animal husbandry. More work is needed to develop the model and in particular to convert secondary data (literature values) to primary data (facts), as well as extending the system boundary beyond Slokesley factory gate and into a wider range of products. This should also include comparis\u2026", "author" : [ { "dropping-particle" : "", "family" : "Finnigan", "given" : "Tim JA", "non-dropping-particle" : "", "parse-names" : false, "suffix" : "" } ], "id" : "ITEM-1", "issued" : { "date-parts" : [ [ "2010" ] ] }, "number-of-pages" : "11", "title" : "Food 2030 Life Cycle Analysis and The Role of Quon Foods withing the New Fundamentals of Food Policy", "type" : "report" }, "uris" : [ "http://www.mendeley.com/documents/?uuid=0c0699f7-085e-4954-8a02-766c7895d74a" ] }, { "id" : "ITEM-2", "itemData" : { "DOI" : "10.1007/s11367-015-0931-6", "ISSN" : "0948-3349", "abstract" : "Purpose Food production is among the highest human environmental impacting activities. Agriculture itself accounts for 70\u201385%ofthewaterfootprintand30%ofworldgreenhouse gas emissions (2.5 times more than global transport). Food production\u2019s projected increase in 70 % by 2050 highlights theimportanceofenvironmentalimpactsconnectedwithmeat production.Theproductionofvariousmeatsubstitutes(plantbased, mycoprotein-based, dairy-based, and animal-based substitutes) aims to reduce the environmental impact caused by livestock. This article outlined the comparative analysis of meat substitutes\u2019 environmental performance in order to estimate the most promising options.", "author" : [ { "dropping-particle" : "", "family" : "Smetana", "given" : "Sergiy", "non-dropping-particle" : "", "parse-names" : false, "suffix" : "" }, { "dropping-particle" : "", "family" : "Mathys", "given" : "Alexander", "non-dropping-particle" : "", "parse-names" : false, "suffix" : "" }, { "dropping-particle" : "", "family" : "Knoch", "given" : "Achim", "non-dropping-particle" : "", "parse-names" : false, "suffix" : "" }, { "dropping-particle" : "", "family" : "Heinz", "given" : "Volker", "non-dropping-particle" : "", "parse-names" : false, "suffix" : "" } ], "container-title" : "The International Journal of Life Cycle Assessment", "id" : "ITEM-2", "issued" : { "date-parts" : [ [ "2015" ] ] }, "page" : "1254-1267", "title" : "Meat Alternatives \u2013 Life Cycle Assessment of Most Known Meat Substitutes", "type" : "article-journal", "volume" : "2050" }, "uris" : [ "http://www.mendeley.com/documents/?uuid=b6998900-c4ca-4924-bddc-2090f260e8b9" ] } ], "mendeley" : { "formattedCitation" : "(T. J. Finnigan, 2010; Smetana et al., 2015)", "manualFormatting" : "(Finnigan, 2010; Smetana et al., 2015)", "plainTextFormattedCitation" : "(T. J. Finnigan, 2010; Smetana et al., 2015)", "previouslyFormattedCitation" : "(T. J. Finnigan, 2010; Smetana et al., 2015)" }, "properties" : {  }, "schema" : "https://github.com/citation-style-language/schema/raw/master/csl-citation.json" }</w:instrText>
                      </w:r>
                      <w:r w:rsidRPr="0073113B">
                        <w:rPr>
                          <w:rFonts w:ascii="Arial" w:hAnsi="Arial" w:cs="Arial"/>
                          <w:sz w:val="20"/>
                        </w:rPr>
                        <w:fldChar w:fldCharType="separate"/>
                      </w:r>
                      <w:r w:rsidRPr="005A298F">
                        <w:rPr>
                          <w:rFonts w:ascii="Arial" w:hAnsi="Arial" w:cs="Arial"/>
                          <w:noProof/>
                          <w:sz w:val="20"/>
                        </w:rPr>
                        <w:t>(Finnigan, 2010; Smetana et al., 2015)</w:t>
                      </w:r>
                      <w:r w:rsidRPr="0073113B">
                        <w:rPr>
                          <w:rFonts w:ascii="Arial" w:hAnsi="Arial" w:cs="Arial"/>
                          <w:sz w:val="20"/>
                        </w:rPr>
                        <w:fldChar w:fldCharType="end"/>
                      </w:r>
                      <w:r w:rsidRPr="0073113B">
                        <w:rPr>
                          <w:rFonts w:ascii="Arial" w:hAnsi="Arial" w:cs="Arial"/>
                          <w:sz w:val="20"/>
                        </w:rPr>
                        <w:t>.</w:t>
                      </w:r>
                    </w:p>
                    <w:p w:rsidR="004D79C3" w:rsidRPr="004454B2" w:rsidRDefault="004D79C3" w:rsidP="004D79C3">
                      <w:pPr>
                        <w:rPr>
                          <w:rFonts w:ascii="Arial" w:hAnsi="Arial" w:cs="Arial"/>
                        </w:rPr>
                      </w:pPr>
                    </w:p>
                    <w:p w:rsidR="004D79C3" w:rsidRPr="004454B2" w:rsidRDefault="004D79C3" w:rsidP="004D79C3">
                      <w:pPr>
                        <w:rPr>
                          <w:rFonts w:ascii="Arial" w:hAnsi="Arial" w:cs="Arial"/>
                        </w:rPr>
                      </w:pPr>
                      <w:r>
                        <w:rPr>
                          <w:rFonts w:ascii="Arial" w:hAnsi="Arial" w:cs="Arial"/>
                        </w:rPr>
                        <w:t xml:space="preserve"> </w:t>
                      </w:r>
                    </w:p>
                  </w:txbxContent>
                </v:textbox>
                <w10:wrap type="square" anchorx="page"/>
              </v:shape>
            </w:pict>
          </mc:Fallback>
        </mc:AlternateContent>
      </w:r>
    </w:p>
    <w:tbl>
      <w:tblPr>
        <w:tblpPr w:leftFromText="180" w:rightFromText="180" w:vertAnchor="text" w:horzAnchor="margin" w:tblpY="165"/>
        <w:tblW w:w="9084" w:type="dxa"/>
        <w:tblLook w:val="04A0" w:firstRow="1" w:lastRow="0" w:firstColumn="1" w:lastColumn="0" w:noHBand="0" w:noVBand="1"/>
      </w:tblPr>
      <w:tblGrid>
        <w:gridCol w:w="2316"/>
        <w:gridCol w:w="943"/>
        <w:gridCol w:w="1561"/>
        <w:gridCol w:w="1050"/>
        <w:gridCol w:w="836"/>
        <w:gridCol w:w="2378"/>
      </w:tblGrid>
      <w:tr w:rsidR="004D79C3" w:rsidRPr="00881BE1" w:rsidTr="000C1C3F">
        <w:trPr>
          <w:trHeight w:val="300"/>
        </w:trPr>
        <w:tc>
          <w:tcPr>
            <w:tcW w:w="2316" w:type="dxa"/>
            <w:tcBorders>
              <w:top w:val="nil"/>
              <w:left w:val="nil"/>
              <w:bottom w:val="nil"/>
              <w:right w:val="nil"/>
            </w:tcBorders>
            <w:shd w:val="clear" w:color="auto" w:fill="auto"/>
            <w:noWrap/>
            <w:vAlign w:val="bottom"/>
            <w:hideMark/>
          </w:tcPr>
          <w:p w:rsidR="004D79C3" w:rsidRPr="004D79C3" w:rsidRDefault="004D79C3" w:rsidP="000C1C3F">
            <w:pPr>
              <w:spacing w:after="0" w:line="240" w:lineRule="auto"/>
              <w:rPr>
                <w:rFonts w:ascii="Arial" w:eastAsia="Times New Roman" w:hAnsi="Arial" w:cs="Arial"/>
                <w:b/>
                <w:bCs/>
                <w:i/>
                <w:iCs/>
                <w:color w:val="000000"/>
                <w:lang w:val="nl-NL" w:eastAsia="en-GB"/>
              </w:rPr>
            </w:pPr>
          </w:p>
        </w:tc>
        <w:tc>
          <w:tcPr>
            <w:tcW w:w="943" w:type="dxa"/>
            <w:tcBorders>
              <w:top w:val="nil"/>
              <w:left w:val="nil"/>
              <w:bottom w:val="nil"/>
              <w:right w:val="nil"/>
            </w:tcBorders>
            <w:shd w:val="clear" w:color="auto" w:fill="auto"/>
            <w:noWrap/>
            <w:vAlign w:val="bottom"/>
            <w:hideMark/>
          </w:tcPr>
          <w:p w:rsidR="004D79C3" w:rsidRPr="00881BE1" w:rsidRDefault="004D79C3" w:rsidP="000C1C3F">
            <w:pPr>
              <w:spacing w:after="0" w:line="240" w:lineRule="auto"/>
              <w:rPr>
                <w:rFonts w:ascii="Arial" w:eastAsia="Times New Roman" w:hAnsi="Arial" w:cs="Arial"/>
                <w:b/>
                <w:bCs/>
                <w:iCs/>
                <w:color w:val="000000"/>
                <w:lang w:eastAsia="en-GB"/>
              </w:rPr>
            </w:pPr>
            <w:r w:rsidRPr="00881BE1">
              <w:rPr>
                <w:rFonts w:ascii="Arial" w:eastAsia="Times New Roman" w:hAnsi="Arial" w:cs="Arial"/>
                <w:b/>
                <w:bCs/>
                <w:iCs/>
                <w:color w:val="000000"/>
                <w:lang w:eastAsia="en-GB"/>
              </w:rPr>
              <w:t>Beef</w:t>
            </w:r>
          </w:p>
        </w:tc>
        <w:tc>
          <w:tcPr>
            <w:tcW w:w="1561" w:type="dxa"/>
            <w:tcBorders>
              <w:top w:val="nil"/>
              <w:left w:val="nil"/>
              <w:bottom w:val="nil"/>
              <w:right w:val="nil"/>
            </w:tcBorders>
            <w:shd w:val="clear" w:color="auto" w:fill="auto"/>
            <w:noWrap/>
            <w:vAlign w:val="bottom"/>
            <w:hideMark/>
          </w:tcPr>
          <w:p w:rsidR="004D79C3" w:rsidRPr="00881BE1" w:rsidRDefault="004D79C3" w:rsidP="000C1C3F">
            <w:pPr>
              <w:spacing w:after="0" w:line="240" w:lineRule="auto"/>
              <w:rPr>
                <w:rFonts w:ascii="Arial" w:eastAsia="Times New Roman" w:hAnsi="Arial" w:cs="Arial"/>
                <w:b/>
                <w:bCs/>
                <w:iCs/>
                <w:color w:val="000000"/>
                <w:lang w:eastAsia="en-GB"/>
              </w:rPr>
            </w:pPr>
            <w:proofErr w:type="spellStart"/>
            <w:r>
              <w:rPr>
                <w:rFonts w:ascii="Arial" w:eastAsia="Times New Roman" w:hAnsi="Arial" w:cs="Arial"/>
                <w:b/>
                <w:bCs/>
                <w:iCs/>
                <w:color w:val="000000"/>
                <w:lang w:eastAsia="en-GB"/>
              </w:rPr>
              <w:t>Pigmeat</w:t>
            </w:r>
            <w:proofErr w:type="spellEnd"/>
          </w:p>
        </w:tc>
        <w:tc>
          <w:tcPr>
            <w:tcW w:w="1050" w:type="dxa"/>
            <w:tcBorders>
              <w:top w:val="nil"/>
              <w:left w:val="nil"/>
              <w:bottom w:val="nil"/>
              <w:right w:val="nil"/>
            </w:tcBorders>
            <w:shd w:val="clear" w:color="auto" w:fill="auto"/>
            <w:noWrap/>
            <w:vAlign w:val="bottom"/>
            <w:hideMark/>
          </w:tcPr>
          <w:p w:rsidR="004D79C3" w:rsidRPr="00881BE1" w:rsidRDefault="004D79C3" w:rsidP="000C1C3F">
            <w:pPr>
              <w:spacing w:after="0" w:line="240" w:lineRule="auto"/>
              <w:rPr>
                <w:rFonts w:ascii="Arial" w:eastAsia="Times New Roman" w:hAnsi="Arial" w:cs="Arial"/>
                <w:b/>
                <w:bCs/>
                <w:iCs/>
                <w:color w:val="000000"/>
                <w:lang w:eastAsia="en-GB"/>
              </w:rPr>
            </w:pPr>
            <w:r w:rsidRPr="00881BE1">
              <w:rPr>
                <w:rFonts w:ascii="Arial" w:eastAsia="Times New Roman" w:hAnsi="Arial" w:cs="Arial"/>
                <w:b/>
                <w:bCs/>
                <w:iCs/>
                <w:color w:val="000000"/>
                <w:lang w:eastAsia="en-GB"/>
              </w:rPr>
              <w:t>Poultry</w:t>
            </w:r>
          </w:p>
        </w:tc>
        <w:tc>
          <w:tcPr>
            <w:tcW w:w="836" w:type="dxa"/>
            <w:tcBorders>
              <w:top w:val="nil"/>
              <w:left w:val="nil"/>
              <w:bottom w:val="nil"/>
              <w:right w:val="nil"/>
            </w:tcBorders>
            <w:shd w:val="clear" w:color="auto" w:fill="auto"/>
            <w:noWrap/>
            <w:vAlign w:val="bottom"/>
            <w:hideMark/>
          </w:tcPr>
          <w:p w:rsidR="004D79C3" w:rsidRPr="00881BE1" w:rsidRDefault="004D79C3" w:rsidP="000C1C3F">
            <w:pPr>
              <w:spacing w:after="0" w:line="240" w:lineRule="auto"/>
              <w:rPr>
                <w:rFonts w:ascii="Arial" w:eastAsia="Times New Roman" w:hAnsi="Arial" w:cs="Arial"/>
                <w:b/>
                <w:bCs/>
                <w:iCs/>
                <w:color w:val="000000"/>
                <w:lang w:eastAsia="en-GB"/>
              </w:rPr>
            </w:pPr>
            <w:r w:rsidRPr="00881BE1">
              <w:rPr>
                <w:rFonts w:ascii="Arial" w:eastAsia="Times New Roman" w:hAnsi="Arial" w:cs="Arial"/>
                <w:b/>
                <w:bCs/>
                <w:iCs/>
                <w:color w:val="000000"/>
                <w:lang w:eastAsia="en-GB"/>
              </w:rPr>
              <w:t>Lamb</w:t>
            </w:r>
          </w:p>
        </w:tc>
        <w:tc>
          <w:tcPr>
            <w:tcW w:w="2378" w:type="dxa"/>
            <w:tcBorders>
              <w:top w:val="nil"/>
              <w:left w:val="nil"/>
              <w:bottom w:val="nil"/>
              <w:right w:val="nil"/>
            </w:tcBorders>
            <w:shd w:val="clear" w:color="auto" w:fill="auto"/>
            <w:noWrap/>
            <w:vAlign w:val="bottom"/>
            <w:hideMark/>
          </w:tcPr>
          <w:p w:rsidR="004D79C3" w:rsidRPr="00881BE1" w:rsidRDefault="004D79C3" w:rsidP="000C1C3F">
            <w:pPr>
              <w:spacing w:after="0" w:line="240" w:lineRule="auto"/>
              <w:rPr>
                <w:rFonts w:ascii="Arial" w:eastAsia="Times New Roman" w:hAnsi="Arial" w:cs="Arial"/>
                <w:b/>
                <w:bCs/>
                <w:iCs/>
                <w:color w:val="000000"/>
                <w:lang w:eastAsia="en-GB"/>
              </w:rPr>
            </w:pPr>
            <w:r w:rsidRPr="009F2F84">
              <w:rPr>
                <w:rFonts w:ascii="Arial" w:hAnsi="Arial" w:cs="Arial"/>
                <w:b/>
              </w:rPr>
              <w:t>Quorn™</w:t>
            </w:r>
            <w:r>
              <w:rPr>
                <w:rFonts w:ascii="Arial" w:hAnsi="Arial" w:cs="Arial"/>
              </w:rPr>
              <w:t xml:space="preserve"> </w:t>
            </w:r>
            <w:r w:rsidRPr="00881BE1">
              <w:rPr>
                <w:rFonts w:ascii="Arial" w:eastAsia="Times New Roman" w:hAnsi="Arial" w:cs="Arial"/>
                <w:b/>
                <w:bCs/>
                <w:iCs/>
                <w:color w:val="000000"/>
                <w:lang w:eastAsia="en-GB"/>
              </w:rPr>
              <w:t>Mycoprotein</w:t>
            </w:r>
          </w:p>
        </w:tc>
      </w:tr>
      <w:tr w:rsidR="004D79C3" w:rsidRPr="00881BE1" w:rsidTr="000C1C3F">
        <w:trPr>
          <w:trHeight w:val="300"/>
        </w:trPr>
        <w:tc>
          <w:tcPr>
            <w:tcW w:w="2316" w:type="dxa"/>
            <w:tcBorders>
              <w:top w:val="nil"/>
              <w:left w:val="nil"/>
              <w:bottom w:val="nil"/>
              <w:right w:val="nil"/>
            </w:tcBorders>
            <w:shd w:val="clear" w:color="auto" w:fill="auto"/>
            <w:noWrap/>
            <w:vAlign w:val="bottom"/>
            <w:hideMark/>
          </w:tcPr>
          <w:p w:rsidR="004D79C3" w:rsidRPr="00881BE1" w:rsidRDefault="004D79C3" w:rsidP="000C1C3F">
            <w:pPr>
              <w:spacing w:after="0" w:line="240" w:lineRule="auto"/>
              <w:rPr>
                <w:rFonts w:ascii="Arial" w:eastAsia="Times New Roman" w:hAnsi="Arial" w:cs="Arial"/>
                <w:color w:val="000000"/>
                <w:lang w:eastAsia="en-GB"/>
              </w:rPr>
            </w:pPr>
            <w:r w:rsidRPr="00881BE1">
              <w:rPr>
                <w:rFonts w:ascii="Arial" w:eastAsia="Times New Roman" w:hAnsi="Arial" w:cs="Arial"/>
                <w:color w:val="000000"/>
                <w:lang w:eastAsia="en-GB"/>
              </w:rPr>
              <w:t xml:space="preserve">GHG </w:t>
            </w:r>
            <w:r>
              <w:rPr>
                <w:rFonts w:ascii="Arial" w:eastAsia="Times New Roman" w:hAnsi="Arial" w:cs="Arial"/>
                <w:color w:val="000000"/>
                <w:lang w:eastAsia="en-GB"/>
              </w:rPr>
              <w:t>intensity</w:t>
            </w:r>
            <w:r w:rsidRPr="00881BE1">
              <w:rPr>
                <w:rFonts w:ascii="Arial" w:eastAsia="Times New Roman" w:hAnsi="Arial" w:cs="Arial"/>
                <w:color w:val="000000"/>
                <w:lang w:eastAsia="en-GB"/>
              </w:rPr>
              <w:t xml:space="preserve"> (kgCO</w:t>
            </w:r>
            <w:r w:rsidRPr="00881BE1">
              <w:rPr>
                <w:rFonts w:ascii="Arial" w:eastAsia="Times New Roman" w:hAnsi="Arial" w:cs="Arial"/>
                <w:color w:val="000000"/>
                <w:vertAlign w:val="subscript"/>
                <w:lang w:eastAsia="en-GB"/>
              </w:rPr>
              <w:t>2</w:t>
            </w:r>
            <w:r w:rsidRPr="00881BE1">
              <w:rPr>
                <w:rFonts w:ascii="Arial" w:eastAsia="Times New Roman" w:hAnsi="Arial" w:cs="Arial"/>
                <w:color w:val="000000"/>
                <w:lang w:eastAsia="en-GB"/>
              </w:rPr>
              <w:t>ekg</w:t>
            </w:r>
            <w:r w:rsidRPr="00881BE1">
              <w:rPr>
                <w:rFonts w:ascii="Arial" w:eastAsia="Times New Roman" w:hAnsi="Arial" w:cs="Arial"/>
                <w:color w:val="000000"/>
                <w:vertAlign w:val="superscript"/>
                <w:lang w:eastAsia="en-GB"/>
              </w:rPr>
              <w:t>-1</w:t>
            </w:r>
            <w:r w:rsidRPr="00881BE1">
              <w:rPr>
                <w:rFonts w:ascii="Arial" w:eastAsia="Times New Roman" w:hAnsi="Arial" w:cs="Arial"/>
                <w:color w:val="000000"/>
                <w:lang w:eastAsia="en-GB"/>
              </w:rPr>
              <w:t xml:space="preserve"> product)</w:t>
            </w:r>
          </w:p>
        </w:tc>
        <w:tc>
          <w:tcPr>
            <w:tcW w:w="943" w:type="dxa"/>
            <w:tcBorders>
              <w:top w:val="nil"/>
              <w:left w:val="nil"/>
              <w:bottom w:val="nil"/>
              <w:right w:val="nil"/>
            </w:tcBorders>
            <w:shd w:val="clear" w:color="auto" w:fill="auto"/>
            <w:noWrap/>
            <w:vAlign w:val="bottom"/>
            <w:hideMark/>
          </w:tcPr>
          <w:p w:rsidR="004D79C3" w:rsidRPr="00881BE1" w:rsidRDefault="004D79C3" w:rsidP="000C1C3F">
            <w:pPr>
              <w:spacing w:after="0" w:line="240" w:lineRule="auto"/>
              <w:rPr>
                <w:rFonts w:ascii="Arial" w:eastAsia="Times New Roman" w:hAnsi="Arial" w:cs="Arial"/>
                <w:color w:val="000000"/>
                <w:lang w:eastAsia="en-GB"/>
              </w:rPr>
            </w:pPr>
            <w:r w:rsidRPr="00881BE1">
              <w:rPr>
                <w:rFonts w:ascii="Arial" w:eastAsia="Times New Roman" w:hAnsi="Arial" w:cs="Arial"/>
                <w:color w:val="000000"/>
                <w:lang w:eastAsia="en-GB"/>
              </w:rPr>
              <w:t>53.05</w:t>
            </w:r>
          </w:p>
        </w:tc>
        <w:tc>
          <w:tcPr>
            <w:tcW w:w="1561" w:type="dxa"/>
            <w:tcBorders>
              <w:top w:val="nil"/>
              <w:left w:val="nil"/>
              <w:bottom w:val="nil"/>
              <w:right w:val="nil"/>
            </w:tcBorders>
            <w:shd w:val="clear" w:color="auto" w:fill="auto"/>
            <w:noWrap/>
            <w:vAlign w:val="bottom"/>
            <w:hideMark/>
          </w:tcPr>
          <w:p w:rsidR="004D79C3" w:rsidRPr="00881BE1" w:rsidRDefault="004D79C3" w:rsidP="000C1C3F">
            <w:pPr>
              <w:spacing w:after="0" w:line="240" w:lineRule="auto"/>
              <w:rPr>
                <w:rFonts w:ascii="Arial" w:eastAsia="Times New Roman" w:hAnsi="Arial" w:cs="Arial"/>
                <w:color w:val="000000"/>
                <w:lang w:eastAsia="en-GB"/>
              </w:rPr>
            </w:pPr>
            <w:r w:rsidRPr="00881BE1">
              <w:rPr>
                <w:rFonts w:ascii="Arial" w:eastAsia="Times New Roman" w:hAnsi="Arial" w:cs="Arial"/>
                <w:color w:val="000000"/>
                <w:lang w:eastAsia="en-GB"/>
              </w:rPr>
              <w:t>6.08</w:t>
            </w:r>
          </w:p>
        </w:tc>
        <w:tc>
          <w:tcPr>
            <w:tcW w:w="1050" w:type="dxa"/>
            <w:tcBorders>
              <w:top w:val="nil"/>
              <w:left w:val="nil"/>
              <w:bottom w:val="nil"/>
              <w:right w:val="nil"/>
            </w:tcBorders>
            <w:shd w:val="clear" w:color="auto" w:fill="auto"/>
            <w:noWrap/>
            <w:vAlign w:val="bottom"/>
            <w:hideMark/>
          </w:tcPr>
          <w:p w:rsidR="004D79C3" w:rsidRPr="00881BE1" w:rsidRDefault="004D79C3" w:rsidP="000C1C3F">
            <w:pPr>
              <w:spacing w:after="0" w:line="240" w:lineRule="auto"/>
              <w:rPr>
                <w:rFonts w:ascii="Arial" w:eastAsia="Times New Roman" w:hAnsi="Arial" w:cs="Arial"/>
                <w:color w:val="000000"/>
                <w:lang w:eastAsia="en-GB"/>
              </w:rPr>
            </w:pPr>
            <w:r w:rsidRPr="00881BE1">
              <w:rPr>
                <w:rFonts w:ascii="Arial" w:eastAsia="Times New Roman" w:hAnsi="Arial" w:cs="Arial"/>
                <w:color w:val="000000"/>
                <w:lang w:eastAsia="en-GB"/>
              </w:rPr>
              <w:t>5.76</w:t>
            </w:r>
          </w:p>
        </w:tc>
        <w:tc>
          <w:tcPr>
            <w:tcW w:w="836" w:type="dxa"/>
            <w:tcBorders>
              <w:top w:val="nil"/>
              <w:left w:val="nil"/>
              <w:bottom w:val="nil"/>
              <w:right w:val="nil"/>
            </w:tcBorders>
            <w:shd w:val="clear" w:color="auto" w:fill="auto"/>
            <w:noWrap/>
            <w:vAlign w:val="bottom"/>
            <w:hideMark/>
          </w:tcPr>
          <w:p w:rsidR="004D79C3" w:rsidRPr="00881BE1" w:rsidRDefault="004D79C3" w:rsidP="000C1C3F">
            <w:pPr>
              <w:spacing w:after="0" w:line="240" w:lineRule="auto"/>
              <w:rPr>
                <w:rFonts w:ascii="Arial" w:eastAsia="Times New Roman" w:hAnsi="Arial" w:cs="Arial"/>
                <w:color w:val="000000"/>
                <w:lang w:eastAsia="en-GB"/>
              </w:rPr>
            </w:pPr>
            <w:r w:rsidRPr="00881BE1">
              <w:rPr>
                <w:rFonts w:ascii="Arial" w:eastAsia="Times New Roman" w:hAnsi="Arial" w:cs="Arial"/>
                <w:color w:val="000000"/>
                <w:lang w:eastAsia="en-GB"/>
              </w:rPr>
              <w:t>25.58</w:t>
            </w:r>
          </w:p>
        </w:tc>
        <w:tc>
          <w:tcPr>
            <w:tcW w:w="2378" w:type="dxa"/>
            <w:tcBorders>
              <w:top w:val="nil"/>
              <w:left w:val="nil"/>
              <w:bottom w:val="nil"/>
              <w:right w:val="nil"/>
            </w:tcBorders>
            <w:shd w:val="clear" w:color="auto" w:fill="auto"/>
            <w:noWrap/>
            <w:vAlign w:val="bottom"/>
            <w:hideMark/>
          </w:tcPr>
          <w:p w:rsidR="004D79C3" w:rsidRPr="00881BE1" w:rsidRDefault="004D79C3" w:rsidP="000C1C3F">
            <w:pPr>
              <w:spacing w:after="0" w:line="240" w:lineRule="auto"/>
              <w:rPr>
                <w:rFonts w:ascii="Arial" w:eastAsia="Times New Roman" w:hAnsi="Arial" w:cs="Arial"/>
                <w:color w:val="000000"/>
                <w:lang w:eastAsia="en-GB"/>
              </w:rPr>
            </w:pPr>
            <w:r w:rsidRPr="00881BE1">
              <w:rPr>
                <w:rFonts w:ascii="Arial" w:eastAsia="Times New Roman" w:hAnsi="Arial" w:cs="Arial"/>
                <w:color w:val="000000"/>
                <w:lang w:eastAsia="en-GB"/>
              </w:rPr>
              <w:t>5.6</w:t>
            </w:r>
          </w:p>
        </w:tc>
      </w:tr>
    </w:tbl>
    <w:p w:rsidR="004D79C3" w:rsidRDefault="004D79C3" w:rsidP="004D79C3">
      <w:pPr>
        <w:rPr>
          <w:rFonts w:ascii="Arial" w:hAnsi="Arial" w:cs="Arial"/>
          <w:b/>
          <w:sz w:val="28"/>
        </w:rPr>
      </w:pPr>
    </w:p>
    <w:tbl>
      <w:tblPr>
        <w:tblpPr w:leftFromText="180" w:rightFromText="180" w:vertAnchor="page" w:horzAnchor="margin" w:tblpXSpec="center" w:tblpY="7827"/>
        <w:tblW w:w="6564" w:type="dxa"/>
        <w:tblLook w:val="04A0" w:firstRow="1" w:lastRow="0" w:firstColumn="1" w:lastColumn="0" w:noHBand="0" w:noVBand="1"/>
      </w:tblPr>
      <w:tblGrid>
        <w:gridCol w:w="1976"/>
        <w:gridCol w:w="287"/>
        <w:gridCol w:w="976"/>
        <w:gridCol w:w="284"/>
        <w:gridCol w:w="1159"/>
        <w:gridCol w:w="282"/>
        <w:gridCol w:w="1319"/>
        <w:gridCol w:w="281"/>
      </w:tblGrid>
      <w:tr w:rsidR="004D79C3" w:rsidRPr="002C0DAA" w:rsidTr="000C1C3F">
        <w:trPr>
          <w:gridAfter w:val="1"/>
          <w:wAfter w:w="281" w:type="dxa"/>
          <w:trHeight w:val="300"/>
        </w:trPr>
        <w:tc>
          <w:tcPr>
            <w:tcW w:w="1976" w:type="dxa"/>
            <w:shd w:val="clear" w:color="auto" w:fill="auto"/>
            <w:noWrap/>
            <w:vAlign w:val="bottom"/>
            <w:hideMark/>
          </w:tcPr>
          <w:p w:rsidR="004D79C3" w:rsidRPr="002C0DAA" w:rsidRDefault="004D79C3" w:rsidP="000C1C3F">
            <w:pPr>
              <w:spacing w:after="0" w:line="240" w:lineRule="auto"/>
              <w:jc w:val="center"/>
              <w:rPr>
                <w:rFonts w:ascii="Arial" w:eastAsia="Times New Roman" w:hAnsi="Arial" w:cs="Arial"/>
                <w:b/>
                <w:bCs/>
                <w:iCs/>
                <w:color w:val="000000"/>
                <w:lang w:eastAsia="en-GB"/>
              </w:rPr>
            </w:pPr>
            <w:r w:rsidRPr="002C0DAA">
              <w:rPr>
                <w:rFonts w:ascii="Arial" w:eastAsia="Times New Roman" w:hAnsi="Arial" w:cs="Arial"/>
                <w:b/>
                <w:bCs/>
                <w:iCs/>
                <w:color w:val="000000"/>
                <w:lang w:eastAsia="en-GB"/>
              </w:rPr>
              <w:t>Risk factor</w:t>
            </w:r>
          </w:p>
        </w:tc>
        <w:tc>
          <w:tcPr>
            <w:tcW w:w="1263" w:type="dxa"/>
            <w:gridSpan w:val="2"/>
            <w:shd w:val="clear" w:color="auto" w:fill="auto"/>
            <w:noWrap/>
            <w:vAlign w:val="bottom"/>
            <w:hideMark/>
          </w:tcPr>
          <w:p w:rsidR="004D79C3" w:rsidRPr="002C0DAA" w:rsidRDefault="004D79C3" w:rsidP="000C1C3F">
            <w:pPr>
              <w:spacing w:after="0" w:line="240" w:lineRule="auto"/>
              <w:rPr>
                <w:rFonts w:ascii="Arial" w:eastAsia="Times New Roman" w:hAnsi="Arial" w:cs="Arial"/>
                <w:b/>
                <w:bCs/>
                <w:iCs/>
                <w:color w:val="000000"/>
                <w:lang w:eastAsia="en-GB"/>
              </w:rPr>
            </w:pPr>
            <w:r w:rsidRPr="002C0DAA">
              <w:rPr>
                <w:rFonts w:ascii="Arial" w:eastAsia="Times New Roman" w:hAnsi="Arial" w:cs="Arial"/>
                <w:b/>
                <w:bCs/>
                <w:iCs/>
                <w:color w:val="000000"/>
                <w:lang w:eastAsia="en-GB"/>
              </w:rPr>
              <w:t xml:space="preserve">   CHD</w:t>
            </w:r>
          </w:p>
        </w:tc>
        <w:tc>
          <w:tcPr>
            <w:tcW w:w="1443" w:type="dxa"/>
            <w:gridSpan w:val="2"/>
            <w:shd w:val="clear" w:color="auto" w:fill="auto"/>
            <w:noWrap/>
            <w:vAlign w:val="bottom"/>
            <w:hideMark/>
          </w:tcPr>
          <w:p w:rsidR="004D79C3" w:rsidRPr="002C0DAA" w:rsidRDefault="004D79C3" w:rsidP="000C1C3F">
            <w:pPr>
              <w:spacing w:after="0" w:line="240" w:lineRule="auto"/>
              <w:rPr>
                <w:rFonts w:ascii="Arial" w:eastAsia="Times New Roman" w:hAnsi="Arial" w:cs="Arial"/>
                <w:b/>
                <w:bCs/>
                <w:iCs/>
                <w:color w:val="000000"/>
                <w:lang w:eastAsia="en-GB"/>
              </w:rPr>
            </w:pPr>
            <w:r w:rsidRPr="002C0DAA">
              <w:rPr>
                <w:rFonts w:ascii="Arial" w:eastAsia="Times New Roman" w:hAnsi="Arial" w:cs="Arial"/>
                <w:b/>
                <w:bCs/>
                <w:iCs/>
                <w:color w:val="000000"/>
                <w:lang w:eastAsia="en-GB"/>
              </w:rPr>
              <w:t xml:space="preserve">    Stroke</w:t>
            </w:r>
          </w:p>
        </w:tc>
        <w:tc>
          <w:tcPr>
            <w:tcW w:w="1601" w:type="dxa"/>
            <w:gridSpan w:val="2"/>
            <w:shd w:val="clear" w:color="auto" w:fill="auto"/>
            <w:noWrap/>
            <w:vAlign w:val="bottom"/>
            <w:hideMark/>
          </w:tcPr>
          <w:p w:rsidR="004D79C3" w:rsidRPr="002C0DAA" w:rsidRDefault="004D79C3" w:rsidP="000C1C3F">
            <w:pPr>
              <w:spacing w:after="0" w:line="240" w:lineRule="auto"/>
              <w:rPr>
                <w:rFonts w:ascii="Arial" w:eastAsia="Times New Roman" w:hAnsi="Arial" w:cs="Arial"/>
                <w:b/>
                <w:bCs/>
                <w:iCs/>
                <w:color w:val="000000"/>
                <w:lang w:eastAsia="en-GB"/>
              </w:rPr>
            </w:pPr>
            <w:r w:rsidRPr="002C0DAA">
              <w:rPr>
                <w:rFonts w:ascii="Arial" w:eastAsia="Times New Roman" w:hAnsi="Arial" w:cs="Arial"/>
                <w:b/>
                <w:bCs/>
                <w:iCs/>
                <w:color w:val="000000"/>
                <w:lang w:eastAsia="en-GB"/>
              </w:rPr>
              <w:t xml:space="preserve">   Cancer</w:t>
            </w:r>
          </w:p>
        </w:tc>
      </w:tr>
      <w:tr w:rsidR="004D79C3" w:rsidRPr="002C0DAA" w:rsidTr="000C1C3F">
        <w:trPr>
          <w:trHeight w:val="300"/>
        </w:trPr>
        <w:tc>
          <w:tcPr>
            <w:tcW w:w="2263" w:type="dxa"/>
            <w:gridSpan w:val="2"/>
            <w:shd w:val="clear" w:color="auto" w:fill="auto"/>
            <w:noWrap/>
            <w:vAlign w:val="bottom"/>
            <w:hideMark/>
          </w:tcPr>
          <w:p w:rsidR="004D79C3" w:rsidRPr="002C0DAA" w:rsidRDefault="004D79C3" w:rsidP="000C1C3F">
            <w:pPr>
              <w:spacing w:after="0" w:line="240" w:lineRule="auto"/>
              <w:rPr>
                <w:rFonts w:ascii="Arial" w:eastAsia="Times New Roman" w:hAnsi="Arial" w:cs="Arial"/>
                <w:bCs/>
                <w:iCs/>
                <w:color w:val="000000"/>
                <w:lang w:eastAsia="en-GB"/>
              </w:rPr>
            </w:pPr>
            <w:r w:rsidRPr="002C0DAA">
              <w:rPr>
                <w:rFonts w:ascii="Arial" w:eastAsia="Times New Roman" w:hAnsi="Arial" w:cs="Arial"/>
                <w:bCs/>
                <w:iCs/>
                <w:color w:val="000000"/>
                <w:lang w:eastAsia="en-GB"/>
              </w:rPr>
              <w:t>Meat consumption</w:t>
            </w:r>
          </w:p>
        </w:tc>
        <w:tc>
          <w:tcPr>
            <w:tcW w:w="1260" w:type="dxa"/>
            <w:gridSpan w:val="2"/>
            <w:shd w:val="clear" w:color="auto" w:fill="auto"/>
            <w:noWrap/>
            <w:vAlign w:val="bottom"/>
            <w:hideMark/>
          </w:tcPr>
          <w:p w:rsidR="004D79C3" w:rsidRPr="002C0DAA" w:rsidRDefault="004D79C3" w:rsidP="000C1C3F">
            <w:pPr>
              <w:spacing w:after="0" w:line="240" w:lineRule="auto"/>
              <w:rPr>
                <w:rFonts w:ascii="Arial" w:eastAsia="Times New Roman" w:hAnsi="Arial" w:cs="Arial"/>
                <w:bCs/>
                <w:iCs/>
                <w:color w:val="000000"/>
                <w:lang w:eastAsia="en-GB"/>
              </w:rPr>
            </w:pPr>
            <w:r w:rsidRPr="002C0DAA">
              <w:rPr>
                <w:rFonts w:ascii="Arial" w:eastAsia="Times New Roman" w:hAnsi="Arial" w:cs="Arial"/>
                <w:bCs/>
                <w:iCs/>
                <w:color w:val="000000"/>
                <w:lang w:eastAsia="en-GB"/>
              </w:rPr>
              <w:t>1.25</w:t>
            </w:r>
          </w:p>
        </w:tc>
        <w:tc>
          <w:tcPr>
            <w:tcW w:w="1441" w:type="dxa"/>
            <w:gridSpan w:val="2"/>
            <w:shd w:val="clear" w:color="auto" w:fill="auto"/>
            <w:noWrap/>
            <w:vAlign w:val="bottom"/>
            <w:hideMark/>
          </w:tcPr>
          <w:p w:rsidR="004D79C3" w:rsidRPr="002C0DAA" w:rsidRDefault="004D79C3" w:rsidP="000C1C3F">
            <w:pPr>
              <w:spacing w:after="0" w:line="240" w:lineRule="auto"/>
              <w:rPr>
                <w:rFonts w:ascii="Arial" w:eastAsia="Times New Roman" w:hAnsi="Arial" w:cs="Arial"/>
                <w:bCs/>
                <w:iCs/>
                <w:color w:val="000000"/>
                <w:lang w:eastAsia="en-GB"/>
              </w:rPr>
            </w:pPr>
            <w:r w:rsidRPr="002C0DAA">
              <w:rPr>
                <w:rFonts w:ascii="Arial" w:eastAsia="Times New Roman" w:hAnsi="Arial" w:cs="Arial"/>
                <w:bCs/>
                <w:iCs/>
                <w:color w:val="000000"/>
                <w:lang w:eastAsia="en-GB"/>
              </w:rPr>
              <w:t>1.1</w:t>
            </w:r>
          </w:p>
        </w:tc>
        <w:tc>
          <w:tcPr>
            <w:tcW w:w="1600" w:type="dxa"/>
            <w:gridSpan w:val="2"/>
            <w:shd w:val="clear" w:color="auto" w:fill="auto"/>
            <w:noWrap/>
            <w:vAlign w:val="bottom"/>
            <w:hideMark/>
          </w:tcPr>
          <w:p w:rsidR="004D79C3" w:rsidRPr="002C0DAA" w:rsidRDefault="004D79C3" w:rsidP="000C1C3F">
            <w:pPr>
              <w:spacing w:after="0" w:line="240" w:lineRule="auto"/>
              <w:rPr>
                <w:rFonts w:ascii="Arial" w:eastAsia="Times New Roman" w:hAnsi="Arial" w:cs="Arial"/>
                <w:bCs/>
                <w:iCs/>
                <w:color w:val="000000"/>
                <w:lang w:eastAsia="en-GB"/>
              </w:rPr>
            </w:pPr>
            <w:r w:rsidRPr="002C0DAA">
              <w:rPr>
                <w:rFonts w:ascii="Arial" w:eastAsia="Times New Roman" w:hAnsi="Arial" w:cs="Arial"/>
                <w:bCs/>
                <w:iCs/>
                <w:color w:val="000000"/>
                <w:lang w:eastAsia="en-GB"/>
              </w:rPr>
              <w:t>1.16</w:t>
            </w:r>
          </w:p>
        </w:tc>
      </w:tr>
      <w:tr w:rsidR="004D79C3" w:rsidRPr="002C0DAA" w:rsidTr="000C1C3F">
        <w:trPr>
          <w:trHeight w:val="300"/>
        </w:trPr>
        <w:tc>
          <w:tcPr>
            <w:tcW w:w="2263" w:type="dxa"/>
            <w:gridSpan w:val="2"/>
            <w:shd w:val="clear" w:color="auto" w:fill="auto"/>
            <w:noWrap/>
            <w:vAlign w:val="bottom"/>
            <w:hideMark/>
          </w:tcPr>
          <w:p w:rsidR="004D79C3" w:rsidRPr="002C0DAA" w:rsidRDefault="004D79C3" w:rsidP="000C1C3F">
            <w:pPr>
              <w:spacing w:after="0" w:line="240" w:lineRule="auto"/>
              <w:rPr>
                <w:rFonts w:ascii="Arial" w:eastAsia="Times New Roman" w:hAnsi="Arial" w:cs="Arial"/>
                <w:bCs/>
                <w:iCs/>
                <w:color w:val="000000"/>
                <w:lang w:eastAsia="en-GB"/>
              </w:rPr>
            </w:pPr>
            <w:r w:rsidRPr="002C0DAA">
              <w:rPr>
                <w:rFonts w:ascii="Arial" w:eastAsia="Times New Roman" w:hAnsi="Arial" w:cs="Arial"/>
                <w:bCs/>
                <w:iCs/>
                <w:color w:val="000000"/>
                <w:lang w:eastAsia="en-GB"/>
              </w:rPr>
              <w:t>Overweight</w:t>
            </w:r>
          </w:p>
        </w:tc>
        <w:tc>
          <w:tcPr>
            <w:tcW w:w="1260" w:type="dxa"/>
            <w:gridSpan w:val="2"/>
            <w:shd w:val="clear" w:color="auto" w:fill="auto"/>
            <w:noWrap/>
            <w:vAlign w:val="bottom"/>
            <w:hideMark/>
          </w:tcPr>
          <w:p w:rsidR="004D79C3" w:rsidRPr="002C0DAA" w:rsidRDefault="004D79C3" w:rsidP="000C1C3F">
            <w:pPr>
              <w:spacing w:after="0" w:line="240" w:lineRule="auto"/>
              <w:rPr>
                <w:rFonts w:ascii="Arial" w:eastAsia="Times New Roman" w:hAnsi="Arial" w:cs="Arial"/>
                <w:bCs/>
                <w:iCs/>
                <w:color w:val="000000"/>
                <w:lang w:eastAsia="en-GB"/>
              </w:rPr>
            </w:pPr>
            <w:r w:rsidRPr="002C0DAA">
              <w:rPr>
                <w:rFonts w:ascii="Arial" w:eastAsia="Times New Roman" w:hAnsi="Arial" w:cs="Arial"/>
                <w:bCs/>
                <w:iCs/>
                <w:color w:val="000000"/>
                <w:lang w:eastAsia="en-GB"/>
              </w:rPr>
              <w:t>1.31</w:t>
            </w:r>
          </w:p>
        </w:tc>
        <w:tc>
          <w:tcPr>
            <w:tcW w:w="1441" w:type="dxa"/>
            <w:gridSpan w:val="2"/>
            <w:shd w:val="clear" w:color="auto" w:fill="auto"/>
            <w:noWrap/>
            <w:vAlign w:val="bottom"/>
            <w:hideMark/>
          </w:tcPr>
          <w:p w:rsidR="004D79C3" w:rsidRPr="002C0DAA" w:rsidRDefault="004D79C3" w:rsidP="000C1C3F">
            <w:pPr>
              <w:spacing w:after="0" w:line="240" w:lineRule="auto"/>
              <w:rPr>
                <w:rFonts w:ascii="Arial" w:eastAsia="Times New Roman" w:hAnsi="Arial" w:cs="Arial"/>
                <w:bCs/>
                <w:iCs/>
                <w:color w:val="000000"/>
                <w:lang w:eastAsia="en-GB"/>
              </w:rPr>
            </w:pPr>
            <w:r w:rsidRPr="002C0DAA">
              <w:rPr>
                <w:rFonts w:ascii="Arial" w:eastAsia="Times New Roman" w:hAnsi="Arial" w:cs="Arial"/>
                <w:bCs/>
                <w:iCs/>
                <w:color w:val="000000"/>
                <w:lang w:eastAsia="en-GB"/>
              </w:rPr>
              <w:t>1.07</w:t>
            </w:r>
          </w:p>
        </w:tc>
        <w:tc>
          <w:tcPr>
            <w:tcW w:w="1600" w:type="dxa"/>
            <w:gridSpan w:val="2"/>
            <w:shd w:val="clear" w:color="auto" w:fill="auto"/>
            <w:noWrap/>
            <w:vAlign w:val="bottom"/>
            <w:hideMark/>
          </w:tcPr>
          <w:p w:rsidR="004D79C3" w:rsidRPr="002C0DAA" w:rsidRDefault="004D79C3" w:rsidP="000C1C3F">
            <w:pPr>
              <w:spacing w:after="0" w:line="240" w:lineRule="auto"/>
              <w:rPr>
                <w:rFonts w:ascii="Arial" w:eastAsia="Times New Roman" w:hAnsi="Arial" w:cs="Arial"/>
                <w:bCs/>
                <w:iCs/>
                <w:color w:val="000000"/>
                <w:lang w:eastAsia="en-GB"/>
              </w:rPr>
            </w:pPr>
            <w:r w:rsidRPr="002C0DAA">
              <w:rPr>
                <w:rFonts w:ascii="Arial" w:eastAsia="Times New Roman" w:hAnsi="Arial" w:cs="Arial"/>
                <w:bCs/>
                <w:iCs/>
                <w:color w:val="000000"/>
                <w:lang w:eastAsia="en-GB"/>
              </w:rPr>
              <w:t>1.1</w:t>
            </w:r>
          </w:p>
        </w:tc>
      </w:tr>
      <w:tr w:rsidR="004D79C3" w:rsidRPr="002C0DAA" w:rsidTr="000C1C3F">
        <w:trPr>
          <w:trHeight w:val="300"/>
        </w:trPr>
        <w:tc>
          <w:tcPr>
            <w:tcW w:w="2263" w:type="dxa"/>
            <w:gridSpan w:val="2"/>
            <w:shd w:val="clear" w:color="auto" w:fill="auto"/>
            <w:noWrap/>
            <w:vAlign w:val="bottom"/>
            <w:hideMark/>
          </w:tcPr>
          <w:p w:rsidR="004D79C3" w:rsidRPr="002C0DAA" w:rsidRDefault="004D79C3" w:rsidP="000C1C3F">
            <w:pPr>
              <w:spacing w:after="0" w:line="240" w:lineRule="auto"/>
              <w:rPr>
                <w:rFonts w:ascii="Arial" w:eastAsia="Times New Roman" w:hAnsi="Arial" w:cs="Arial"/>
                <w:bCs/>
                <w:iCs/>
                <w:color w:val="000000"/>
                <w:lang w:eastAsia="en-GB"/>
              </w:rPr>
            </w:pPr>
            <w:r w:rsidRPr="002C0DAA">
              <w:rPr>
                <w:rFonts w:ascii="Arial" w:eastAsia="Times New Roman" w:hAnsi="Arial" w:cs="Arial"/>
                <w:bCs/>
                <w:iCs/>
                <w:color w:val="000000"/>
                <w:lang w:eastAsia="en-GB"/>
              </w:rPr>
              <w:t>Obese</w:t>
            </w:r>
          </w:p>
        </w:tc>
        <w:tc>
          <w:tcPr>
            <w:tcW w:w="1260" w:type="dxa"/>
            <w:gridSpan w:val="2"/>
            <w:shd w:val="clear" w:color="auto" w:fill="auto"/>
            <w:noWrap/>
            <w:vAlign w:val="bottom"/>
            <w:hideMark/>
          </w:tcPr>
          <w:p w:rsidR="004D79C3" w:rsidRPr="002C0DAA" w:rsidRDefault="004D79C3" w:rsidP="000C1C3F">
            <w:pPr>
              <w:spacing w:after="0" w:line="240" w:lineRule="auto"/>
              <w:rPr>
                <w:rFonts w:ascii="Arial" w:eastAsia="Times New Roman" w:hAnsi="Arial" w:cs="Arial"/>
                <w:bCs/>
                <w:iCs/>
                <w:color w:val="000000"/>
                <w:lang w:eastAsia="en-GB"/>
              </w:rPr>
            </w:pPr>
            <w:r w:rsidRPr="002C0DAA">
              <w:rPr>
                <w:rFonts w:ascii="Arial" w:eastAsia="Times New Roman" w:hAnsi="Arial" w:cs="Arial"/>
                <w:bCs/>
                <w:iCs/>
                <w:color w:val="000000"/>
                <w:lang w:eastAsia="en-GB"/>
              </w:rPr>
              <w:t>1.78</w:t>
            </w:r>
          </w:p>
        </w:tc>
        <w:tc>
          <w:tcPr>
            <w:tcW w:w="1441" w:type="dxa"/>
            <w:gridSpan w:val="2"/>
            <w:shd w:val="clear" w:color="auto" w:fill="auto"/>
            <w:noWrap/>
            <w:vAlign w:val="bottom"/>
            <w:hideMark/>
          </w:tcPr>
          <w:p w:rsidR="004D79C3" w:rsidRPr="002C0DAA" w:rsidRDefault="004D79C3" w:rsidP="000C1C3F">
            <w:pPr>
              <w:spacing w:after="0" w:line="240" w:lineRule="auto"/>
              <w:rPr>
                <w:rFonts w:ascii="Arial" w:eastAsia="Times New Roman" w:hAnsi="Arial" w:cs="Arial"/>
                <w:bCs/>
                <w:iCs/>
                <w:color w:val="000000"/>
                <w:lang w:eastAsia="en-GB"/>
              </w:rPr>
            </w:pPr>
            <w:r w:rsidRPr="002C0DAA">
              <w:rPr>
                <w:rFonts w:ascii="Arial" w:eastAsia="Times New Roman" w:hAnsi="Arial" w:cs="Arial"/>
                <w:bCs/>
                <w:iCs/>
                <w:color w:val="000000"/>
                <w:lang w:eastAsia="en-GB"/>
              </w:rPr>
              <w:t>1.55</w:t>
            </w:r>
          </w:p>
        </w:tc>
        <w:tc>
          <w:tcPr>
            <w:tcW w:w="1600" w:type="dxa"/>
            <w:gridSpan w:val="2"/>
            <w:shd w:val="clear" w:color="auto" w:fill="auto"/>
            <w:noWrap/>
            <w:vAlign w:val="bottom"/>
            <w:hideMark/>
          </w:tcPr>
          <w:p w:rsidR="004D79C3" w:rsidRPr="002C0DAA" w:rsidRDefault="004D79C3" w:rsidP="000C1C3F">
            <w:pPr>
              <w:spacing w:after="0" w:line="240" w:lineRule="auto"/>
              <w:rPr>
                <w:rFonts w:ascii="Arial" w:eastAsia="Times New Roman" w:hAnsi="Arial" w:cs="Arial"/>
                <w:bCs/>
                <w:iCs/>
                <w:color w:val="000000"/>
                <w:lang w:eastAsia="en-GB"/>
              </w:rPr>
            </w:pPr>
            <w:r w:rsidRPr="002C0DAA">
              <w:rPr>
                <w:rFonts w:ascii="Arial" w:eastAsia="Times New Roman" w:hAnsi="Arial" w:cs="Arial"/>
                <w:bCs/>
                <w:iCs/>
                <w:color w:val="000000"/>
                <w:lang w:eastAsia="en-GB"/>
              </w:rPr>
              <w:t>1.4</w:t>
            </w:r>
          </w:p>
        </w:tc>
      </w:tr>
    </w:tbl>
    <w:p w:rsidR="004D79C3" w:rsidRDefault="004D79C3" w:rsidP="004D79C3">
      <w:pPr>
        <w:rPr>
          <w:rFonts w:ascii="Arial" w:hAnsi="Arial" w:cs="Arial"/>
          <w:b/>
          <w:sz w:val="28"/>
        </w:rPr>
      </w:pPr>
    </w:p>
    <w:p w:rsidR="004D79C3" w:rsidRDefault="004D79C3" w:rsidP="004D79C3">
      <w:pPr>
        <w:rPr>
          <w:rFonts w:ascii="Arial" w:hAnsi="Arial" w:cs="Arial"/>
          <w:b/>
          <w:sz w:val="28"/>
        </w:rPr>
      </w:pPr>
    </w:p>
    <w:p w:rsidR="004D79C3" w:rsidRDefault="004D79C3" w:rsidP="004D79C3">
      <w:pPr>
        <w:rPr>
          <w:rFonts w:ascii="Arial" w:hAnsi="Arial" w:cs="Arial"/>
          <w:b/>
          <w:sz w:val="28"/>
        </w:rPr>
      </w:pPr>
      <w:r>
        <w:rPr>
          <w:noProof/>
          <w:lang w:val="en-US"/>
        </w:rPr>
        <mc:AlternateContent>
          <mc:Choice Requires="wps">
            <w:drawing>
              <wp:anchor distT="45720" distB="45720" distL="114300" distR="114300" simplePos="0" relativeHeight="251663360" behindDoc="0" locked="0" layoutInCell="1" allowOverlap="1" wp14:anchorId="6BDA0B38" wp14:editId="26ED54F0">
                <wp:simplePos x="0" y="0"/>
                <wp:positionH relativeFrom="margin">
                  <wp:posOffset>-710123</wp:posOffset>
                </wp:positionH>
                <wp:positionV relativeFrom="paragraph">
                  <wp:posOffset>702006</wp:posOffset>
                </wp:positionV>
                <wp:extent cx="7294880" cy="600075"/>
                <wp:effectExtent l="0" t="0" r="127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4880" cy="600075"/>
                        </a:xfrm>
                        <a:prstGeom prst="rect">
                          <a:avLst/>
                        </a:prstGeom>
                        <a:solidFill>
                          <a:srgbClr val="FFFFFF"/>
                        </a:solidFill>
                        <a:ln w="9525">
                          <a:noFill/>
                          <a:miter lim="800000"/>
                          <a:headEnd/>
                          <a:tailEnd/>
                        </a:ln>
                      </wps:spPr>
                      <wps:txbx>
                        <w:txbxContent>
                          <w:p w:rsidR="004D79C3" w:rsidRPr="004454B2" w:rsidRDefault="004D79C3" w:rsidP="004D79C3">
                            <w:pPr>
                              <w:spacing w:line="480" w:lineRule="auto"/>
                              <w:rPr>
                                <w:rFonts w:ascii="Arial" w:hAnsi="Arial" w:cs="Arial"/>
                              </w:rPr>
                            </w:pPr>
                            <w:r w:rsidRPr="0073113B">
                              <w:rPr>
                                <w:rFonts w:ascii="Arial" w:hAnsi="Arial" w:cs="Arial"/>
                                <w:b/>
                                <w:sz w:val="20"/>
                              </w:rPr>
                              <w:t xml:space="preserve">Table </w:t>
                            </w:r>
                            <w:r>
                              <w:rPr>
                                <w:rFonts w:ascii="Arial" w:hAnsi="Arial" w:cs="Arial"/>
                                <w:b/>
                                <w:sz w:val="20"/>
                              </w:rPr>
                              <w:t>B4</w:t>
                            </w:r>
                            <w:r w:rsidRPr="0073113B">
                              <w:rPr>
                                <w:rFonts w:ascii="Arial" w:hAnsi="Arial" w:cs="Arial"/>
                                <w:b/>
                                <w:sz w:val="20"/>
                              </w:rPr>
                              <w:t xml:space="preserve">: </w:t>
                            </w:r>
                            <w:r>
                              <w:rPr>
                                <w:rFonts w:ascii="Arial" w:hAnsi="Arial" w:cs="Arial"/>
                                <w:b/>
                                <w:sz w:val="20"/>
                              </w:rPr>
                              <w:t>Relative Risk (RR) parameters for coronary heart disease (CHD), stroke and cancer (forms related to meat consumption and obesity) by factor</w:t>
                            </w:r>
                            <w:r w:rsidRPr="0073113B">
                              <w:rPr>
                                <w:rFonts w:ascii="Arial" w:hAnsi="Arial" w:cs="Arial"/>
                                <w:b/>
                                <w:sz w:val="20"/>
                              </w:rPr>
                              <w:t xml:space="preserve">. </w:t>
                            </w:r>
                          </w:p>
                          <w:p w:rsidR="004D79C3" w:rsidRPr="004454B2" w:rsidRDefault="004D79C3" w:rsidP="004D79C3">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A0B38" id="Text Box 17" o:spid="_x0000_s1030" type="#_x0000_t202" style="position:absolute;margin-left:-55.9pt;margin-top:55.3pt;width:574.4pt;height:4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" stroked="f">
                <v:textbox>
                  <w:txbxContent>
                    <w:p w:rsidR="004D79C3" w:rsidRPr="004454B2" w:rsidRDefault="004D79C3" w:rsidP="004D79C3">
                      <w:pPr>
                        <w:spacing w:line="480" w:lineRule="auto"/>
                        <w:rPr>
                          <w:rFonts w:ascii="Arial" w:hAnsi="Arial" w:cs="Arial"/>
                        </w:rPr>
                      </w:pPr>
                      <w:r w:rsidRPr="0073113B">
                        <w:rPr>
                          <w:rFonts w:ascii="Arial" w:hAnsi="Arial" w:cs="Arial"/>
                          <w:b/>
                          <w:sz w:val="20"/>
                        </w:rPr>
                        <w:t xml:space="preserve">Table </w:t>
                      </w:r>
                      <w:r>
                        <w:rPr>
                          <w:rFonts w:ascii="Arial" w:hAnsi="Arial" w:cs="Arial"/>
                          <w:b/>
                          <w:sz w:val="20"/>
                        </w:rPr>
                        <w:t>B4</w:t>
                      </w:r>
                      <w:r w:rsidRPr="0073113B">
                        <w:rPr>
                          <w:rFonts w:ascii="Arial" w:hAnsi="Arial" w:cs="Arial"/>
                          <w:b/>
                          <w:sz w:val="20"/>
                        </w:rPr>
                        <w:t xml:space="preserve">: </w:t>
                      </w:r>
                      <w:r>
                        <w:rPr>
                          <w:rFonts w:ascii="Arial" w:hAnsi="Arial" w:cs="Arial"/>
                          <w:b/>
                          <w:sz w:val="20"/>
                        </w:rPr>
                        <w:t>Relative Risk (RR) parameters for coronary heart disease (CHD), stroke and cancer (forms related to meat consumption and obesity) by factor</w:t>
                      </w:r>
                      <w:r w:rsidRPr="0073113B">
                        <w:rPr>
                          <w:rFonts w:ascii="Arial" w:hAnsi="Arial" w:cs="Arial"/>
                          <w:b/>
                          <w:sz w:val="20"/>
                        </w:rPr>
                        <w:t xml:space="preserve">. </w:t>
                      </w:r>
                    </w:p>
                    <w:p w:rsidR="004D79C3" w:rsidRPr="004454B2" w:rsidRDefault="004D79C3" w:rsidP="004D79C3">
                      <w:pPr>
                        <w:rPr>
                          <w:rFonts w:ascii="Arial" w:hAnsi="Arial" w:cs="Arial"/>
                        </w:rPr>
                      </w:pPr>
                    </w:p>
                  </w:txbxContent>
                </v:textbox>
                <w10:wrap type="square" anchorx="margin"/>
              </v:shape>
            </w:pict>
          </mc:Fallback>
        </mc:AlternateContent>
      </w:r>
    </w:p>
    <w:p w:rsidR="004D79C3" w:rsidRDefault="004D79C3" w:rsidP="004D79C3">
      <w:pPr>
        <w:rPr>
          <w:rFonts w:ascii="Arial" w:hAnsi="Arial" w:cs="Arial"/>
          <w:b/>
          <w:sz w:val="28"/>
        </w:rPr>
      </w:pPr>
    </w:p>
    <w:p w:rsidR="004D79C3" w:rsidRDefault="004D79C3" w:rsidP="004D79C3">
      <w:pPr>
        <w:spacing w:line="480" w:lineRule="auto"/>
        <w:outlineLvl w:val="0"/>
        <w:rPr>
          <w:rFonts w:ascii="Arial" w:hAnsi="Arial" w:cs="Arial"/>
          <w:b/>
          <w:sz w:val="28"/>
        </w:rPr>
      </w:pPr>
    </w:p>
    <w:p w:rsidR="00D177DF" w:rsidRDefault="00D177DF">
      <w:bookmarkStart w:id="0" w:name="_GoBack"/>
      <w:bookmarkEnd w:id="0"/>
    </w:p>
    <w:sectPr w:rsidR="00D17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9C3"/>
    <w:rsid w:val="004D79C3"/>
    <w:rsid w:val="00D177DF"/>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ADDC6-6609-49DC-A7E7-A0B12E4D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9C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9792</Words>
  <Characters>55815</Characters>
  <Application>Microsoft Office Word</Application>
  <DocSecurity>0</DocSecurity>
  <Lines>465</Lines>
  <Paragraphs>130</Paragraphs>
  <ScaleCrop>false</ScaleCrop>
  <Company/>
  <LinksUpToDate>false</LinksUpToDate>
  <CharactersWithSpaces>65477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Frontiers Media SA</dc:creator>
  <cp:keywords/>
  <dc:description/>
  <cp:lastModifiedBy>Frontiers Media SA</cp:lastModifiedBy>
  <cp:revision>1</cp:revision>
  <dcterms:created xsi:type="dcterms:W3CDTF">2018-04-24T07:46:00Z</dcterms:created>
  <dcterms:modified xsi:type="dcterms:W3CDTF">2018-04-24T07:47:00Z</dcterms:modified>
</cp:coreProperties>
</file>