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901" w:rsidRPr="00DA5427" w:rsidRDefault="00BF0901" w:rsidP="00E1133F">
      <w:pPr>
        <w:pStyle w:val="1"/>
        <w:spacing w:before="163" w:after="163"/>
        <w:rPr>
          <w:b w:val="0"/>
          <w:sz w:val="28"/>
        </w:rPr>
      </w:pPr>
      <w:r w:rsidRPr="00DA5427">
        <w:t>SUPPLEMENTAL INFORMATION</w:t>
      </w:r>
    </w:p>
    <w:p w:rsidR="00BF0901" w:rsidRPr="00DA5427" w:rsidRDefault="00BF0901" w:rsidP="00BF0901">
      <w:pPr>
        <w:pStyle w:val="2"/>
        <w:spacing w:before="163" w:after="163"/>
      </w:pPr>
      <w:r w:rsidRPr="00DA5427">
        <w:t>Supplementary figure</w:t>
      </w:r>
    </w:p>
    <w:p w:rsidR="00404F80" w:rsidRPr="00DA5427" w:rsidRDefault="00404F80" w:rsidP="00404F80">
      <w:pPr>
        <w:spacing w:before="0" w:after="0"/>
      </w:pPr>
      <w:r w:rsidRPr="00DA5427">
        <w:rPr>
          <w:noProof/>
        </w:rPr>
        <w:drawing>
          <wp:inline distT="0" distB="0" distL="0" distR="0" wp14:anchorId="48065ED9" wp14:editId="3771814D">
            <wp:extent cx="6188710" cy="23787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BL_comp_overla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427">
        <w:t xml:space="preserve"> </w:t>
      </w:r>
    </w:p>
    <w:p w:rsidR="00404F80" w:rsidRPr="00DA5427" w:rsidRDefault="00404F80" w:rsidP="00404F80">
      <w:pPr>
        <w:spacing w:before="0"/>
        <w:rPr>
          <w:rFonts w:cs="Times New Roman"/>
          <w:sz w:val="20"/>
          <w:szCs w:val="24"/>
        </w:rPr>
      </w:pPr>
      <w:r w:rsidRPr="00DA5427">
        <w:rPr>
          <w:b/>
          <w:sz w:val="20"/>
        </w:rPr>
        <w:t>Figure S1</w:t>
      </w:r>
      <w:r w:rsidRPr="00DA5427">
        <w:rPr>
          <w:sz w:val="20"/>
        </w:rPr>
        <w:t xml:space="preserve">. Lesion prevalence of while matter hyperintensity in the stroke cohort of our study and a normal control cohort </w:t>
      </w:r>
      <w:r w:rsidR="0000486C" w:rsidRPr="00DA5427">
        <w:rPr>
          <w:sz w:val="20"/>
        </w:rPr>
        <w:t>well-</w:t>
      </w:r>
      <w:r w:rsidRPr="00DA5427">
        <w:rPr>
          <w:sz w:val="20"/>
        </w:rPr>
        <w:t xml:space="preserve">matched in age, gender and education. </w:t>
      </w:r>
      <w:r w:rsidRPr="00DA5427">
        <w:rPr>
          <w:rFonts w:cs="Times New Roman"/>
          <w:sz w:val="20"/>
          <w:szCs w:val="24"/>
        </w:rPr>
        <w:t>Voxels that are damaged in at least three patients are projected on the 1mm MNI-152 template (Z coordinates: -9, 0, 7, 13, 22, 30, 40). Bar indicates the number of patients with a lesion for each voxel.</w:t>
      </w:r>
    </w:p>
    <w:p w:rsidR="00404F80" w:rsidRPr="00DA5427" w:rsidRDefault="00404F80" w:rsidP="00404F80">
      <w:pPr>
        <w:spacing w:before="0" w:after="0"/>
      </w:pPr>
      <w:r w:rsidRPr="00DA5427">
        <w:rPr>
          <w:noProof/>
        </w:rPr>
        <w:drawing>
          <wp:inline distT="0" distB="0" distL="0" distR="0" wp14:anchorId="187A31FB" wp14:editId="22DC16D8">
            <wp:extent cx="6188710" cy="23425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BL_comp_lesion size topolog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80" w:rsidRPr="00DA5427" w:rsidRDefault="00404F80" w:rsidP="00404F80">
      <w:pPr>
        <w:spacing w:before="0"/>
        <w:rPr>
          <w:rFonts w:cs="Times New Roman"/>
          <w:sz w:val="20"/>
          <w:szCs w:val="24"/>
        </w:rPr>
      </w:pPr>
      <w:r w:rsidRPr="00DA5427">
        <w:rPr>
          <w:b/>
          <w:sz w:val="20"/>
        </w:rPr>
        <w:t>Figure S2</w:t>
      </w:r>
      <w:r w:rsidRPr="00DA5427">
        <w:rPr>
          <w:sz w:val="20"/>
        </w:rPr>
        <w:t xml:space="preserve">. Lesion size topologies of while matter hyperintensity in the stroke cohort of our study and a normal control cohort </w:t>
      </w:r>
      <w:r w:rsidR="0000486C" w:rsidRPr="00DA5427">
        <w:rPr>
          <w:sz w:val="20"/>
        </w:rPr>
        <w:t>well-</w:t>
      </w:r>
      <w:r w:rsidRPr="00DA5427">
        <w:rPr>
          <w:sz w:val="20"/>
        </w:rPr>
        <w:t xml:space="preserve">matched in age, gender and education. </w:t>
      </w:r>
      <w:r w:rsidR="000675E1" w:rsidRPr="00DA5427">
        <w:rPr>
          <w:rFonts w:cs="Times New Roman"/>
          <w:sz w:val="20"/>
          <w:szCs w:val="24"/>
        </w:rPr>
        <w:t>Bar indicates the median white matter hyperintensity volume a patient would have, given that the specific voxel is lesioned</w:t>
      </w:r>
      <w:r w:rsidRPr="00DA5427">
        <w:rPr>
          <w:rFonts w:cs="Times New Roman"/>
          <w:sz w:val="20"/>
          <w:szCs w:val="24"/>
        </w:rPr>
        <w:t>.</w:t>
      </w:r>
    </w:p>
    <w:p w:rsidR="00404F80" w:rsidRPr="00DA5427" w:rsidRDefault="00404F80" w:rsidP="00404F80">
      <w:pPr>
        <w:spacing w:before="163" w:after="0"/>
        <w:jc w:val="center"/>
      </w:pPr>
      <w:r w:rsidRPr="00DA5427">
        <w:rPr>
          <w:noProof/>
        </w:rPr>
        <w:lastRenderedPageBreak/>
        <w:drawing>
          <wp:inline distT="0" distB="0" distL="0" distR="0" wp14:anchorId="34B6F9FE" wp14:editId="6AA14A48">
            <wp:extent cx="5400000" cy="7580831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uster_p_BL_fu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8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80" w:rsidRPr="00DA5427" w:rsidRDefault="00404F80" w:rsidP="00404F80">
      <w:pPr>
        <w:spacing w:before="60" w:after="163"/>
      </w:pPr>
      <w:r w:rsidRPr="00DA5427">
        <w:rPr>
          <w:b/>
          <w:sz w:val="20"/>
          <w:szCs w:val="20"/>
        </w:rPr>
        <w:t>Figure S3</w:t>
      </w:r>
      <w:r w:rsidRPr="00DA5427">
        <w:rPr>
          <w:sz w:val="20"/>
          <w:szCs w:val="20"/>
        </w:rPr>
        <w:t xml:space="preserve">. Statistical inference results of the mass-univariate VLSM, SVR-LSM and SVR-MLSM models for baseline cognitive impairment. The significant clusters of AIL (in red) and WMH (in green) were shown with p&lt;0.05 from statistical inference with 1000 permutations. </w:t>
      </w:r>
      <w:bookmarkStart w:id="0" w:name="OLE_LINK23"/>
      <w:bookmarkStart w:id="1" w:name="OLE_LINK24"/>
      <w:r w:rsidRPr="00DA5427">
        <w:rPr>
          <w:sz w:val="20"/>
          <w:szCs w:val="20"/>
        </w:rPr>
        <w:t xml:space="preserve">The yellow arrow points to the small significant cluster of VLSM results. noVol: without volume control; voxelwise: voxelwise normalization by weighting each voxel with inverse proportion to the square root of the corresponding lesion size: totalVol, volume control by regressing out the total lesion burden for baseline MoCA. </w:t>
      </w:r>
      <w:bookmarkEnd w:id="0"/>
      <w:bookmarkEnd w:id="1"/>
    </w:p>
    <w:p w:rsidR="00404F80" w:rsidRPr="00DA5427" w:rsidRDefault="00404F80" w:rsidP="00404F80">
      <w:pPr>
        <w:spacing w:before="0" w:after="0"/>
        <w:jc w:val="center"/>
      </w:pPr>
      <w:r w:rsidRPr="00DA5427">
        <w:rPr>
          <w:noProof/>
        </w:rPr>
        <w:lastRenderedPageBreak/>
        <w:drawing>
          <wp:inline distT="0" distB="0" distL="0" distR="0" wp14:anchorId="48AB9129" wp14:editId="78ECA609">
            <wp:extent cx="5400000" cy="7576408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uster_p_YR1_fu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7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80" w:rsidRPr="00DA5427" w:rsidRDefault="00404F80" w:rsidP="00697102">
      <w:pPr>
        <w:adjustRightInd w:val="0"/>
        <w:snapToGrid w:val="0"/>
        <w:spacing w:before="0" w:line="336" w:lineRule="auto"/>
      </w:pPr>
      <w:r w:rsidRPr="00DA5427">
        <w:rPr>
          <w:b/>
          <w:sz w:val="20"/>
          <w:szCs w:val="20"/>
        </w:rPr>
        <w:t>Figure S4</w:t>
      </w:r>
      <w:r w:rsidRPr="00DA5427">
        <w:rPr>
          <w:sz w:val="20"/>
          <w:szCs w:val="20"/>
        </w:rPr>
        <w:t xml:space="preserve">. Statistical inference results of the mass-univariate VLSM, SVR-LSM and SVR-MLSM models for cognitive impairment at one year after stroke. The significant clusters of AIL (in red) and WMH (in green) were shown with p&lt;0.05 from statistical inference with 1000 permutations. The yellow arrow points to the small significant cluster of VLSM results. noVol: without volume control; voxelwise: voxelwise normalization by weighting each voxel with inverse proportion to the square root of the corresponding lesion size: totalVol, volume control by regressing out the total lesion burden for </w:t>
      </w:r>
      <w:r w:rsidR="00697102">
        <w:rPr>
          <w:sz w:val="20"/>
          <w:szCs w:val="20"/>
        </w:rPr>
        <w:t xml:space="preserve">year 1 </w:t>
      </w:r>
      <w:r w:rsidRPr="00DA5427">
        <w:rPr>
          <w:sz w:val="20"/>
          <w:szCs w:val="20"/>
        </w:rPr>
        <w:t>MoCA.</w:t>
      </w:r>
    </w:p>
    <w:p w:rsidR="00BF0901" w:rsidRPr="00DA5427" w:rsidRDefault="00E1133F" w:rsidP="00BF0901">
      <w:pPr>
        <w:spacing w:before="163" w:after="163"/>
      </w:pPr>
      <w:r w:rsidRPr="00DA5427">
        <w:rPr>
          <w:noProof/>
        </w:rPr>
        <w:lastRenderedPageBreak/>
        <w:drawing>
          <wp:inline distT="0" distB="0" distL="0" distR="0">
            <wp:extent cx="6188710" cy="46374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qrt_Beta_B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01" w:rsidRPr="00DA5427" w:rsidRDefault="00BF0901" w:rsidP="00BF0901">
      <w:pPr>
        <w:spacing w:before="163" w:after="163"/>
        <w:rPr>
          <w:sz w:val="20"/>
        </w:rPr>
      </w:pPr>
      <w:r w:rsidRPr="00DA5427">
        <w:rPr>
          <w:b/>
          <w:sz w:val="20"/>
        </w:rPr>
        <w:t>Figure S</w:t>
      </w:r>
      <w:r w:rsidR="00404F80" w:rsidRPr="00DA5427">
        <w:rPr>
          <w:b/>
          <w:sz w:val="20"/>
        </w:rPr>
        <w:t>5</w:t>
      </w:r>
      <w:r w:rsidRPr="00DA5427">
        <w:rPr>
          <w:sz w:val="20"/>
        </w:rPr>
        <w:t xml:space="preserve">. Beta map of SVR-MLSM (with volume control by </w:t>
      </w:r>
      <w:r w:rsidR="00E1133F" w:rsidRPr="00DA5427">
        <w:rPr>
          <w:sz w:val="20"/>
        </w:rPr>
        <w:t>voxelwise normalization</w:t>
      </w:r>
      <w:r w:rsidRPr="00DA5427">
        <w:rPr>
          <w:sz w:val="20"/>
        </w:rPr>
        <w:t xml:space="preserve">) for baseline cognitive impairment. (A) Non-thresholded beta map of AIL; (B) Non-thresholded beta map of WMH; (C) Thresholded beta map of AIL with p&lt;0.05 in the 1000 permutations; (D) Thresholded beta map of WMH with p&lt;0.05 in the 1000 permutations. The beta maps of the AIL and WMH of the SVR-MLSM were normalized together to have a standard deviation of 1 for better visualization and comparison. Only the voxels with positive betas </w:t>
      </w:r>
      <w:r w:rsidR="00697102">
        <w:rPr>
          <w:sz w:val="20"/>
        </w:rPr>
        <w:t>are</w:t>
      </w:r>
      <w:r w:rsidRPr="00DA5427">
        <w:rPr>
          <w:sz w:val="20"/>
        </w:rPr>
        <w:t xml:space="preserve"> displayed here.</w:t>
      </w:r>
    </w:p>
    <w:p w:rsidR="00BF0901" w:rsidRPr="00DA5427" w:rsidRDefault="00BF0901" w:rsidP="00BF0901">
      <w:pPr>
        <w:spacing w:before="163" w:after="163"/>
      </w:pPr>
    </w:p>
    <w:p w:rsidR="00BF0901" w:rsidRPr="00DA5427" w:rsidRDefault="00E1133F" w:rsidP="00BF0901">
      <w:pPr>
        <w:spacing w:before="163" w:after="163"/>
      </w:pPr>
      <w:r w:rsidRPr="00DA5427">
        <w:rPr>
          <w:noProof/>
        </w:rPr>
        <w:lastRenderedPageBreak/>
        <w:drawing>
          <wp:inline distT="0" distB="0" distL="0" distR="0">
            <wp:extent cx="6188710" cy="4637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qrt_Beta_YR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01" w:rsidRPr="00DA5427" w:rsidRDefault="00BF0901" w:rsidP="00BF0901">
      <w:pPr>
        <w:spacing w:before="163" w:after="163"/>
        <w:rPr>
          <w:sz w:val="20"/>
        </w:rPr>
      </w:pPr>
      <w:r w:rsidRPr="00DA5427">
        <w:rPr>
          <w:b/>
          <w:sz w:val="20"/>
        </w:rPr>
        <w:t>Figure S</w:t>
      </w:r>
      <w:r w:rsidR="00404F80" w:rsidRPr="00DA5427">
        <w:rPr>
          <w:b/>
          <w:sz w:val="20"/>
        </w:rPr>
        <w:t>6</w:t>
      </w:r>
      <w:r w:rsidRPr="00DA5427">
        <w:rPr>
          <w:sz w:val="20"/>
        </w:rPr>
        <w:t xml:space="preserve">. Beta map of SVR-MLSM (with volume control by </w:t>
      </w:r>
      <w:r w:rsidR="00E1133F" w:rsidRPr="00DA5427">
        <w:rPr>
          <w:sz w:val="20"/>
        </w:rPr>
        <w:t>voxelwise normalization</w:t>
      </w:r>
      <w:r w:rsidRPr="00DA5427">
        <w:rPr>
          <w:sz w:val="20"/>
        </w:rPr>
        <w:t xml:space="preserve">) for cognitive impairment at one year after stroke. (A) Non-thresholded beta map of AIL; (B) Non-thresholded beta map of WMH; (C) Thresholded beta map of AIL with p&lt;0.05 in the 1000 permutations; (D) Thresholded beta map of WMH with p&lt;0.05 in the 1000 permutations. The beta maps of the AIL and WMH of the SVR-MLSM were normalized together to have a standard deviation of 1 for better visualization and comparison. Only the voxels with positive betas </w:t>
      </w:r>
      <w:r w:rsidR="00697102">
        <w:rPr>
          <w:sz w:val="20"/>
        </w:rPr>
        <w:t>are</w:t>
      </w:r>
      <w:r w:rsidRPr="00DA5427">
        <w:rPr>
          <w:sz w:val="20"/>
        </w:rPr>
        <w:t xml:space="preserve"> displayed here.</w:t>
      </w:r>
    </w:p>
    <w:p w:rsidR="00BF0901" w:rsidRPr="00DA5427" w:rsidRDefault="00BF0901" w:rsidP="00BF0901">
      <w:pPr>
        <w:spacing w:before="163" w:after="163"/>
      </w:pPr>
    </w:p>
    <w:p w:rsidR="00E1133F" w:rsidRPr="00DA5427" w:rsidRDefault="00E1133F" w:rsidP="00E1133F">
      <w:pPr>
        <w:spacing w:before="0"/>
      </w:pPr>
    </w:p>
    <w:p w:rsidR="00E1133F" w:rsidRPr="00DA5427" w:rsidRDefault="00E1133F" w:rsidP="00E1133F">
      <w:pPr>
        <w:spacing w:before="0"/>
      </w:pPr>
    </w:p>
    <w:p w:rsidR="00E1133F" w:rsidRPr="00DA5427" w:rsidRDefault="00E1133F">
      <w:pPr>
        <w:widowControl/>
        <w:spacing w:before="0" w:after="0"/>
        <w:jc w:val="left"/>
      </w:pPr>
      <w:r w:rsidRPr="00DA5427">
        <w:br w:type="page"/>
      </w:r>
    </w:p>
    <w:p w:rsidR="00E1133F" w:rsidRPr="00DA5427" w:rsidRDefault="00E1133F" w:rsidP="00E1133F">
      <w:pPr>
        <w:pStyle w:val="2"/>
        <w:spacing w:before="163" w:after="163"/>
      </w:pPr>
      <w:r w:rsidRPr="00DA5427">
        <w:lastRenderedPageBreak/>
        <w:t>Supplementary table</w:t>
      </w:r>
    </w:p>
    <w:p w:rsidR="00404F80" w:rsidRPr="00DA5427" w:rsidRDefault="00404F80" w:rsidP="00404F80">
      <w:pPr>
        <w:widowControl/>
        <w:spacing w:before="163" w:after="163"/>
        <w:jc w:val="center"/>
        <w:rPr>
          <w:sz w:val="20"/>
        </w:rPr>
      </w:pPr>
      <w:r w:rsidRPr="00DA5427">
        <w:rPr>
          <w:b/>
        </w:rPr>
        <w:t>Table S1</w:t>
      </w:r>
      <w:r w:rsidRPr="00DA5427">
        <w:t>. Characteristics of the subjects in our stroke cohort and normal control cohort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2830"/>
        <w:gridCol w:w="2415"/>
        <w:gridCol w:w="2268"/>
        <w:gridCol w:w="992"/>
      </w:tblGrid>
      <w:tr w:rsidR="00404F80" w:rsidRPr="00DA5427" w:rsidTr="00653DCE">
        <w:trPr>
          <w:trHeight w:val="300"/>
          <w:jc w:val="center"/>
        </w:trPr>
        <w:tc>
          <w:tcPr>
            <w:tcW w:w="28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Characteristics</w:t>
            </w:r>
          </w:p>
        </w:tc>
        <w:tc>
          <w:tcPr>
            <w:tcW w:w="241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Stroke cohort (n=76)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Normal controls (n=76)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4F80" w:rsidRPr="00DA5427" w:rsidRDefault="00697102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p-</w:t>
            </w:r>
            <w:r w:rsidR="00404F80" w:rsidRPr="00DA5427"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value</w:t>
            </w:r>
            <w:r w:rsidR="00404F80" w:rsidRPr="00DA5427">
              <w:rPr>
                <w:rFonts w:eastAsia="Times New Roman" w:cs="Times New Roman"/>
                <w:bCs/>
                <w:iCs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404F80" w:rsidRPr="00DA5427" w:rsidTr="00653DCE">
        <w:trPr>
          <w:trHeight w:val="300"/>
          <w:jc w:val="center"/>
        </w:trPr>
        <w:tc>
          <w:tcPr>
            <w:tcW w:w="283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Age, mean ± SD (years)</w:t>
            </w:r>
          </w:p>
        </w:tc>
        <w:tc>
          <w:tcPr>
            <w:tcW w:w="241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65.8 ± 10.1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68.0 ± 6.1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0.105</w:t>
            </w:r>
          </w:p>
        </w:tc>
      </w:tr>
      <w:tr w:rsidR="00404F80" w:rsidRPr="00DA5427" w:rsidTr="00653DCE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Education, mean ± SD (years)</w:t>
            </w:r>
          </w:p>
        </w:tc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6.8 ± 4.2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6.8 ± 3.8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0.984</w:t>
            </w:r>
          </w:p>
        </w:tc>
      </w:tr>
      <w:tr w:rsidR="00404F80" w:rsidRPr="00DA5427" w:rsidTr="00653DCE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Female, n (%)</w:t>
            </w:r>
          </w:p>
        </w:tc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32 (42.1)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36 (47.4)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0.625</w:t>
            </w:r>
          </w:p>
        </w:tc>
      </w:tr>
      <w:tr w:rsidR="00404F80" w:rsidRPr="00DA5427" w:rsidTr="00653DCE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WMH volume, mean ± SD (ml)</w:t>
            </w:r>
          </w:p>
        </w:tc>
        <w:tc>
          <w:tcPr>
            <w:tcW w:w="2415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14.2 ± 13.4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5.9 ± 8.4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1.30E-05</w:t>
            </w:r>
          </w:p>
        </w:tc>
      </w:tr>
      <w:tr w:rsidR="00404F80" w:rsidRPr="00DA5427" w:rsidTr="00653DCE">
        <w:trPr>
          <w:trHeight w:val="300"/>
          <w:jc w:val="center"/>
        </w:trPr>
        <w:tc>
          <w:tcPr>
            <w:tcW w:w="2830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Baseline MoCA, mean ± SD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21.6 ± 5.7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23.6 ± 3.2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4F80" w:rsidRPr="00DA5427" w:rsidRDefault="00404F80" w:rsidP="00653DCE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</w:tr>
    </w:tbl>
    <w:p w:rsidR="00404F80" w:rsidRPr="00DA5427" w:rsidRDefault="00404F80" w:rsidP="00404F80">
      <w:pPr>
        <w:spacing w:before="163" w:after="163"/>
      </w:pPr>
      <w:r w:rsidRPr="00DA5427">
        <w:rPr>
          <w:sz w:val="20"/>
        </w:rPr>
        <w:t>*Group comparison were performed between the characteristics of the two groups with independent t-test or chi-square test where appropriate.</w:t>
      </w:r>
    </w:p>
    <w:p w:rsidR="00E1133F" w:rsidRPr="00DA5427" w:rsidRDefault="00E1133F" w:rsidP="00E1133F">
      <w:pPr>
        <w:widowControl/>
        <w:spacing w:before="163" w:after="163"/>
        <w:jc w:val="center"/>
      </w:pPr>
      <w:r w:rsidRPr="00DA5427">
        <w:rPr>
          <w:b/>
        </w:rPr>
        <w:t>Table S</w:t>
      </w:r>
      <w:r w:rsidR="00404F80" w:rsidRPr="00DA5427">
        <w:rPr>
          <w:b/>
        </w:rPr>
        <w:t>2</w:t>
      </w:r>
      <w:r w:rsidRPr="00DA5427">
        <w:t>. SVR-MLSM results of acute ischemic lesions</w:t>
      </w:r>
    </w:p>
    <w:tbl>
      <w:tblPr>
        <w:tblW w:w="9923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3261"/>
        <w:gridCol w:w="1275"/>
        <w:gridCol w:w="1276"/>
        <w:gridCol w:w="1134"/>
        <w:gridCol w:w="1559"/>
        <w:gridCol w:w="1418"/>
      </w:tblGrid>
      <w:tr w:rsidR="00E1133F" w:rsidRPr="00DA5427" w:rsidTr="00E421E1">
        <w:trPr>
          <w:trHeight w:val="227"/>
          <w:jc w:val="center"/>
        </w:trPr>
        <w:tc>
          <w:tcPr>
            <w:tcW w:w="3261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Region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Patients with lesion (n)*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Region size in voxel (n)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Tested voxels (n)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 xml:space="preserve">Significant voxels of AIL </w:t>
            </w:r>
            <w:r w:rsidR="00697102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[n (%)]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Baseline MoCA</w:t>
            </w:r>
          </w:p>
        </w:tc>
        <w:tc>
          <w:tcPr>
            <w:tcW w:w="14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Year 1 MoCA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Middle frontal gyrus L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36072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2569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859 (33.44)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182 (7.08)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Inferior frontal gyrus (opercular)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8304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385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81 (21.04)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38 (9.87)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Inferior frontal gyrus (triangular)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20232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955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741 (77.59)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98 (10.26)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Middle temporal gyrus L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39536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486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129 (26.54)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50 (10.29)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Middle occipital lobe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26160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1223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256 (20.93)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Inferior parietal gyrus L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19576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1513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26 (1.72)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Angular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9384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1044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399 (38.22)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Caudate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7696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2404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338 (14.06)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342 (14.23)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Putamen L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8072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3487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136 (3.90)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Pallidum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2344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816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39 (4.78)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12 (1.47)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Body of corpus callosum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17849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449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60 (13.36)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36 (8.02)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Anterior limb of internal capsule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2889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1761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745 (42.31)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649 (36.85)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Anterior corona radiata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7507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747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413 (55.29)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Superior corona radiata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8929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4619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689 (14.92)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411 (8.90)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Posterior corona radiata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5325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1388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133 (9.58)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Posterior thalamic radiation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6387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906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447 (49.34)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54 (5.96)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External capsule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3909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566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54 (9.54)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Superior longitudinal fasciculus L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9386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529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105 (19.85)</w:t>
            </w:r>
          </w:p>
        </w:tc>
      </w:tr>
      <w:tr w:rsidR="00E1133F" w:rsidRPr="00DA5427" w:rsidTr="00E421E1">
        <w:trPr>
          <w:trHeight w:val="227"/>
          <w:jc w:val="center"/>
        </w:trPr>
        <w:tc>
          <w:tcPr>
            <w:tcW w:w="3261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Superior fronto-occipital fasciculus 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499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390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254 (65.13)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1133F" w:rsidRPr="00DA5427" w:rsidRDefault="00E1133F" w:rsidP="00E421E1">
            <w:pPr>
              <w:widowControl/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</w:pPr>
            <w:r w:rsidRPr="00DA5427">
              <w:rPr>
                <w:rFonts w:eastAsia="Times New Roman" w:cs="Times New Roman"/>
                <w:color w:val="000000"/>
                <w:kern w:val="0"/>
                <w:sz w:val="20"/>
                <w:szCs w:val="20"/>
              </w:rPr>
              <w:t>179 (45.90)</w:t>
            </w:r>
          </w:p>
        </w:tc>
      </w:tr>
    </w:tbl>
    <w:p w:rsidR="006A3D4F" w:rsidRDefault="00E1133F" w:rsidP="00E1133F">
      <w:pPr>
        <w:spacing w:before="163" w:after="163"/>
        <w:rPr>
          <w:sz w:val="20"/>
        </w:rPr>
      </w:pPr>
      <w:r w:rsidRPr="00DA5427">
        <w:rPr>
          <w:sz w:val="20"/>
        </w:rPr>
        <w:t>Regions where there were significant AIL clusters (p&lt;0.05) for global cogniti</w:t>
      </w:r>
      <w:r w:rsidR="00B931C0">
        <w:rPr>
          <w:sz w:val="20"/>
        </w:rPr>
        <w:t>ve impairment</w:t>
      </w:r>
      <w:bookmarkStart w:id="2" w:name="_GoBack"/>
      <w:bookmarkEnd w:id="2"/>
      <w:r w:rsidRPr="00DA5427">
        <w:rPr>
          <w:sz w:val="20"/>
        </w:rPr>
        <w:t xml:space="preserve"> at baseline and one year after stroke. The remaining regions in AAL atlas or ICBM-DTI-81 white matter tract atlas contained no significant voxels for </w:t>
      </w:r>
      <w:r w:rsidR="00DF543F">
        <w:rPr>
          <w:sz w:val="20"/>
        </w:rPr>
        <w:t xml:space="preserve">cognitive impairment either at </w:t>
      </w:r>
      <w:r w:rsidRPr="00DA5427">
        <w:rPr>
          <w:sz w:val="20"/>
        </w:rPr>
        <w:t xml:space="preserve">baseline or </w:t>
      </w:r>
      <w:r w:rsidR="00DF543F">
        <w:rPr>
          <w:sz w:val="20"/>
        </w:rPr>
        <w:t xml:space="preserve">at </w:t>
      </w:r>
      <w:r w:rsidRPr="00DA5427">
        <w:rPr>
          <w:sz w:val="20"/>
        </w:rPr>
        <w:t xml:space="preserve">one year </w:t>
      </w:r>
      <w:r w:rsidR="00DF543F">
        <w:rPr>
          <w:sz w:val="20"/>
        </w:rPr>
        <w:t>after stroke</w:t>
      </w:r>
      <w:r w:rsidRPr="00DA5427">
        <w:rPr>
          <w:sz w:val="20"/>
        </w:rPr>
        <w:t>; these regions are not shown here. L</w:t>
      </w:r>
      <w:r w:rsidR="00DF543F">
        <w:rPr>
          <w:sz w:val="20"/>
        </w:rPr>
        <w:t>,</w:t>
      </w:r>
      <w:r w:rsidRPr="00DA5427">
        <w:rPr>
          <w:sz w:val="20"/>
        </w:rPr>
        <w:t xml:space="preserve"> left. *</w:t>
      </w:r>
      <w:r w:rsidRPr="00DA5427">
        <w:rPr>
          <w:rFonts w:hint="eastAsia"/>
          <w:sz w:val="20"/>
        </w:rPr>
        <w:t xml:space="preserve"> Number among </w:t>
      </w:r>
      <w:r w:rsidRPr="00DA5427">
        <w:rPr>
          <w:sz w:val="20"/>
        </w:rPr>
        <w:t>76</w:t>
      </w:r>
      <w:r w:rsidRPr="00DA5427">
        <w:rPr>
          <w:rFonts w:hint="eastAsia"/>
          <w:sz w:val="20"/>
        </w:rPr>
        <w:t xml:space="preserve"> included patients had a</w:t>
      </w:r>
      <w:r w:rsidRPr="00DA5427">
        <w:rPr>
          <w:sz w:val="20"/>
        </w:rPr>
        <w:t>n</w:t>
      </w:r>
      <w:r w:rsidRPr="00DA5427">
        <w:rPr>
          <w:rFonts w:hint="eastAsia"/>
          <w:sz w:val="20"/>
        </w:rPr>
        <w:t xml:space="preserve"> </w:t>
      </w:r>
      <w:r w:rsidRPr="00DA5427">
        <w:rPr>
          <w:sz w:val="20"/>
        </w:rPr>
        <w:t>AIL</w:t>
      </w:r>
      <w:r w:rsidRPr="00DA5427">
        <w:rPr>
          <w:rFonts w:hint="eastAsia"/>
          <w:sz w:val="20"/>
        </w:rPr>
        <w:t xml:space="preserve"> that overlapped (</w:t>
      </w:r>
      <w:r w:rsidR="00DF543F">
        <w:rPr>
          <w:rFonts w:cs="Times New Roman"/>
          <w:sz w:val="20"/>
        </w:rPr>
        <w:t>≥</w:t>
      </w:r>
      <w:r w:rsidRPr="00DA5427">
        <w:rPr>
          <w:rFonts w:hint="eastAsia"/>
          <w:sz w:val="20"/>
        </w:rPr>
        <w:t>1 voxel) with the specified region of interest in AAL atlas and ICBM</w:t>
      </w:r>
      <w:r w:rsidR="00DF543F">
        <w:rPr>
          <w:sz w:val="20"/>
        </w:rPr>
        <w:t>-</w:t>
      </w:r>
      <w:r w:rsidRPr="00DA5427">
        <w:rPr>
          <w:rFonts w:hint="eastAsia"/>
          <w:sz w:val="20"/>
        </w:rPr>
        <w:t>DTI-81 white matter tract atlas.</w:t>
      </w:r>
    </w:p>
    <w:sectPr w:rsidR="006A3D4F" w:rsidSect="00C944C6"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6316" w:rsidRDefault="000C6316" w:rsidP="00C944C6">
      <w:pPr>
        <w:spacing w:before="0" w:after="0"/>
      </w:pPr>
      <w:r>
        <w:separator/>
      </w:r>
    </w:p>
  </w:endnote>
  <w:endnote w:type="continuationSeparator" w:id="0">
    <w:p w:rsidR="000C6316" w:rsidRDefault="000C6316" w:rsidP="00C944C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6316" w:rsidRDefault="000C6316" w:rsidP="00C944C6">
      <w:pPr>
        <w:spacing w:before="0" w:after="0"/>
      </w:pPr>
      <w:r>
        <w:separator/>
      </w:r>
    </w:p>
  </w:footnote>
  <w:footnote w:type="continuationSeparator" w:id="0">
    <w:p w:rsidR="000C6316" w:rsidRDefault="000C6316" w:rsidP="00C944C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1D4"/>
    <w:rsid w:val="0000486C"/>
    <w:rsid w:val="00035FC3"/>
    <w:rsid w:val="000675E1"/>
    <w:rsid w:val="000701D3"/>
    <w:rsid w:val="000C6316"/>
    <w:rsid w:val="00137C4B"/>
    <w:rsid w:val="001A2710"/>
    <w:rsid w:val="002A1D2D"/>
    <w:rsid w:val="003026AF"/>
    <w:rsid w:val="00384248"/>
    <w:rsid w:val="003C32C7"/>
    <w:rsid w:val="003E43C1"/>
    <w:rsid w:val="003F7271"/>
    <w:rsid w:val="00404F80"/>
    <w:rsid w:val="00490F47"/>
    <w:rsid w:val="00553725"/>
    <w:rsid w:val="005955DB"/>
    <w:rsid w:val="005D708C"/>
    <w:rsid w:val="0061485B"/>
    <w:rsid w:val="00697102"/>
    <w:rsid w:val="006A3D4F"/>
    <w:rsid w:val="00711C6F"/>
    <w:rsid w:val="00712552"/>
    <w:rsid w:val="0079285D"/>
    <w:rsid w:val="00793A6C"/>
    <w:rsid w:val="007A7853"/>
    <w:rsid w:val="0087006B"/>
    <w:rsid w:val="008E51D4"/>
    <w:rsid w:val="00A33BB5"/>
    <w:rsid w:val="00A50E5A"/>
    <w:rsid w:val="00A703C8"/>
    <w:rsid w:val="00AD299C"/>
    <w:rsid w:val="00AD6E67"/>
    <w:rsid w:val="00B10572"/>
    <w:rsid w:val="00B931C0"/>
    <w:rsid w:val="00BF0901"/>
    <w:rsid w:val="00C944C6"/>
    <w:rsid w:val="00CD790C"/>
    <w:rsid w:val="00D97D4D"/>
    <w:rsid w:val="00DA5427"/>
    <w:rsid w:val="00DF543F"/>
    <w:rsid w:val="00E10EE7"/>
    <w:rsid w:val="00E1133F"/>
    <w:rsid w:val="00E87562"/>
    <w:rsid w:val="00EC7651"/>
    <w:rsid w:val="00FA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218748"/>
  <w15:chartTrackingRefBased/>
  <w15:docId w15:val="{782C3409-A952-43F0-A53B-F992947AA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51D4"/>
    <w:pPr>
      <w:widowControl w:val="0"/>
      <w:spacing w:before="120" w:after="120"/>
      <w:jc w:val="both"/>
    </w:pPr>
    <w:rPr>
      <w:rFonts w:ascii="Times New Roman" w:hAnsi="Times New Roman"/>
      <w:sz w:val="24"/>
    </w:rPr>
  </w:style>
  <w:style w:type="paragraph" w:styleId="1">
    <w:name w:val="heading 1"/>
    <w:basedOn w:val="2"/>
    <w:next w:val="a"/>
    <w:link w:val="10"/>
    <w:uiPriority w:val="9"/>
    <w:qFormat/>
    <w:rsid w:val="008E51D4"/>
    <w:pPr>
      <w:spacing w:after="156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E51D4"/>
    <w:pPr>
      <w:spacing w:beforeLines="50" w:before="156"/>
      <w:outlineLvl w:val="1"/>
    </w:pPr>
    <w:rPr>
      <w:rFonts w:cs="Times New Roman"/>
      <w:b/>
      <w:sz w:val="2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8E51D4"/>
    <w:pPr>
      <w:outlineLvl w:val="2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8E51D4"/>
    <w:rPr>
      <w:rFonts w:ascii="Times New Roman" w:hAnsi="Times New Roman" w:cs="Times New Roman"/>
      <w:b/>
      <w:sz w:val="28"/>
      <w:szCs w:val="24"/>
    </w:rPr>
  </w:style>
  <w:style w:type="character" w:customStyle="1" w:styleId="10">
    <w:name w:val="标题 1 字符"/>
    <w:basedOn w:val="a0"/>
    <w:link w:val="1"/>
    <w:uiPriority w:val="9"/>
    <w:rsid w:val="008E51D4"/>
    <w:rPr>
      <w:rFonts w:ascii="Times New Roman" w:hAnsi="Times New Roman" w:cs="Times New Roman"/>
      <w:b/>
      <w:sz w:val="32"/>
      <w:szCs w:val="24"/>
    </w:rPr>
  </w:style>
  <w:style w:type="character" w:customStyle="1" w:styleId="30">
    <w:name w:val="标题 3 字符"/>
    <w:basedOn w:val="a0"/>
    <w:link w:val="3"/>
    <w:uiPriority w:val="9"/>
    <w:rsid w:val="008E51D4"/>
    <w:rPr>
      <w:rFonts w:ascii="Times New Roman" w:hAnsi="Times New Roman"/>
      <w:b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944C6"/>
    <w:pPr>
      <w:tabs>
        <w:tab w:val="center" w:pos="4320"/>
        <w:tab w:val="right" w:pos="8640"/>
      </w:tabs>
      <w:spacing w:before="0" w:after="0"/>
    </w:pPr>
  </w:style>
  <w:style w:type="character" w:customStyle="1" w:styleId="a4">
    <w:name w:val="页眉 字符"/>
    <w:basedOn w:val="a0"/>
    <w:link w:val="a3"/>
    <w:uiPriority w:val="99"/>
    <w:rsid w:val="00C944C6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C944C6"/>
    <w:pPr>
      <w:tabs>
        <w:tab w:val="center" w:pos="4320"/>
        <w:tab w:val="right" w:pos="8640"/>
      </w:tabs>
      <w:spacing w:before="0" w:after="0"/>
    </w:pPr>
  </w:style>
  <w:style w:type="character" w:customStyle="1" w:styleId="a6">
    <w:name w:val="页脚 字符"/>
    <w:basedOn w:val="a0"/>
    <w:link w:val="a5"/>
    <w:uiPriority w:val="99"/>
    <w:rsid w:val="00C944C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A5D2D2239F34C975F4D34F0638E6D" ma:contentTypeVersion="7" ma:contentTypeDescription="Create a new document." ma:contentTypeScope="" ma:versionID="b87462e66adc499cd022b4d9db677600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1.DOCX</TitleName>
    <DocumentType xmlns="018c3ce0-25d7-4964-8f5f-0766fc370baa">Data Sheet</DocumentType>
    <DocumentId xmlns="018c3ce0-25d7-4964-8f5f-0766fc370baa">Data Sheet 1.DOCX</DocumentId>
    <FileFormat xmlns="018c3ce0-25d7-4964-8f5f-0766fc370baa">DOCX</FileFormat>
    <StageName xmlns="018c3ce0-25d7-4964-8f5f-0766fc370baa" xsi:nil="true"/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7280C034-DAFD-449C-9FAE-E95C42BCD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CCA32C-2003-4921-BC34-8A6B30FC0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c3ce0-25d7-4964-8f5f-0766fc370ba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8E7ED74-C3E3-4028-99BB-09371A651529}">
  <ds:schemaRefs>
    <ds:schemaRef ds:uri="http://schemas.microsoft.com/office/2006/metadata/properties"/>
    <ds:schemaRef ds:uri="018c3ce0-25d7-4964-8f5f-0766fc370b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1451</TotalTime>
  <Pages>6</Pages>
  <Words>805</Words>
  <Characters>4590</Characters>
  <Application>Microsoft Office Word</Application>
  <DocSecurity>0</DocSecurity>
  <Lines>38</Lines>
  <Paragraphs>10</Paragraphs>
  <ScaleCrop>false</ScaleCrop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Lei</dc:creator>
  <cp:keywords/>
  <dc:description/>
  <cp:lastModifiedBy>ZHAO, Lei</cp:lastModifiedBy>
  <cp:revision>14</cp:revision>
  <dcterms:created xsi:type="dcterms:W3CDTF">2017-10-09T07:14:00Z</dcterms:created>
  <dcterms:modified xsi:type="dcterms:W3CDTF">2018-04-24T02:53:00Z</dcterms:modified>
</cp:coreProperties>
</file>